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ms-word.document.macroEnabled.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CDB31F">
      <w:pPr>
        <w:rPr>
          <w:rFonts w:hint="eastAsia" w:ascii="Times New Roman" w:hAnsi="Times New Roman" w:eastAsia="宋体" w:cs="Times New Roman"/>
          <w:color w:val="auto"/>
          <w:sz w:val="36"/>
          <w:szCs w:val="36"/>
          <w:highlight w:val="none"/>
          <w:u w:val="none" w:color="auto"/>
          <w:lang w:val="en-US" w:eastAsia="zh-CN"/>
        </w:rPr>
      </w:pPr>
      <w:r>
        <w:rPr>
          <w:rFonts w:hint="eastAsia" w:cs="Times New Roman"/>
          <w:color w:val="auto"/>
          <w:sz w:val="36"/>
          <w:szCs w:val="36"/>
          <w:highlight w:val="none"/>
          <w:u w:val="none" w:color="auto"/>
          <w:lang w:val="en-US" w:eastAsia="zh-CN"/>
        </w:rPr>
        <w:t xml:space="preserve"> </w:t>
      </w:r>
    </w:p>
    <w:p w14:paraId="3364E18C">
      <w:pPr>
        <w:rPr>
          <w:rFonts w:hint="default" w:ascii="Times New Roman" w:hAnsi="Times New Roman" w:eastAsia="宋体" w:cs="Times New Roman"/>
          <w:color w:val="auto"/>
          <w:sz w:val="36"/>
          <w:szCs w:val="36"/>
          <w:highlight w:val="none"/>
          <w:u w:val="none" w:color="auto"/>
        </w:rPr>
      </w:pPr>
    </w:p>
    <w:p w14:paraId="08AABF2F">
      <w:pPr>
        <w:rPr>
          <w:rFonts w:hint="default" w:ascii="Times New Roman" w:hAnsi="Times New Roman" w:eastAsia="宋体" w:cs="Times New Roman"/>
          <w:color w:val="auto"/>
          <w:sz w:val="36"/>
          <w:szCs w:val="36"/>
          <w:highlight w:val="none"/>
          <w:u w:val="none" w:color="auto"/>
        </w:rPr>
      </w:pPr>
    </w:p>
    <w:p w14:paraId="015B3DB9">
      <w:pPr>
        <w:rPr>
          <w:rFonts w:hint="default" w:ascii="Times New Roman" w:hAnsi="Times New Roman" w:eastAsia="宋体" w:cs="Times New Roman"/>
          <w:color w:val="auto"/>
          <w:sz w:val="36"/>
          <w:szCs w:val="36"/>
          <w:highlight w:val="none"/>
          <w:u w:val="none" w:color="auto"/>
        </w:rPr>
      </w:pPr>
    </w:p>
    <w:p w14:paraId="5ABBFBDE">
      <w:pPr>
        <w:adjustRightInd w:val="0"/>
        <w:snapToGrid w:val="0"/>
        <w:jc w:val="center"/>
        <w:outlineLvl w:val="0"/>
        <w:rPr>
          <w:rFonts w:hint="default" w:ascii="Times New Roman" w:hAnsi="Times New Roman" w:eastAsia="宋体" w:cs="Times New Roman"/>
          <w:b/>
          <w:bCs w:val="0"/>
          <w:color w:val="auto"/>
          <w:sz w:val="72"/>
          <w:szCs w:val="72"/>
          <w:highlight w:val="none"/>
          <w:u w:val="none" w:color="auto"/>
        </w:rPr>
      </w:pPr>
      <w:bookmarkStart w:id="0" w:name="_Toc1270"/>
      <w:r>
        <w:rPr>
          <w:rFonts w:hint="default" w:ascii="Times New Roman" w:hAnsi="Times New Roman" w:eastAsia="宋体" w:cs="Times New Roman"/>
          <w:b/>
          <w:bCs w:val="0"/>
          <w:color w:val="auto"/>
          <w:sz w:val="72"/>
          <w:szCs w:val="72"/>
          <w:highlight w:val="none"/>
          <w:u w:val="none" w:color="auto"/>
        </w:rPr>
        <w:t>建设项目环境影响报告表</w:t>
      </w:r>
      <w:bookmarkEnd w:id="0"/>
    </w:p>
    <w:p w14:paraId="6F2A79B8">
      <w:pPr>
        <w:adjustRightInd w:val="0"/>
        <w:snapToGrid w:val="0"/>
        <w:spacing w:before="192" w:beforeLines="80"/>
        <w:jc w:val="center"/>
        <w:rPr>
          <w:rFonts w:hint="default" w:ascii="Times New Roman" w:hAnsi="Times New Roman" w:eastAsia="宋体" w:cs="Times New Roman"/>
          <w:b/>
          <w:color w:val="auto"/>
          <w:sz w:val="48"/>
          <w:szCs w:val="48"/>
          <w:highlight w:val="none"/>
          <w:u w:val="none" w:color="auto"/>
        </w:rPr>
      </w:pPr>
      <w:r>
        <w:rPr>
          <w:rFonts w:hint="default" w:ascii="Times New Roman" w:hAnsi="Times New Roman" w:eastAsia="宋体" w:cs="Times New Roman"/>
          <w:b/>
          <w:color w:val="auto"/>
          <w:sz w:val="48"/>
          <w:szCs w:val="48"/>
          <w:highlight w:val="none"/>
          <w:u w:val="none" w:color="auto"/>
        </w:rPr>
        <w:t>（污染影响类）</w:t>
      </w:r>
    </w:p>
    <w:p w14:paraId="596F8904">
      <w:pPr>
        <w:adjustRightInd w:val="0"/>
        <w:snapToGrid w:val="0"/>
        <w:spacing w:line="288" w:lineRule="auto"/>
        <w:jc w:val="center"/>
        <w:rPr>
          <w:rFonts w:hint="default" w:ascii="Times New Roman" w:hAnsi="Times New Roman" w:eastAsia="宋体" w:cs="Times New Roman"/>
          <w:b/>
          <w:color w:val="auto"/>
          <w:kern w:val="44"/>
          <w:sz w:val="44"/>
          <w:szCs w:val="44"/>
          <w:highlight w:val="none"/>
          <w:u w:val="none" w:color="auto"/>
        </w:rPr>
      </w:pPr>
    </w:p>
    <w:p w14:paraId="371E07AC">
      <w:pPr>
        <w:jc w:val="center"/>
        <w:rPr>
          <w:rFonts w:hint="default" w:ascii="Times New Roman" w:hAnsi="Times New Roman" w:eastAsia="宋体" w:cs="Times New Roman"/>
          <w:b/>
          <w:color w:val="auto"/>
          <w:sz w:val="52"/>
          <w:szCs w:val="52"/>
          <w:highlight w:val="none"/>
          <w:u w:val="none" w:color="auto"/>
        </w:rPr>
      </w:pPr>
    </w:p>
    <w:p w14:paraId="777DD3D4">
      <w:pPr>
        <w:ind w:firstLine="1040"/>
        <w:rPr>
          <w:rFonts w:hint="default" w:ascii="Times New Roman" w:hAnsi="Times New Roman" w:eastAsia="宋体" w:cs="Times New Roman"/>
          <w:b/>
          <w:color w:val="auto"/>
          <w:sz w:val="44"/>
          <w:szCs w:val="44"/>
          <w:highlight w:val="none"/>
          <w:u w:val="none" w:color="auto"/>
        </w:rPr>
      </w:pPr>
    </w:p>
    <w:p w14:paraId="1D397D3B">
      <w:pPr>
        <w:ind w:firstLine="1040"/>
        <w:rPr>
          <w:rFonts w:hint="default" w:ascii="Times New Roman" w:hAnsi="Times New Roman" w:eastAsia="宋体" w:cs="Times New Roman"/>
          <w:b/>
          <w:color w:val="auto"/>
          <w:sz w:val="44"/>
          <w:szCs w:val="44"/>
          <w:highlight w:val="none"/>
          <w:u w:val="none" w:color="auto"/>
        </w:rPr>
      </w:pPr>
    </w:p>
    <w:p w14:paraId="4B0013D5">
      <w:pPr>
        <w:ind w:firstLine="1040"/>
        <w:rPr>
          <w:rFonts w:hint="default" w:ascii="Times New Roman" w:hAnsi="Times New Roman" w:eastAsia="宋体" w:cs="Times New Roman"/>
          <w:b/>
          <w:color w:val="auto"/>
          <w:sz w:val="44"/>
          <w:szCs w:val="44"/>
          <w:highlight w:val="none"/>
          <w:u w:val="none" w:color="auto"/>
        </w:rPr>
      </w:pPr>
    </w:p>
    <w:p w14:paraId="42E0844D">
      <w:pPr>
        <w:ind w:firstLine="1040"/>
        <w:rPr>
          <w:rFonts w:hint="default" w:ascii="Times New Roman" w:hAnsi="Times New Roman" w:eastAsia="宋体" w:cs="Times New Roman"/>
          <w:b/>
          <w:color w:val="auto"/>
          <w:sz w:val="44"/>
          <w:szCs w:val="44"/>
          <w:highlight w:val="none"/>
          <w:u w:val="none" w:color="auto"/>
        </w:rPr>
      </w:pP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28"/>
        <w:gridCol w:w="5732"/>
      </w:tblGrid>
      <w:tr w14:paraId="13BD5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8" w:type="dxa"/>
            <w:tcBorders>
              <w:top w:val="nil"/>
              <w:left w:val="nil"/>
              <w:bottom w:val="nil"/>
              <w:right w:val="nil"/>
            </w:tcBorders>
          </w:tcPr>
          <w:p w14:paraId="5256D937">
            <w:pPr>
              <w:adjustRightInd w:val="0"/>
              <w:snapToGrid w:val="0"/>
              <w:spacing w:line="288" w:lineRule="auto"/>
              <w:rPr>
                <w:rFonts w:hint="default" w:ascii="Times New Roman" w:hAnsi="Times New Roman" w:eastAsia="宋体" w:cs="Times New Roman"/>
                <w:b/>
                <w:color w:val="auto"/>
                <w:sz w:val="36"/>
                <w:szCs w:val="36"/>
                <w:highlight w:val="none"/>
                <w:u w:val="none" w:color="auto"/>
                <w:vertAlign w:val="baseline"/>
              </w:rPr>
            </w:pPr>
            <w:r>
              <w:rPr>
                <w:rFonts w:hint="default" w:ascii="Times New Roman" w:hAnsi="Times New Roman" w:eastAsia="宋体" w:cs="Times New Roman"/>
                <w:b/>
                <w:color w:val="auto"/>
                <w:sz w:val="36"/>
                <w:szCs w:val="36"/>
                <w:highlight w:val="none"/>
                <w:u w:val="none" w:color="auto"/>
              </w:rPr>
              <w:t>项目名称：</w:t>
            </w:r>
          </w:p>
        </w:tc>
        <w:tc>
          <w:tcPr>
            <w:tcW w:w="5732" w:type="dxa"/>
            <w:tcBorders>
              <w:top w:val="nil"/>
              <w:left w:val="nil"/>
              <w:right w:val="nil"/>
            </w:tcBorders>
          </w:tcPr>
          <w:p w14:paraId="373D339B">
            <w:pPr>
              <w:adjustRightInd w:val="0"/>
              <w:snapToGrid w:val="0"/>
              <w:spacing w:line="288" w:lineRule="auto"/>
              <w:jc w:val="center"/>
              <w:rPr>
                <w:rFonts w:hint="default" w:ascii="Times New Roman" w:hAnsi="Times New Roman" w:eastAsia="宋体" w:cs="Times New Roman"/>
                <w:b/>
                <w:color w:val="auto"/>
                <w:sz w:val="36"/>
                <w:szCs w:val="36"/>
                <w:highlight w:val="none"/>
                <w:u w:val="none" w:color="auto"/>
                <w:vertAlign w:val="baseline"/>
              </w:rPr>
            </w:pPr>
            <w:r>
              <w:rPr>
                <w:rFonts w:hint="eastAsia" w:cs="Times New Roman"/>
                <w:b/>
                <w:color w:val="auto"/>
                <w:sz w:val="36"/>
                <w:szCs w:val="36"/>
                <w:highlight w:val="none"/>
                <w:u w:val="none" w:color="auto"/>
                <w:lang w:eastAsia="zh-CN"/>
              </w:rPr>
              <w:t>湖南省口福轩有限公司食品加工生产建设项目</w:t>
            </w:r>
          </w:p>
        </w:tc>
      </w:tr>
      <w:tr w14:paraId="5FCE5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8" w:type="dxa"/>
            <w:tcBorders>
              <w:top w:val="nil"/>
              <w:left w:val="nil"/>
              <w:bottom w:val="nil"/>
              <w:right w:val="nil"/>
            </w:tcBorders>
          </w:tcPr>
          <w:p w14:paraId="17D5F0B7">
            <w:pPr>
              <w:adjustRightInd w:val="0"/>
              <w:snapToGrid w:val="0"/>
              <w:spacing w:line="288" w:lineRule="auto"/>
              <w:rPr>
                <w:rFonts w:hint="default" w:ascii="Times New Roman" w:hAnsi="Times New Roman" w:eastAsia="宋体" w:cs="Times New Roman"/>
                <w:b/>
                <w:color w:val="auto"/>
                <w:sz w:val="36"/>
                <w:szCs w:val="36"/>
                <w:highlight w:val="none"/>
                <w:u w:val="none" w:color="auto"/>
                <w:vertAlign w:val="baseline"/>
              </w:rPr>
            </w:pPr>
            <w:r>
              <w:rPr>
                <w:rFonts w:hint="default" w:ascii="Times New Roman" w:hAnsi="Times New Roman" w:eastAsia="宋体" w:cs="Times New Roman"/>
                <w:b/>
                <w:color w:val="auto"/>
                <w:sz w:val="36"/>
                <w:szCs w:val="36"/>
                <w:highlight w:val="none"/>
                <w:u w:val="none" w:color="auto"/>
              </w:rPr>
              <w:t>建设单位（盖章）：</w:t>
            </w:r>
          </w:p>
        </w:tc>
        <w:tc>
          <w:tcPr>
            <w:tcW w:w="5732" w:type="dxa"/>
            <w:tcBorders>
              <w:left w:val="nil"/>
              <w:right w:val="nil"/>
            </w:tcBorders>
          </w:tcPr>
          <w:p w14:paraId="3E0A7041">
            <w:pPr>
              <w:adjustRightInd w:val="0"/>
              <w:snapToGrid w:val="0"/>
              <w:spacing w:line="288" w:lineRule="auto"/>
              <w:jc w:val="center"/>
              <w:rPr>
                <w:rFonts w:hint="default" w:ascii="Times New Roman" w:hAnsi="Times New Roman" w:eastAsia="宋体" w:cs="Times New Roman"/>
                <w:b/>
                <w:color w:val="auto"/>
                <w:sz w:val="36"/>
                <w:szCs w:val="36"/>
                <w:highlight w:val="none"/>
                <w:u w:val="none" w:color="auto"/>
                <w:vertAlign w:val="baseline"/>
              </w:rPr>
            </w:pPr>
            <w:r>
              <w:rPr>
                <w:rFonts w:hint="eastAsia" w:cs="Times New Roman"/>
                <w:b/>
                <w:color w:val="auto"/>
                <w:sz w:val="36"/>
                <w:szCs w:val="36"/>
                <w:highlight w:val="none"/>
                <w:u w:val="none" w:color="auto"/>
                <w:lang w:eastAsia="zh-CN"/>
              </w:rPr>
              <w:t>湖南省口福轩食品有限公司</w:t>
            </w:r>
          </w:p>
        </w:tc>
      </w:tr>
      <w:tr w14:paraId="4DB55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28" w:type="dxa"/>
            <w:tcBorders>
              <w:top w:val="nil"/>
              <w:left w:val="nil"/>
              <w:bottom w:val="nil"/>
              <w:right w:val="nil"/>
            </w:tcBorders>
          </w:tcPr>
          <w:p w14:paraId="1B118EFF">
            <w:pPr>
              <w:adjustRightInd w:val="0"/>
              <w:snapToGrid w:val="0"/>
              <w:spacing w:line="288" w:lineRule="auto"/>
              <w:rPr>
                <w:rFonts w:hint="default" w:ascii="Times New Roman" w:hAnsi="Times New Roman" w:eastAsia="宋体" w:cs="Times New Roman"/>
                <w:b/>
                <w:color w:val="auto"/>
                <w:sz w:val="36"/>
                <w:szCs w:val="36"/>
                <w:highlight w:val="none"/>
                <w:u w:val="none" w:color="auto"/>
                <w:vertAlign w:val="baseline"/>
              </w:rPr>
            </w:pPr>
            <w:r>
              <w:rPr>
                <w:rFonts w:hint="default" w:ascii="Times New Roman" w:hAnsi="Times New Roman" w:eastAsia="宋体" w:cs="Times New Roman"/>
                <w:b/>
                <w:color w:val="auto"/>
                <w:sz w:val="36"/>
                <w:szCs w:val="36"/>
                <w:highlight w:val="none"/>
                <w:u w:val="none" w:color="auto"/>
              </w:rPr>
              <w:t>编制日期：</w:t>
            </w:r>
          </w:p>
        </w:tc>
        <w:tc>
          <w:tcPr>
            <w:tcW w:w="5732" w:type="dxa"/>
            <w:tcBorders>
              <w:left w:val="nil"/>
              <w:right w:val="nil"/>
            </w:tcBorders>
          </w:tcPr>
          <w:p w14:paraId="4B772E96">
            <w:pPr>
              <w:adjustRightInd w:val="0"/>
              <w:snapToGrid w:val="0"/>
              <w:spacing w:line="288" w:lineRule="auto"/>
              <w:jc w:val="center"/>
              <w:rPr>
                <w:rFonts w:hint="default" w:ascii="Times New Roman" w:hAnsi="Times New Roman" w:eastAsia="宋体" w:cs="Times New Roman"/>
                <w:b/>
                <w:color w:val="auto"/>
                <w:sz w:val="36"/>
                <w:szCs w:val="36"/>
                <w:highlight w:val="none"/>
                <w:u w:val="none" w:color="auto"/>
                <w:vertAlign w:val="baseline"/>
              </w:rPr>
            </w:pPr>
            <w:r>
              <w:rPr>
                <w:rFonts w:hint="default" w:ascii="Times New Roman" w:hAnsi="Times New Roman" w:eastAsia="宋体" w:cs="Times New Roman"/>
                <w:b/>
                <w:color w:val="auto"/>
                <w:sz w:val="36"/>
                <w:szCs w:val="36"/>
                <w:highlight w:val="none"/>
                <w:u w:val="none" w:color="auto"/>
              </w:rPr>
              <w:t>二〇二</w:t>
            </w:r>
            <w:r>
              <w:rPr>
                <w:rFonts w:hint="eastAsia" w:cs="Times New Roman"/>
                <w:b/>
                <w:color w:val="auto"/>
                <w:sz w:val="36"/>
                <w:szCs w:val="36"/>
                <w:highlight w:val="none"/>
                <w:u w:val="none" w:color="auto"/>
                <w:lang w:val="en-US" w:eastAsia="zh-CN"/>
              </w:rPr>
              <w:t>五</w:t>
            </w:r>
            <w:r>
              <w:rPr>
                <w:rFonts w:hint="default" w:ascii="Times New Roman" w:hAnsi="Times New Roman" w:eastAsia="宋体" w:cs="Times New Roman"/>
                <w:b/>
                <w:color w:val="auto"/>
                <w:sz w:val="36"/>
                <w:szCs w:val="36"/>
                <w:highlight w:val="none"/>
                <w:u w:val="none" w:color="auto"/>
              </w:rPr>
              <w:t>年</w:t>
            </w:r>
            <w:r>
              <w:rPr>
                <w:rFonts w:hint="eastAsia" w:cs="Times New Roman"/>
                <w:b/>
                <w:color w:val="auto"/>
                <w:sz w:val="36"/>
                <w:szCs w:val="36"/>
                <w:highlight w:val="none"/>
                <w:u w:val="none" w:color="auto"/>
                <w:lang w:val="en-US" w:eastAsia="zh-CN"/>
              </w:rPr>
              <w:t>八</w:t>
            </w:r>
            <w:r>
              <w:rPr>
                <w:rFonts w:hint="default" w:ascii="Times New Roman" w:hAnsi="Times New Roman" w:eastAsia="宋体" w:cs="Times New Roman"/>
                <w:b/>
                <w:color w:val="auto"/>
                <w:sz w:val="36"/>
                <w:szCs w:val="36"/>
                <w:highlight w:val="none"/>
                <w:u w:val="none" w:color="auto"/>
              </w:rPr>
              <w:t>月</w:t>
            </w:r>
          </w:p>
        </w:tc>
      </w:tr>
    </w:tbl>
    <w:p w14:paraId="2FF72612">
      <w:pPr>
        <w:adjustRightInd w:val="0"/>
        <w:snapToGrid w:val="0"/>
        <w:spacing w:line="288" w:lineRule="auto"/>
        <w:ind w:firstLine="1040"/>
        <w:rPr>
          <w:rFonts w:hint="default" w:ascii="Times New Roman" w:hAnsi="Times New Roman" w:eastAsia="宋体" w:cs="Times New Roman"/>
          <w:b/>
          <w:color w:val="auto"/>
          <w:sz w:val="36"/>
          <w:szCs w:val="36"/>
          <w:highlight w:val="none"/>
          <w:u w:val="none" w:color="auto"/>
        </w:rPr>
      </w:pPr>
      <w:bookmarkStart w:id="1" w:name="_Hlk57884087"/>
    </w:p>
    <w:p w14:paraId="124D3FEE">
      <w:pPr>
        <w:adjustRightInd w:val="0"/>
        <w:snapToGrid w:val="0"/>
        <w:spacing w:line="288" w:lineRule="auto"/>
        <w:ind w:firstLine="1040"/>
        <w:rPr>
          <w:rFonts w:hint="default" w:ascii="Times New Roman" w:hAnsi="Times New Roman" w:eastAsia="宋体" w:cs="Times New Roman"/>
          <w:b/>
          <w:color w:val="auto"/>
          <w:sz w:val="36"/>
          <w:szCs w:val="36"/>
          <w:highlight w:val="none"/>
          <w:u w:val="none" w:color="auto"/>
        </w:rPr>
      </w:pPr>
    </w:p>
    <w:p w14:paraId="4FF23650">
      <w:pPr>
        <w:adjustRightInd w:val="0"/>
        <w:snapToGrid w:val="0"/>
        <w:spacing w:line="288" w:lineRule="auto"/>
        <w:ind w:firstLine="1040"/>
        <w:rPr>
          <w:rFonts w:hint="default" w:ascii="Times New Roman" w:hAnsi="Times New Roman" w:eastAsia="宋体" w:cs="Times New Roman"/>
          <w:b/>
          <w:color w:val="auto"/>
          <w:sz w:val="36"/>
          <w:szCs w:val="36"/>
          <w:highlight w:val="none"/>
          <w:u w:val="none" w:color="auto"/>
        </w:rPr>
      </w:pPr>
    </w:p>
    <w:p w14:paraId="4EF13EA2">
      <w:pPr>
        <w:adjustRightInd w:val="0"/>
        <w:snapToGrid w:val="0"/>
        <w:spacing w:line="288" w:lineRule="auto"/>
        <w:ind w:firstLine="1040"/>
        <w:rPr>
          <w:rFonts w:hint="default" w:ascii="Times New Roman" w:hAnsi="Times New Roman" w:eastAsia="宋体" w:cs="Times New Roman"/>
          <w:b/>
          <w:color w:val="auto"/>
          <w:sz w:val="36"/>
          <w:szCs w:val="36"/>
          <w:highlight w:val="none"/>
          <w:u w:val="none" w:color="auto"/>
        </w:rPr>
      </w:pPr>
    </w:p>
    <w:p w14:paraId="057F3396">
      <w:pPr>
        <w:adjustRightInd w:val="0"/>
        <w:snapToGrid w:val="0"/>
        <w:spacing w:line="288" w:lineRule="auto"/>
        <w:ind w:firstLine="1040"/>
        <w:rPr>
          <w:rFonts w:hint="default" w:ascii="Times New Roman" w:hAnsi="Times New Roman" w:eastAsia="宋体" w:cs="Times New Roman"/>
          <w:b/>
          <w:color w:val="auto"/>
          <w:sz w:val="36"/>
          <w:szCs w:val="36"/>
          <w:highlight w:val="none"/>
          <w:u w:val="none" w:color="auto"/>
        </w:rPr>
      </w:pPr>
    </w:p>
    <w:bookmarkEnd w:id="1"/>
    <w:p w14:paraId="1FB348C1">
      <w:pPr>
        <w:adjustRightInd w:val="0"/>
        <w:snapToGrid w:val="0"/>
        <w:spacing w:line="288" w:lineRule="auto"/>
        <w:jc w:val="center"/>
        <w:rPr>
          <w:rFonts w:hint="default" w:ascii="Times New Roman" w:hAnsi="Times New Roman" w:eastAsia="宋体" w:cs="Times New Roman"/>
          <w:b/>
          <w:color w:val="auto"/>
          <w:sz w:val="36"/>
          <w:szCs w:val="36"/>
          <w:highlight w:val="none"/>
          <w:u w:val="none" w:color="auto"/>
        </w:rPr>
      </w:pPr>
    </w:p>
    <w:p w14:paraId="5931B406">
      <w:pPr>
        <w:adjustRightInd w:val="0"/>
        <w:snapToGrid w:val="0"/>
        <w:spacing w:line="288" w:lineRule="auto"/>
        <w:jc w:val="center"/>
        <w:rPr>
          <w:rFonts w:hint="default" w:ascii="Times New Roman" w:hAnsi="Times New Roman" w:eastAsia="宋体" w:cs="Times New Roman"/>
          <w:b/>
          <w:color w:val="auto"/>
          <w:sz w:val="36"/>
          <w:szCs w:val="36"/>
          <w:highlight w:val="none"/>
          <w:u w:val="none" w:color="auto"/>
        </w:rPr>
      </w:pPr>
    </w:p>
    <w:p w14:paraId="7EC4CFBF">
      <w:pPr>
        <w:adjustRightInd w:val="0"/>
        <w:snapToGrid w:val="0"/>
        <w:spacing w:line="288" w:lineRule="auto"/>
        <w:jc w:val="center"/>
        <w:outlineLvl w:val="0"/>
        <w:rPr>
          <w:rFonts w:hint="default" w:ascii="Times New Roman" w:hAnsi="Times New Roman" w:eastAsia="宋体" w:cs="Times New Roman"/>
          <w:b/>
          <w:color w:val="auto"/>
          <w:sz w:val="36"/>
          <w:szCs w:val="36"/>
          <w:highlight w:val="none"/>
          <w:u w:val="none" w:color="auto"/>
        </w:rPr>
      </w:pPr>
      <w:bookmarkStart w:id="2" w:name="_Toc3159"/>
      <w:r>
        <w:rPr>
          <w:rFonts w:hint="default" w:ascii="Times New Roman" w:hAnsi="Times New Roman" w:eastAsia="宋体" w:cs="Times New Roman"/>
          <w:b/>
          <w:color w:val="auto"/>
          <w:sz w:val="36"/>
          <w:szCs w:val="36"/>
          <w:highlight w:val="none"/>
          <w:u w:val="none" w:color="auto"/>
        </w:rPr>
        <w:t>中华人民共和国生态环境部制</w:t>
      </w:r>
      <w:bookmarkEnd w:id="2"/>
    </w:p>
    <w:p w14:paraId="2E44B1C6">
      <w:pPr>
        <w:adjustRightInd w:val="0"/>
        <w:snapToGrid w:val="0"/>
        <w:spacing w:line="288" w:lineRule="auto"/>
        <w:ind w:firstLine="1040"/>
        <w:rPr>
          <w:rFonts w:hint="default" w:ascii="Times New Roman" w:hAnsi="Times New Roman" w:eastAsia="宋体" w:cs="Times New Roman"/>
          <w:color w:val="auto"/>
          <w:sz w:val="36"/>
          <w:szCs w:val="36"/>
          <w:highlight w:val="none"/>
          <w:u w:val="none" w:color="auto"/>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15D17573">
      <w:pPr>
        <w:adjustRightInd w:val="0"/>
        <w:snapToGrid w:val="0"/>
        <w:spacing w:line="288" w:lineRule="auto"/>
        <w:rPr>
          <w:rFonts w:hint="eastAsia" w:ascii="Times New Roman" w:hAnsi="Times New Roman" w:eastAsia="宋体" w:cs="Times New Roman"/>
          <w:color w:val="auto"/>
          <w:sz w:val="36"/>
          <w:szCs w:val="36"/>
          <w:highlight w:val="none"/>
          <w:u w:val="none" w:color="auto"/>
          <w:lang w:eastAsia="zh-CN"/>
        </w:rPr>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r>
        <w:rPr>
          <w:rFonts w:hint="eastAsia" w:ascii="Times New Roman" w:hAnsi="Times New Roman" w:eastAsia="宋体" w:cs="Times New Roman"/>
          <w:color w:val="auto"/>
          <w:sz w:val="36"/>
          <w:szCs w:val="36"/>
          <w:highlight w:val="none"/>
          <w:u w:val="none" w:color="auto"/>
          <w:lang w:eastAsia="zh-CN"/>
        </w:rPr>
        <w:drawing>
          <wp:inline distT="0" distB="0" distL="114300" distR="114300">
            <wp:extent cx="6213475" cy="8473440"/>
            <wp:effectExtent l="0" t="0" r="4445" b="0"/>
            <wp:docPr id="42" name="图片 42" descr="资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资质"/>
                    <pic:cNvPicPr>
                      <a:picLocks noChangeAspect="1"/>
                    </pic:cNvPicPr>
                  </pic:nvPicPr>
                  <pic:blipFill>
                    <a:blip r:embed="rId9"/>
                    <a:stretch>
                      <a:fillRect/>
                    </a:stretch>
                  </pic:blipFill>
                  <pic:spPr>
                    <a:xfrm>
                      <a:off x="0" y="0"/>
                      <a:ext cx="6213475" cy="8473440"/>
                    </a:xfrm>
                    <a:prstGeom prst="rect">
                      <a:avLst/>
                    </a:prstGeom>
                  </pic:spPr>
                </pic:pic>
              </a:graphicData>
            </a:graphic>
          </wp:inline>
        </w:drawing>
      </w:r>
    </w:p>
    <w:p w14:paraId="43DFB434">
      <w:pPr>
        <w:adjustRightInd w:val="0"/>
        <w:snapToGrid w:val="0"/>
        <w:spacing w:line="288" w:lineRule="auto"/>
        <w:rPr>
          <w:rFonts w:hint="default" w:ascii="Times New Roman" w:hAnsi="Times New Roman" w:eastAsia="宋体" w:cs="Times New Roman"/>
          <w:color w:val="auto"/>
          <w:sz w:val="36"/>
          <w:szCs w:val="36"/>
          <w:highlight w:val="none"/>
          <w:u w:val="none" w:color="auto"/>
        </w:rPr>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r>
        <w:rPr>
          <w:rFonts w:hint="default" w:eastAsia="宋体"/>
          <w:color w:val="auto"/>
          <w:sz w:val="36"/>
          <w:szCs w:val="36"/>
          <w:u w:val="none" w:color="auto"/>
        </w:rPr>
        <mc:AlternateContent>
          <mc:Choice Requires="wps">
            <w:drawing>
              <wp:anchor distT="0" distB="0" distL="114300" distR="114300" simplePos="0" relativeHeight="251662336" behindDoc="0" locked="0" layoutInCell="1" allowOverlap="1">
                <wp:simplePos x="0" y="0"/>
                <wp:positionH relativeFrom="column">
                  <wp:posOffset>-208915</wp:posOffset>
                </wp:positionH>
                <wp:positionV relativeFrom="paragraph">
                  <wp:posOffset>3318510</wp:posOffset>
                </wp:positionV>
                <wp:extent cx="6079490" cy="656590"/>
                <wp:effectExtent l="0" t="0" r="0" b="0"/>
                <wp:wrapNone/>
                <wp:docPr id="66" name="文本框 66"/>
                <wp:cNvGraphicFramePr/>
                <a:graphic xmlns:a="http://schemas.openxmlformats.org/drawingml/2006/main">
                  <a:graphicData uri="http://schemas.microsoft.com/office/word/2010/wordprocessingShape">
                    <wps:wsp>
                      <wps:cNvSpPr txBox="1"/>
                      <wps:spPr>
                        <a:xfrm rot="-1489747">
                          <a:off x="0" y="0"/>
                          <a:ext cx="6079490" cy="656590"/>
                        </a:xfrm>
                        <a:prstGeom prst="rect">
                          <a:avLst/>
                        </a:prstGeom>
                        <a:noFill/>
                        <a:ln w="6350">
                          <a:noFill/>
                        </a:ln>
                        <a:effectLst/>
                      </wps:spPr>
                      <wps:txbx>
                        <w:txbxContent>
                          <w:p w14:paraId="556F459B">
                            <w:pPr>
                              <w:spacing w:beforeLines="0" w:afterLines="0"/>
                              <w:jc w:val="center"/>
                              <w:rPr>
                                <w:rFonts w:hint="eastAsia" w:eastAsia="宋体"/>
                                <w:b/>
                                <w:color w:val="FF0000"/>
                                <w:sz w:val="24"/>
                                <w:szCs w:val="24"/>
                              </w:rPr>
                            </w:pPr>
                            <w:r>
                              <w:rPr>
                                <w:rFonts w:hint="eastAsia" w:eastAsia="宋体"/>
                                <w:b/>
                                <w:color w:val="FF0000"/>
                                <w:sz w:val="24"/>
                                <w:szCs w:val="24"/>
                              </w:rPr>
                              <w:t>仅供</w:t>
                            </w:r>
                            <w:r>
                              <w:rPr>
                                <w:rFonts w:hint="eastAsia" w:eastAsia="宋体"/>
                                <w:b/>
                                <w:color w:val="FF0000"/>
                                <w:sz w:val="24"/>
                                <w:szCs w:val="24"/>
                                <w:lang w:val="en-US" w:eastAsia="zh-CN"/>
                              </w:rPr>
                              <w:t>湖南省口福轩有限公司食品加工生产</w:t>
                            </w:r>
                            <w:r>
                              <w:rPr>
                                <w:rFonts w:hint="eastAsia" w:eastAsia="宋体"/>
                                <w:b/>
                                <w:color w:val="FF0000"/>
                                <w:sz w:val="24"/>
                                <w:szCs w:val="24"/>
                                <w:lang w:eastAsia="zh-CN"/>
                              </w:rPr>
                              <w:t>建设项目</w:t>
                            </w:r>
                          </w:p>
                          <w:p w14:paraId="6BBE404F">
                            <w:pPr>
                              <w:spacing w:beforeLines="0" w:afterLines="0"/>
                              <w:jc w:val="center"/>
                              <w:rPr>
                                <w:rFonts w:hint="eastAsia"/>
                                <w:b/>
                                <w:color w:val="FF0000"/>
                                <w:sz w:val="24"/>
                                <w:szCs w:val="24"/>
                              </w:rPr>
                            </w:pPr>
                            <w:r>
                              <w:rPr>
                                <w:rFonts w:hint="eastAsia" w:eastAsia="宋体"/>
                                <w:b/>
                                <w:color w:val="FF0000"/>
                                <w:sz w:val="24"/>
                                <w:szCs w:val="24"/>
                              </w:rPr>
                              <w:t>环境影响报告表使用</w:t>
                            </w:r>
                          </w:p>
                        </w:txbxContent>
                      </wps:txbx>
                      <wps:bodyPr upright="1"/>
                    </wps:wsp>
                  </a:graphicData>
                </a:graphic>
              </wp:anchor>
            </w:drawing>
          </mc:Choice>
          <mc:Fallback>
            <w:pict>
              <v:shape id="_x0000_s1026" o:spid="_x0000_s1026" o:spt="202" type="#_x0000_t202" style="position:absolute;left:0pt;margin-left:-16.45pt;margin-top:261.3pt;height:51.7pt;width:478.7pt;rotation:-1627201f;z-index:251662336;mso-width-relative:page;mso-height-relative:page;" filled="f" stroked="f" coordsize="21600,21600" o:gfxdata="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7dXT6toAAAALAQAADwAAAAAAAAABACAAAAAiAAAAZHJzL2Rv&#10;d25yZXYueG1sUEsBAhQAFAAAAAgAh07iQGyKNczGAQAAdgMAAA4AAAAAAAAAAQAgAAAAKQEAAGRy&#10;cy9lMm9Eb2MueG1sUEsFBgAAAAAGAAYAWQEAAGEFAAAAAA==&#10;">
                <v:fill on="f" focussize="0,0"/>
                <v:stroke on="f" weight="0.5pt"/>
                <v:imagedata o:title=""/>
                <o:lock v:ext="edit" aspectratio="f"/>
                <v:textbox>
                  <w:txbxContent>
                    <w:p w14:paraId="556F459B">
                      <w:pPr>
                        <w:spacing w:beforeLines="0" w:afterLines="0"/>
                        <w:jc w:val="center"/>
                        <w:rPr>
                          <w:rFonts w:hint="eastAsia" w:eastAsia="宋体"/>
                          <w:b/>
                          <w:color w:val="FF0000"/>
                          <w:sz w:val="24"/>
                          <w:szCs w:val="24"/>
                        </w:rPr>
                      </w:pPr>
                      <w:r>
                        <w:rPr>
                          <w:rFonts w:hint="eastAsia" w:eastAsia="宋体"/>
                          <w:b/>
                          <w:color w:val="FF0000"/>
                          <w:sz w:val="24"/>
                          <w:szCs w:val="24"/>
                        </w:rPr>
                        <w:t>仅供</w:t>
                      </w:r>
                      <w:r>
                        <w:rPr>
                          <w:rFonts w:hint="eastAsia" w:eastAsia="宋体"/>
                          <w:b/>
                          <w:color w:val="FF0000"/>
                          <w:sz w:val="24"/>
                          <w:szCs w:val="24"/>
                          <w:lang w:val="en-US" w:eastAsia="zh-CN"/>
                        </w:rPr>
                        <w:t>湖南省口福轩有限公司食品加工生产</w:t>
                      </w:r>
                      <w:r>
                        <w:rPr>
                          <w:rFonts w:hint="eastAsia" w:eastAsia="宋体"/>
                          <w:b/>
                          <w:color w:val="FF0000"/>
                          <w:sz w:val="24"/>
                          <w:szCs w:val="24"/>
                          <w:lang w:eastAsia="zh-CN"/>
                        </w:rPr>
                        <w:t>建设项目</w:t>
                      </w:r>
                    </w:p>
                    <w:p w14:paraId="6BBE404F">
                      <w:pPr>
                        <w:spacing w:beforeLines="0" w:afterLines="0"/>
                        <w:jc w:val="center"/>
                        <w:rPr>
                          <w:rFonts w:hint="eastAsia"/>
                          <w:b/>
                          <w:color w:val="FF0000"/>
                          <w:sz w:val="24"/>
                          <w:szCs w:val="24"/>
                        </w:rPr>
                      </w:pPr>
                      <w:r>
                        <w:rPr>
                          <w:rFonts w:hint="eastAsia" w:eastAsia="宋体"/>
                          <w:b/>
                          <w:color w:val="FF0000"/>
                          <w:sz w:val="24"/>
                          <w:szCs w:val="24"/>
                        </w:rPr>
                        <w:t>环境影响报告表使用</w:t>
                      </w:r>
                    </w:p>
                  </w:txbxContent>
                </v:textbox>
              </v:shape>
            </w:pict>
          </mc:Fallback>
        </mc:AlternateContent>
      </w:r>
      <w:r>
        <w:rPr>
          <w:rFonts w:hint="default" w:eastAsia="宋体"/>
          <w:color w:val="auto"/>
          <w:sz w:val="36"/>
          <w:szCs w:val="36"/>
          <w:u w:val="none" w:color="auto"/>
        </w:rPr>
        <w:drawing>
          <wp:inline distT="0" distB="0" distL="114300" distR="114300">
            <wp:extent cx="5238750" cy="3636010"/>
            <wp:effectExtent l="0" t="0" r="3810" b="6350"/>
            <wp:docPr id="67" name="图片 2" descr="10a52e93b405d3ad884304ea9ed33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2" descr="10a52e93b405d3ad884304ea9ed33f4"/>
                    <pic:cNvPicPr>
                      <a:picLocks noChangeAspect="1"/>
                    </pic:cNvPicPr>
                  </pic:nvPicPr>
                  <pic:blipFill>
                    <a:blip r:embed="rId10"/>
                    <a:stretch>
                      <a:fillRect/>
                    </a:stretch>
                  </pic:blipFill>
                  <pic:spPr>
                    <a:xfrm>
                      <a:off x="0" y="0"/>
                      <a:ext cx="5238750" cy="3636010"/>
                    </a:xfrm>
                    <a:prstGeom prst="rect">
                      <a:avLst/>
                    </a:prstGeom>
                    <a:noFill/>
                    <a:ln>
                      <a:noFill/>
                    </a:ln>
                  </pic:spPr>
                </pic:pic>
              </a:graphicData>
            </a:graphic>
          </wp:inline>
        </w:drawing>
      </w:r>
      <w:r>
        <w:rPr>
          <w:rFonts w:hint="default" w:eastAsia="宋体"/>
          <w:color w:val="auto"/>
          <w:sz w:val="36"/>
          <w:szCs w:val="36"/>
          <w:u w:val="none" w:color="auto"/>
        </w:rPr>
        <w:drawing>
          <wp:inline distT="0" distB="0" distL="114300" distR="114300">
            <wp:extent cx="5263515" cy="3762375"/>
            <wp:effectExtent l="0" t="0" r="9525" b="1905"/>
            <wp:docPr id="68" name="图片 3" descr="6815d26503e0e530af94a63a83ee7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3" descr="6815d26503e0e530af94a63a83ee71f"/>
                    <pic:cNvPicPr>
                      <a:picLocks noChangeAspect="1"/>
                    </pic:cNvPicPr>
                  </pic:nvPicPr>
                  <pic:blipFill>
                    <a:blip r:embed="rId11"/>
                    <a:stretch>
                      <a:fillRect/>
                    </a:stretch>
                  </pic:blipFill>
                  <pic:spPr>
                    <a:xfrm>
                      <a:off x="0" y="0"/>
                      <a:ext cx="5263515" cy="3762375"/>
                    </a:xfrm>
                    <a:prstGeom prst="rect">
                      <a:avLst/>
                    </a:prstGeom>
                    <a:noFill/>
                    <a:ln>
                      <a:noFill/>
                    </a:ln>
                  </pic:spPr>
                </pic:pic>
              </a:graphicData>
            </a:graphic>
          </wp:inline>
        </w:drawing>
      </w:r>
    </w:p>
    <w:p w14:paraId="2134B681">
      <w:pPr>
        <w:adjustRightInd w:val="0"/>
        <w:snapToGrid w:val="0"/>
        <w:spacing w:line="288" w:lineRule="auto"/>
        <w:rPr>
          <w:rFonts w:hint="default" w:ascii="Times New Roman" w:hAnsi="Times New Roman" w:eastAsia="宋体" w:cs="Times New Roman"/>
          <w:color w:val="auto"/>
          <w:sz w:val="36"/>
          <w:szCs w:val="36"/>
          <w:highlight w:val="none"/>
          <w:u w:val="none" w:color="auto"/>
          <w:lang w:eastAsia="zh-CN"/>
        </w:rPr>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r>
        <w:rPr>
          <w:sz w:val="36"/>
        </w:rPr>
        <mc:AlternateContent>
          <mc:Choice Requires="wps">
            <w:drawing>
              <wp:anchor distT="0" distB="0" distL="114300" distR="114300" simplePos="0" relativeHeight="251664384" behindDoc="0" locked="0" layoutInCell="1" allowOverlap="1">
                <wp:simplePos x="0" y="0"/>
                <wp:positionH relativeFrom="column">
                  <wp:posOffset>4403725</wp:posOffset>
                </wp:positionH>
                <wp:positionV relativeFrom="paragraph">
                  <wp:posOffset>1202055</wp:posOffset>
                </wp:positionV>
                <wp:extent cx="1123950" cy="200025"/>
                <wp:effectExtent l="12700" t="12700" r="21590" b="15875"/>
                <wp:wrapNone/>
                <wp:docPr id="25" name="矩形 25"/>
                <wp:cNvGraphicFramePr/>
                <a:graphic xmlns:a="http://schemas.openxmlformats.org/drawingml/2006/main">
                  <a:graphicData uri="http://schemas.microsoft.com/office/word/2010/wordprocessingShape">
                    <wps:wsp>
                      <wps:cNvSpPr/>
                      <wps:spPr>
                        <a:xfrm>
                          <a:off x="5375910" y="2282190"/>
                          <a:ext cx="1123950" cy="200025"/>
                        </a:xfrm>
                        <a:prstGeom prst="rect">
                          <a:avLst/>
                        </a:prstGeom>
                        <a:solidFill>
                          <a:schemeClr val="tx1"/>
                        </a:solidFill>
                        <a:ln>
                          <a:gradFill>
                            <a:gsLst>
                              <a:gs pos="50000">
                                <a:schemeClr val="tx1"/>
                              </a:gs>
                              <a:gs pos="0">
                                <a:schemeClr val="tx1">
                                  <a:lumMod val="25000"/>
                                  <a:lumOff val="75000"/>
                                </a:schemeClr>
                              </a:gs>
                              <a:gs pos="100000">
                                <a:schemeClr val="tx1">
                                  <a:lumMod val="85000"/>
                                </a:schemeClr>
                              </a:gs>
                            </a:gsLst>
                            <a:lin ang="5400000" scaled="0"/>
                          </a:gra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6.75pt;margin-top:94.65pt;height:15.75pt;width:88.5pt;z-index:251664384;v-text-anchor:middle;mso-width-relative:page;mso-height-relative:page;" fillcolor="#000000 [3213]" filled="t" stroked="t" coordsize="21600,21600" o:gfxdata="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">
                <v:fill on="t" focussize="0,0"/>
                <v:stroke weight="2pt" color="#000000" joinstyle="round"/>
                <v:imagedata o:title=""/>
                <o:lock v:ext="edit" aspectratio="f"/>
              </v:rect>
            </w:pict>
          </mc:Fallback>
        </mc:AlternateContent>
      </w:r>
      <w:r>
        <w:rPr>
          <w:rFonts w:hint="default" w:ascii="Times New Roman" w:hAnsi="Times New Roman" w:eastAsia="宋体" w:cs="Times New Roman"/>
          <w:color w:val="auto"/>
          <w:sz w:val="36"/>
          <w:szCs w:val="36"/>
          <w:highlight w:val="none"/>
          <w:u w:val="none" w:color="auto"/>
          <w:lang w:eastAsia="zh-CN"/>
        </w:rPr>
        <w:drawing>
          <wp:inline distT="0" distB="0" distL="114300" distR="114300">
            <wp:extent cx="5882005" cy="8324850"/>
            <wp:effectExtent l="0" t="0" r="635" b="11430"/>
            <wp:docPr id="96" name="图片 96" descr="甘璐7月社保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96" descr="甘璐7月社保_01"/>
                    <pic:cNvPicPr>
                      <a:picLocks noChangeAspect="1"/>
                    </pic:cNvPicPr>
                  </pic:nvPicPr>
                  <pic:blipFill>
                    <a:blip r:embed="rId12"/>
                    <a:stretch>
                      <a:fillRect/>
                    </a:stretch>
                  </pic:blipFill>
                  <pic:spPr>
                    <a:xfrm>
                      <a:off x="0" y="0"/>
                      <a:ext cx="5882005" cy="8324850"/>
                    </a:xfrm>
                    <a:prstGeom prst="rect">
                      <a:avLst/>
                    </a:prstGeom>
                  </pic:spPr>
                </pic:pic>
              </a:graphicData>
            </a:graphic>
          </wp:inline>
        </w:drawing>
      </w:r>
    </w:p>
    <w:p w14:paraId="11A3C806">
      <w:pPr>
        <w:adjustRightInd w:val="0"/>
        <w:snapToGrid w:val="0"/>
        <w:spacing w:line="288" w:lineRule="auto"/>
        <w:rPr>
          <w:rFonts w:hint="default" w:ascii="Times New Roman" w:hAnsi="Times New Roman" w:eastAsia="宋体" w:cs="Times New Roman"/>
          <w:color w:val="auto"/>
          <w:sz w:val="36"/>
          <w:szCs w:val="36"/>
          <w:highlight w:val="none"/>
          <w:u w:val="none" w:color="auto"/>
          <w:lang w:eastAsia="zh-CN"/>
        </w:rPr>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r>
        <w:rPr>
          <w:rFonts w:hint="default" w:ascii="Times New Roman" w:hAnsi="Times New Roman" w:eastAsia="宋体" w:cs="Times New Roman"/>
          <w:color w:val="auto"/>
          <w:sz w:val="36"/>
          <w:szCs w:val="36"/>
          <w:highlight w:val="none"/>
          <w:u w:val="none" w:color="auto"/>
          <w:lang w:eastAsia="zh-CN"/>
        </w:rPr>
        <w:drawing>
          <wp:inline distT="0" distB="0" distL="114300" distR="114300">
            <wp:extent cx="5965825" cy="8443595"/>
            <wp:effectExtent l="0" t="0" r="8255" b="14605"/>
            <wp:docPr id="97" name="图片 97" descr="甘璐7月社保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97" descr="甘璐7月社保_02"/>
                    <pic:cNvPicPr>
                      <a:picLocks noChangeAspect="1"/>
                    </pic:cNvPicPr>
                  </pic:nvPicPr>
                  <pic:blipFill>
                    <a:blip r:embed="rId13"/>
                    <a:stretch>
                      <a:fillRect/>
                    </a:stretch>
                  </pic:blipFill>
                  <pic:spPr>
                    <a:xfrm>
                      <a:off x="0" y="0"/>
                      <a:ext cx="5965825" cy="8443595"/>
                    </a:xfrm>
                    <a:prstGeom prst="rect">
                      <a:avLst/>
                    </a:prstGeom>
                  </pic:spPr>
                </pic:pic>
              </a:graphicData>
            </a:graphic>
          </wp:inline>
        </w:drawing>
      </w:r>
    </w:p>
    <w:p w14:paraId="037A4455">
      <w:pPr>
        <w:adjustRightInd w:val="0"/>
        <w:snapToGrid w:val="0"/>
        <w:spacing w:line="288" w:lineRule="auto"/>
        <w:rPr>
          <w:rFonts w:hint="default" w:ascii="Times New Roman" w:hAnsi="Times New Roman" w:eastAsia="宋体" w:cs="Times New Roman"/>
          <w:color w:val="auto"/>
          <w:sz w:val="36"/>
          <w:szCs w:val="36"/>
          <w:highlight w:val="none"/>
          <w:u w:val="none" w:color="auto"/>
          <w:lang w:eastAsia="zh-CN"/>
        </w:rPr>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r>
        <w:rPr>
          <w:color w:val="auto"/>
          <w:sz w:val="36"/>
        </w:rPr>
        <mc:AlternateContent>
          <mc:Choice Requires="wps">
            <w:drawing>
              <wp:anchor distT="0" distB="0" distL="114300" distR="114300" simplePos="0" relativeHeight="251663360" behindDoc="0" locked="0" layoutInCell="1" allowOverlap="1">
                <wp:simplePos x="0" y="0"/>
                <wp:positionH relativeFrom="column">
                  <wp:posOffset>394970</wp:posOffset>
                </wp:positionH>
                <wp:positionV relativeFrom="paragraph">
                  <wp:posOffset>2915920</wp:posOffset>
                </wp:positionV>
                <wp:extent cx="4998720" cy="1799590"/>
                <wp:effectExtent l="1599565" t="0" r="0" b="0"/>
                <wp:wrapNone/>
                <wp:docPr id="70" name="文本框 70"/>
                <wp:cNvGraphicFramePr/>
                <a:graphic xmlns:a="http://schemas.openxmlformats.org/drawingml/2006/main">
                  <a:graphicData uri="http://schemas.microsoft.com/office/word/2010/wordprocessingShape">
                    <wps:wsp>
                      <wps:cNvSpPr txBox="1"/>
                      <wps:spPr>
                        <a:xfrm rot="16200000">
                          <a:off x="0" y="0"/>
                          <a:ext cx="4998720" cy="17995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C986BC">
                            <w:pPr>
                              <w:spacing w:beforeLines="0" w:afterLines="0"/>
                              <w:jc w:val="center"/>
                              <w:rPr>
                                <w:rFonts w:hint="eastAsia"/>
                                <w:b/>
                                <w:color w:val="FF0000"/>
                                <w:sz w:val="24"/>
                                <w:szCs w:val="24"/>
                              </w:rPr>
                            </w:pPr>
                            <w:r>
                              <w:rPr>
                                <w:rFonts w:hint="eastAsia" w:eastAsia="宋体"/>
                                <w:b/>
                                <w:color w:val="FF0000"/>
                                <w:sz w:val="24"/>
                                <w:szCs w:val="24"/>
                              </w:rPr>
                              <w:t>仅供</w:t>
                            </w:r>
                            <w:r>
                              <w:rPr>
                                <w:rFonts w:hint="eastAsia" w:eastAsia="宋体"/>
                                <w:b/>
                                <w:color w:val="FF0000"/>
                                <w:sz w:val="24"/>
                                <w:szCs w:val="24"/>
                                <w:lang w:val="en-US" w:eastAsia="zh-CN"/>
                              </w:rPr>
                              <w:t>湖南省口福轩有限公司食品加工生产</w:t>
                            </w:r>
                            <w:r>
                              <w:rPr>
                                <w:rFonts w:hint="eastAsia" w:eastAsia="宋体"/>
                                <w:b/>
                                <w:color w:val="FF0000"/>
                                <w:sz w:val="24"/>
                                <w:szCs w:val="24"/>
                                <w:lang w:eastAsia="zh-CN"/>
                              </w:rPr>
                              <w:t>建设项目</w:t>
                            </w:r>
                            <w:r>
                              <w:rPr>
                                <w:rFonts w:hint="eastAsia" w:eastAsia="宋体"/>
                                <w:b/>
                                <w:color w:val="FF0000"/>
                                <w:sz w:val="24"/>
                                <w:szCs w:val="24"/>
                              </w:rPr>
                              <w:t>环境影响报告表使用</w:t>
                            </w:r>
                          </w:p>
                          <w:p w14:paraId="3F478B4C"/>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1.1pt;margin-top:229.6pt;height:141.7pt;width:393.6pt;rotation:-5898240f;z-index:251663360;mso-width-relative:page;mso-height-relative:page;" filled="f" stroked="f" coordsize="21600,21600" o:gfxdata="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a/PpbdkAAAAKAQAADwAAAAAAAAABACAA&#10;AAAiAAAAZHJzL2Rvd25yZXYueG1sUEsBAhQAFAAAAAgAh07iQE2p24pFAgAAeAQAAA4AAAAAAAAA&#10;AQAgAAAAKAEAAGRycy9lMm9Eb2MueG1sUEsFBgAAAAAGAAYAWQEAAN8FAAAAAA==&#10;">
                <v:fill on="f" focussize="0,0"/>
                <v:stroke on="f" weight="0.5pt"/>
                <v:imagedata o:title=""/>
                <o:lock v:ext="edit" aspectratio="f"/>
                <v:textbox>
                  <w:txbxContent>
                    <w:p w14:paraId="7FC986BC">
                      <w:pPr>
                        <w:spacing w:beforeLines="0" w:afterLines="0"/>
                        <w:jc w:val="center"/>
                        <w:rPr>
                          <w:rFonts w:hint="eastAsia"/>
                          <w:b/>
                          <w:color w:val="FF0000"/>
                          <w:sz w:val="24"/>
                          <w:szCs w:val="24"/>
                        </w:rPr>
                      </w:pPr>
                      <w:r>
                        <w:rPr>
                          <w:rFonts w:hint="eastAsia" w:eastAsia="宋体"/>
                          <w:b/>
                          <w:color w:val="FF0000"/>
                          <w:sz w:val="24"/>
                          <w:szCs w:val="24"/>
                        </w:rPr>
                        <w:t>仅供</w:t>
                      </w:r>
                      <w:r>
                        <w:rPr>
                          <w:rFonts w:hint="eastAsia" w:eastAsia="宋体"/>
                          <w:b/>
                          <w:color w:val="FF0000"/>
                          <w:sz w:val="24"/>
                          <w:szCs w:val="24"/>
                          <w:lang w:val="en-US" w:eastAsia="zh-CN"/>
                        </w:rPr>
                        <w:t>湖南省口福轩有限公司食品加工生产</w:t>
                      </w:r>
                      <w:r>
                        <w:rPr>
                          <w:rFonts w:hint="eastAsia" w:eastAsia="宋体"/>
                          <w:b/>
                          <w:color w:val="FF0000"/>
                          <w:sz w:val="24"/>
                          <w:szCs w:val="24"/>
                          <w:lang w:eastAsia="zh-CN"/>
                        </w:rPr>
                        <w:t>建设项目</w:t>
                      </w:r>
                      <w:r>
                        <w:rPr>
                          <w:rFonts w:hint="eastAsia" w:eastAsia="宋体"/>
                          <w:b/>
                          <w:color w:val="FF0000"/>
                          <w:sz w:val="24"/>
                          <w:szCs w:val="24"/>
                        </w:rPr>
                        <w:t>环境影响报告表使用</w:t>
                      </w:r>
                    </w:p>
                    <w:p w14:paraId="3F478B4C"/>
                  </w:txbxContent>
                </v:textbox>
              </v:shape>
            </w:pict>
          </mc:Fallback>
        </mc:AlternateContent>
      </w:r>
      <w:r>
        <w:rPr>
          <w:rFonts w:hint="default" w:ascii="Times New Roman" w:hAnsi="Times New Roman" w:eastAsia="宋体" w:cs="Times New Roman"/>
          <w:color w:val="auto"/>
          <w:sz w:val="36"/>
          <w:szCs w:val="36"/>
          <w:highlight w:val="none"/>
          <w:u w:val="none" w:color="auto"/>
          <w:lang w:eastAsia="zh-CN"/>
        </w:rPr>
        <w:drawing>
          <wp:inline distT="0" distB="0" distL="114300" distR="114300">
            <wp:extent cx="5967095" cy="8282305"/>
            <wp:effectExtent l="0" t="0" r="6985" b="8255"/>
            <wp:docPr id="74" name="图片 74" descr="翔鹏营业执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4" descr="翔鹏营业执照"/>
                    <pic:cNvPicPr>
                      <a:picLocks noChangeAspect="1"/>
                    </pic:cNvPicPr>
                  </pic:nvPicPr>
                  <pic:blipFill>
                    <a:blip r:embed="rId14"/>
                    <a:stretch>
                      <a:fillRect/>
                    </a:stretch>
                  </pic:blipFill>
                  <pic:spPr>
                    <a:xfrm>
                      <a:off x="0" y="0"/>
                      <a:ext cx="5967095" cy="8282305"/>
                    </a:xfrm>
                    <a:prstGeom prst="rect">
                      <a:avLst/>
                    </a:prstGeom>
                  </pic:spPr>
                </pic:pic>
              </a:graphicData>
            </a:graphic>
          </wp:inline>
        </w:drawing>
      </w:r>
    </w:p>
    <w:p w14:paraId="1206D6A2">
      <w:pPr>
        <w:pStyle w:val="2"/>
        <w:rPr>
          <w:rFonts w:hint="default"/>
          <w:lang w:eastAsia="zh-CN"/>
        </w:rPr>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r>
        <w:rPr>
          <w:rFonts w:hint="default"/>
          <w:lang w:eastAsia="zh-CN"/>
        </w:rPr>
        <w:drawing>
          <wp:inline distT="0" distB="0" distL="114300" distR="114300">
            <wp:extent cx="6197600" cy="8480425"/>
            <wp:effectExtent l="0" t="0" r="5080" b="8255"/>
            <wp:docPr id="26" name="图片 26" descr="承诺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承诺书"/>
                    <pic:cNvPicPr>
                      <a:picLocks noChangeAspect="1"/>
                    </pic:cNvPicPr>
                  </pic:nvPicPr>
                  <pic:blipFill>
                    <a:blip r:embed="rId15"/>
                    <a:stretch>
                      <a:fillRect/>
                    </a:stretch>
                  </pic:blipFill>
                  <pic:spPr>
                    <a:xfrm>
                      <a:off x="0" y="0"/>
                      <a:ext cx="6197600" cy="8480425"/>
                    </a:xfrm>
                    <a:prstGeom prst="rect">
                      <a:avLst/>
                    </a:prstGeom>
                  </pic:spPr>
                </pic:pic>
              </a:graphicData>
            </a:graphic>
          </wp:inline>
        </w:drawing>
      </w:r>
    </w:p>
    <w:p w14:paraId="42D3FB1C">
      <w:pPr>
        <w:pStyle w:val="7"/>
        <w:ind w:left="0" w:leftChars="0" w:firstLine="0" w:firstLineChars="0"/>
        <w:rPr>
          <w:rFonts w:hint="default"/>
          <w:lang w:eastAsia="zh-CN"/>
        </w:rPr>
        <w:sectPr>
          <w:pgSz w:w="16838" w:h="11906" w:orient="landscape"/>
          <w:pgMar w:top="1531" w:right="1701" w:bottom="1531" w:left="1701" w:header="851" w:footer="1077" w:gutter="0"/>
          <w:pgBorders>
            <w:top w:val="none" w:sz="0" w:space="0"/>
            <w:left w:val="none" w:sz="0" w:space="0"/>
            <w:bottom w:val="none" w:sz="0" w:space="0"/>
            <w:right w:val="none" w:sz="0" w:space="0"/>
          </w:pgBorders>
          <w:pgNumType w:start="3"/>
          <w:cols w:space="720" w:num="1"/>
          <w:docGrid w:linePitch="312" w:charSpace="0"/>
        </w:sectPr>
      </w:pPr>
      <w:r>
        <w:rPr>
          <w:rFonts w:hint="default"/>
          <w:lang w:eastAsia="zh-CN"/>
        </w:rPr>
        <w:drawing>
          <wp:inline distT="0" distB="0" distL="114300" distR="114300">
            <wp:extent cx="8787765" cy="4149090"/>
            <wp:effectExtent l="0" t="0" r="5715" b="11430"/>
            <wp:docPr id="2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3"/>
                    <pic:cNvPicPr>
                      <a:picLocks noChangeAspect="1"/>
                    </pic:cNvPicPr>
                  </pic:nvPicPr>
                  <pic:blipFill>
                    <a:blip r:embed="rId16"/>
                    <a:stretch>
                      <a:fillRect/>
                    </a:stretch>
                  </pic:blipFill>
                  <pic:spPr>
                    <a:xfrm>
                      <a:off x="0" y="0"/>
                      <a:ext cx="8787765" cy="4149090"/>
                    </a:xfrm>
                    <a:prstGeom prst="rect">
                      <a:avLst/>
                    </a:prstGeom>
                    <a:noFill/>
                    <a:ln>
                      <a:noFill/>
                    </a:ln>
                  </pic:spPr>
                </pic:pic>
              </a:graphicData>
            </a:graphic>
          </wp:inline>
        </w:drawing>
      </w:r>
    </w:p>
    <w:p w14:paraId="4D354866">
      <w:pPr>
        <w:pStyle w:val="7"/>
        <w:ind w:left="0" w:leftChars="0" w:firstLine="0" w:firstLineChars="0"/>
        <w:rPr>
          <w:rFonts w:hint="default"/>
          <w:lang w:eastAsia="zh-CN"/>
        </w:rPr>
        <w:sectPr>
          <w:pgSz w:w="16838" w:h="11906" w:orient="landscape"/>
          <w:pgMar w:top="1531" w:right="1701" w:bottom="1531" w:left="1701" w:header="851" w:footer="1077" w:gutter="0"/>
          <w:pgBorders>
            <w:top w:val="none" w:sz="0" w:space="0"/>
            <w:left w:val="none" w:sz="0" w:space="0"/>
            <w:bottom w:val="none" w:sz="0" w:space="0"/>
            <w:right w:val="none" w:sz="0" w:space="0"/>
          </w:pgBorders>
          <w:pgNumType w:start="3"/>
          <w:cols w:space="720" w:num="1"/>
          <w:docGrid w:linePitch="312" w:charSpace="0"/>
        </w:sectPr>
      </w:pPr>
      <w:r>
        <w:rPr>
          <w:rFonts w:hint="default"/>
          <w:lang w:eastAsia="zh-CN"/>
        </w:rPr>
        <w:drawing>
          <wp:inline distT="0" distB="0" distL="114300" distR="114300">
            <wp:extent cx="8526780" cy="3995420"/>
            <wp:effectExtent l="0" t="0" r="0" b="0"/>
            <wp:docPr id="3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4"/>
                    <pic:cNvPicPr>
                      <a:picLocks noChangeAspect="1"/>
                    </pic:cNvPicPr>
                  </pic:nvPicPr>
                  <pic:blipFill>
                    <a:blip r:embed="rId17"/>
                    <a:srcRect b="2721"/>
                    <a:stretch>
                      <a:fillRect/>
                    </a:stretch>
                  </pic:blipFill>
                  <pic:spPr>
                    <a:xfrm>
                      <a:off x="0" y="0"/>
                      <a:ext cx="8526780" cy="3995420"/>
                    </a:xfrm>
                    <a:prstGeom prst="rect">
                      <a:avLst/>
                    </a:prstGeom>
                    <a:noFill/>
                    <a:ln>
                      <a:noFill/>
                    </a:ln>
                  </pic:spPr>
                </pic:pic>
              </a:graphicData>
            </a:graphic>
          </wp:inline>
        </w:drawing>
      </w:r>
    </w:p>
    <w:sdt>
      <w:sdtPr>
        <w:rPr>
          <w:rFonts w:hint="default" w:ascii="Times New Roman" w:hAnsi="Times New Roman" w:eastAsia="宋体" w:cs="Times New Roman"/>
          <w:b/>
          <w:bCs/>
          <w:color w:val="auto"/>
          <w:kern w:val="2"/>
          <w:sz w:val="32"/>
          <w:szCs w:val="32"/>
          <w:highlight w:val="none"/>
          <w:u w:val="none" w:color="auto"/>
          <w:lang w:val="en-US" w:eastAsia="zh-CN" w:bidi="ar-SA"/>
        </w:rPr>
        <w:id w:val="147468825"/>
        <w15:color w:val="DBDBDB"/>
        <w:docPartObj>
          <w:docPartGallery w:val="Table of Contents"/>
          <w:docPartUnique/>
        </w:docPartObj>
      </w:sdtPr>
      <w:sdtEndPr>
        <w:rPr>
          <w:rFonts w:hint="default" w:ascii="Times New Roman" w:hAnsi="Times New Roman" w:eastAsia="宋体" w:cs="Times New Roman"/>
          <w:b/>
          <w:bCs/>
          <w:color w:val="auto"/>
          <w:kern w:val="2"/>
          <w:sz w:val="28"/>
          <w:szCs w:val="20"/>
          <w:highlight w:val="none"/>
          <w:u w:val="none" w:color="auto"/>
          <w:lang w:val="en-US" w:eastAsia="zh-CN" w:bidi="ar-SA"/>
        </w:rPr>
      </w:sdtEndPr>
      <w:sdtContent>
        <w:p w14:paraId="70A785BE">
          <w:pPr>
            <w:spacing w:before="0" w:beforeLines="0" w:after="0" w:afterLines="0" w:line="240" w:lineRule="auto"/>
            <w:ind w:left="0" w:leftChars="0" w:right="0" w:rightChars="0" w:firstLine="0" w:firstLineChars="0"/>
            <w:jc w:val="center"/>
            <w:rPr>
              <w:rFonts w:hint="default" w:ascii="Times New Roman" w:hAnsi="Times New Roman" w:eastAsia="宋体" w:cs="Times New Roman"/>
              <w:b/>
              <w:bCs/>
              <w:color w:val="auto"/>
              <w:sz w:val="32"/>
              <w:szCs w:val="32"/>
              <w:highlight w:val="none"/>
              <w:u w:val="none" w:color="auto"/>
            </w:rPr>
          </w:pPr>
          <w:r>
            <w:rPr>
              <w:rFonts w:hint="default" w:ascii="Times New Roman" w:hAnsi="Times New Roman" w:eastAsia="宋体" w:cs="Times New Roman"/>
              <w:b/>
              <w:bCs/>
              <w:color w:val="auto"/>
              <w:sz w:val="32"/>
              <w:szCs w:val="32"/>
              <w:highlight w:val="none"/>
              <w:u w:val="none" w:color="auto"/>
            </w:rPr>
            <w:t>目</w:t>
          </w:r>
          <w:r>
            <w:rPr>
              <w:rFonts w:hint="default" w:ascii="Times New Roman" w:hAnsi="Times New Roman" w:eastAsia="宋体" w:cs="Times New Roman"/>
              <w:b/>
              <w:bCs/>
              <w:color w:val="auto"/>
              <w:sz w:val="32"/>
              <w:szCs w:val="32"/>
              <w:highlight w:val="none"/>
              <w:u w:val="none" w:color="auto"/>
              <w:lang w:val="en-US" w:eastAsia="zh-CN"/>
            </w:rPr>
            <w:t xml:space="preserve">  </w:t>
          </w:r>
          <w:r>
            <w:rPr>
              <w:rFonts w:hint="default" w:ascii="Times New Roman" w:hAnsi="Times New Roman" w:eastAsia="宋体" w:cs="Times New Roman"/>
              <w:b/>
              <w:bCs/>
              <w:color w:val="auto"/>
              <w:sz w:val="32"/>
              <w:szCs w:val="32"/>
              <w:highlight w:val="none"/>
              <w:u w:val="none" w:color="auto"/>
            </w:rPr>
            <w:t>录</w:t>
          </w:r>
        </w:p>
        <w:p w14:paraId="72E7A81C">
          <w:pPr>
            <w:pStyle w:val="280"/>
            <w:tabs>
              <w:tab w:val="right" w:leader="dot" w:pos="8844"/>
            </w:tabs>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fldChar w:fldCharType="begin"/>
          </w:r>
          <w:r>
            <w:rPr>
              <w:rFonts w:hint="default" w:ascii="Times New Roman" w:hAnsi="Times New Roman" w:eastAsia="宋体" w:cs="Times New Roman"/>
              <w:color w:val="auto"/>
              <w:highlight w:val="none"/>
              <w:u w:val="none" w:color="auto"/>
            </w:rPr>
            <w:instrText xml:space="preserve">TOC \o "1-1" \h \u </w:instrText>
          </w:r>
          <w:r>
            <w:rPr>
              <w:rFonts w:hint="default" w:ascii="Times New Roman" w:hAnsi="Times New Roman" w:eastAsia="宋体" w:cs="Times New Roman"/>
              <w:color w:val="auto"/>
              <w:highlight w:val="none"/>
              <w:u w:val="none" w:color="auto"/>
            </w:rPr>
            <w:fldChar w:fldCharType="separate"/>
          </w:r>
        </w:p>
        <w:p w14:paraId="0954CB82">
          <w:pPr>
            <w:pStyle w:val="280"/>
            <w:tabs>
              <w:tab w:val="right" w:leader="dot" w:pos="8844"/>
            </w:tabs>
            <w:spacing w:line="360" w:lineRule="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u w:val="none" w:color="auto"/>
            </w:rPr>
            <w:instrText xml:space="preserve"> HYPERLINK \l _Toc12963 </w:instrText>
          </w:r>
          <w:r>
            <w:rPr>
              <w:rFonts w:hint="default" w:ascii="Times New Roman" w:hAnsi="Times New Roman" w:eastAsia="宋体" w:cs="Times New Roman"/>
              <w:color w:val="auto"/>
              <w:sz w:val="24"/>
              <w:szCs w:val="24"/>
              <w:highlight w:val="none"/>
              <w:u w:val="none" w:color="auto"/>
            </w:rPr>
            <w:fldChar w:fldCharType="separate"/>
          </w:r>
          <w:r>
            <w:rPr>
              <w:rFonts w:hint="default" w:ascii="Times New Roman" w:hAnsi="Times New Roman" w:eastAsia="宋体" w:cs="Times New Roman"/>
              <w:color w:val="auto"/>
              <w:sz w:val="24"/>
              <w:szCs w:val="24"/>
              <w:highlight w:val="none"/>
              <w:u w:val="none" w:color="auto"/>
            </w:rPr>
            <w:t>一、建设项目基本情况</w:t>
          </w:r>
          <w:r>
            <w:rPr>
              <w:rFonts w:hint="default" w:ascii="Times New Roman" w:hAnsi="Times New Roman" w:eastAsia="宋体" w:cs="Times New Roman"/>
              <w:color w:val="auto"/>
              <w:sz w:val="24"/>
              <w:szCs w:val="24"/>
              <w:highlight w:val="none"/>
              <w:u w:val="none" w:color="auto"/>
            </w:rPr>
            <w:tab/>
          </w: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u w:val="none" w:color="auto"/>
            </w:rPr>
            <w:instrText xml:space="preserve"> PAGEREF _Toc12963 \h </w:instrText>
          </w:r>
          <w:r>
            <w:rPr>
              <w:rFonts w:hint="default" w:ascii="Times New Roman" w:hAnsi="Times New Roman" w:eastAsia="宋体" w:cs="Times New Roman"/>
              <w:color w:val="auto"/>
              <w:sz w:val="24"/>
              <w:szCs w:val="24"/>
              <w:highlight w:val="none"/>
              <w:u w:val="none" w:color="auto"/>
            </w:rPr>
            <w:fldChar w:fldCharType="separate"/>
          </w:r>
          <w:r>
            <w:rPr>
              <w:rFonts w:hint="default" w:ascii="Times New Roman" w:hAnsi="Times New Roman" w:eastAsia="宋体" w:cs="Times New Roman"/>
              <w:color w:val="auto"/>
              <w:sz w:val="24"/>
              <w:szCs w:val="24"/>
              <w:highlight w:val="none"/>
              <w:u w:val="none" w:color="auto"/>
            </w:rPr>
            <w:t>1</w:t>
          </w:r>
          <w:r>
            <w:rPr>
              <w:rFonts w:hint="default" w:ascii="Times New Roman" w:hAnsi="Times New Roman" w:eastAsia="宋体" w:cs="Times New Roman"/>
              <w:color w:val="auto"/>
              <w:sz w:val="24"/>
              <w:szCs w:val="24"/>
              <w:highlight w:val="none"/>
              <w:u w:val="none" w:color="auto"/>
            </w:rPr>
            <w:fldChar w:fldCharType="end"/>
          </w:r>
          <w:r>
            <w:rPr>
              <w:rFonts w:hint="default" w:ascii="Times New Roman" w:hAnsi="Times New Roman" w:eastAsia="宋体" w:cs="Times New Roman"/>
              <w:color w:val="auto"/>
              <w:sz w:val="24"/>
              <w:szCs w:val="24"/>
              <w:highlight w:val="none"/>
              <w:u w:val="none" w:color="auto"/>
            </w:rPr>
            <w:fldChar w:fldCharType="end"/>
          </w:r>
        </w:p>
        <w:p w14:paraId="4D1DF2AB">
          <w:pPr>
            <w:pStyle w:val="280"/>
            <w:tabs>
              <w:tab w:val="right" w:leader="dot" w:pos="8844"/>
            </w:tabs>
            <w:spacing w:line="360" w:lineRule="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u w:val="none" w:color="auto"/>
            </w:rPr>
            <w:instrText xml:space="preserve"> HYPERLINK \l _Toc106 </w:instrText>
          </w:r>
          <w:r>
            <w:rPr>
              <w:rFonts w:hint="default" w:ascii="Times New Roman" w:hAnsi="Times New Roman" w:eastAsia="宋体" w:cs="Times New Roman"/>
              <w:color w:val="auto"/>
              <w:sz w:val="24"/>
              <w:szCs w:val="24"/>
              <w:highlight w:val="none"/>
              <w:u w:val="none" w:color="auto"/>
            </w:rPr>
            <w:fldChar w:fldCharType="separate"/>
          </w:r>
          <w:r>
            <w:rPr>
              <w:rFonts w:hint="default" w:ascii="Times New Roman" w:hAnsi="Times New Roman" w:eastAsia="宋体" w:cs="Times New Roman"/>
              <w:color w:val="auto"/>
              <w:sz w:val="24"/>
              <w:szCs w:val="24"/>
              <w:highlight w:val="none"/>
              <w:u w:val="none" w:color="auto"/>
            </w:rPr>
            <w:t>二、建设项目工程分析</w:t>
          </w:r>
          <w:r>
            <w:rPr>
              <w:rFonts w:hint="default" w:ascii="Times New Roman" w:hAnsi="Times New Roman" w:eastAsia="宋体" w:cs="Times New Roman"/>
              <w:color w:val="auto"/>
              <w:sz w:val="24"/>
              <w:szCs w:val="24"/>
              <w:highlight w:val="none"/>
              <w:u w:val="none" w:color="auto"/>
            </w:rPr>
            <w:tab/>
          </w: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u w:val="none" w:color="auto"/>
            </w:rPr>
            <w:instrText xml:space="preserve"> PAGEREF _Toc106 \h </w:instrText>
          </w:r>
          <w:r>
            <w:rPr>
              <w:rFonts w:hint="default" w:ascii="Times New Roman" w:hAnsi="Times New Roman" w:eastAsia="宋体" w:cs="Times New Roman"/>
              <w:color w:val="auto"/>
              <w:sz w:val="24"/>
              <w:szCs w:val="24"/>
              <w:highlight w:val="none"/>
              <w:u w:val="none" w:color="auto"/>
            </w:rPr>
            <w:fldChar w:fldCharType="separate"/>
          </w:r>
          <w:r>
            <w:rPr>
              <w:rFonts w:hint="default" w:ascii="Times New Roman" w:hAnsi="Times New Roman" w:eastAsia="宋体" w:cs="Times New Roman"/>
              <w:color w:val="auto"/>
              <w:sz w:val="24"/>
              <w:szCs w:val="24"/>
              <w:highlight w:val="none"/>
              <w:u w:val="none" w:color="auto"/>
            </w:rPr>
            <w:t>26</w:t>
          </w:r>
          <w:r>
            <w:rPr>
              <w:rFonts w:hint="default" w:ascii="Times New Roman" w:hAnsi="Times New Roman" w:eastAsia="宋体" w:cs="Times New Roman"/>
              <w:color w:val="auto"/>
              <w:sz w:val="24"/>
              <w:szCs w:val="24"/>
              <w:highlight w:val="none"/>
              <w:u w:val="none" w:color="auto"/>
            </w:rPr>
            <w:fldChar w:fldCharType="end"/>
          </w:r>
          <w:r>
            <w:rPr>
              <w:rFonts w:hint="default" w:ascii="Times New Roman" w:hAnsi="Times New Roman" w:eastAsia="宋体" w:cs="Times New Roman"/>
              <w:color w:val="auto"/>
              <w:sz w:val="24"/>
              <w:szCs w:val="24"/>
              <w:highlight w:val="none"/>
              <w:u w:val="none" w:color="auto"/>
            </w:rPr>
            <w:fldChar w:fldCharType="end"/>
          </w:r>
        </w:p>
        <w:p w14:paraId="5EAD4F26">
          <w:pPr>
            <w:pStyle w:val="280"/>
            <w:tabs>
              <w:tab w:val="right" w:leader="dot" w:pos="8844"/>
            </w:tabs>
            <w:spacing w:line="360" w:lineRule="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u w:val="none" w:color="auto"/>
            </w:rPr>
            <w:instrText xml:space="preserve"> HYPERLINK \l _Toc22688 </w:instrText>
          </w:r>
          <w:r>
            <w:rPr>
              <w:rFonts w:hint="default" w:ascii="Times New Roman" w:hAnsi="Times New Roman" w:eastAsia="宋体" w:cs="Times New Roman"/>
              <w:color w:val="auto"/>
              <w:sz w:val="24"/>
              <w:szCs w:val="24"/>
              <w:highlight w:val="none"/>
              <w:u w:val="none" w:color="auto"/>
            </w:rPr>
            <w:fldChar w:fldCharType="separate"/>
          </w:r>
          <w:r>
            <w:rPr>
              <w:rFonts w:hint="default" w:ascii="Times New Roman" w:hAnsi="Times New Roman" w:eastAsia="宋体" w:cs="Times New Roman"/>
              <w:color w:val="auto"/>
              <w:sz w:val="24"/>
              <w:szCs w:val="24"/>
              <w:highlight w:val="none"/>
              <w:u w:val="none" w:color="auto"/>
            </w:rPr>
            <w:t>三、区域环境质量现状、环境保护目标及评价标准</w:t>
          </w:r>
          <w:r>
            <w:rPr>
              <w:rFonts w:hint="default" w:ascii="Times New Roman" w:hAnsi="Times New Roman" w:eastAsia="宋体" w:cs="Times New Roman"/>
              <w:color w:val="auto"/>
              <w:sz w:val="24"/>
              <w:szCs w:val="24"/>
              <w:highlight w:val="none"/>
              <w:u w:val="none" w:color="auto"/>
            </w:rPr>
            <w:tab/>
          </w: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u w:val="none" w:color="auto"/>
            </w:rPr>
            <w:instrText xml:space="preserve"> PAGEREF _Toc22688 \h </w:instrText>
          </w:r>
          <w:r>
            <w:rPr>
              <w:rFonts w:hint="default" w:ascii="Times New Roman" w:hAnsi="Times New Roman" w:eastAsia="宋体" w:cs="Times New Roman"/>
              <w:color w:val="auto"/>
              <w:sz w:val="24"/>
              <w:szCs w:val="24"/>
              <w:highlight w:val="none"/>
              <w:u w:val="none" w:color="auto"/>
            </w:rPr>
            <w:fldChar w:fldCharType="separate"/>
          </w:r>
          <w:r>
            <w:rPr>
              <w:rFonts w:hint="default" w:ascii="Times New Roman" w:hAnsi="Times New Roman" w:eastAsia="宋体" w:cs="Times New Roman"/>
              <w:color w:val="auto"/>
              <w:sz w:val="24"/>
              <w:szCs w:val="24"/>
              <w:highlight w:val="none"/>
              <w:u w:val="none" w:color="auto"/>
            </w:rPr>
            <w:t>39</w:t>
          </w:r>
          <w:r>
            <w:rPr>
              <w:rFonts w:hint="default" w:ascii="Times New Roman" w:hAnsi="Times New Roman" w:eastAsia="宋体" w:cs="Times New Roman"/>
              <w:color w:val="auto"/>
              <w:sz w:val="24"/>
              <w:szCs w:val="24"/>
              <w:highlight w:val="none"/>
              <w:u w:val="none" w:color="auto"/>
            </w:rPr>
            <w:fldChar w:fldCharType="end"/>
          </w:r>
          <w:r>
            <w:rPr>
              <w:rFonts w:hint="default" w:ascii="Times New Roman" w:hAnsi="Times New Roman" w:eastAsia="宋体" w:cs="Times New Roman"/>
              <w:color w:val="auto"/>
              <w:sz w:val="24"/>
              <w:szCs w:val="24"/>
              <w:highlight w:val="none"/>
              <w:u w:val="none" w:color="auto"/>
            </w:rPr>
            <w:fldChar w:fldCharType="end"/>
          </w:r>
        </w:p>
        <w:p w14:paraId="6F270C7A">
          <w:pPr>
            <w:pStyle w:val="280"/>
            <w:tabs>
              <w:tab w:val="right" w:leader="dot" w:pos="8844"/>
            </w:tabs>
            <w:spacing w:line="360" w:lineRule="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u w:val="none" w:color="auto"/>
            </w:rPr>
            <w:instrText xml:space="preserve"> HYPERLINK \l _Toc9807 </w:instrText>
          </w:r>
          <w:r>
            <w:rPr>
              <w:rFonts w:hint="default" w:ascii="Times New Roman" w:hAnsi="Times New Roman" w:eastAsia="宋体" w:cs="Times New Roman"/>
              <w:color w:val="auto"/>
              <w:sz w:val="24"/>
              <w:szCs w:val="24"/>
              <w:highlight w:val="none"/>
              <w:u w:val="none" w:color="auto"/>
            </w:rPr>
            <w:fldChar w:fldCharType="separate"/>
          </w:r>
          <w:r>
            <w:rPr>
              <w:rFonts w:hint="default" w:ascii="Times New Roman" w:hAnsi="Times New Roman" w:eastAsia="宋体" w:cs="Times New Roman"/>
              <w:bCs/>
              <w:color w:val="auto"/>
              <w:sz w:val="24"/>
              <w:szCs w:val="24"/>
              <w:highlight w:val="none"/>
              <w:u w:val="none" w:color="auto"/>
            </w:rPr>
            <w:t>四、主要环境影响和保护措施</w:t>
          </w:r>
          <w:r>
            <w:rPr>
              <w:rFonts w:hint="default" w:ascii="Times New Roman" w:hAnsi="Times New Roman" w:eastAsia="宋体" w:cs="Times New Roman"/>
              <w:color w:val="auto"/>
              <w:sz w:val="24"/>
              <w:szCs w:val="24"/>
              <w:highlight w:val="none"/>
              <w:u w:val="none" w:color="auto"/>
            </w:rPr>
            <w:tab/>
          </w: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u w:val="none" w:color="auto"/>
            </w:rPr>
            <w:instrText xml:space="preserve"> PAGEREF _Toc9807 \h </w:instrText>
          </w:r>
          <w:r>
            <w:rPr>
              <w:rFonts w:hint="default" w:ascii="Times New Roman" w:hAnsi="Times New Roman" w:eastAsia="宋体" w:cs="Times New Roman"/>
              <w:color w:val="auto"/>
              <w:sz w:val="24"/>
              <w:szCs w:val="24"/>
              <w:highlight w:val="none"/>
              <w:u w:val="none" w:color="auto"/>
            </w:rPr>
            <w:fldChar w:fldCharType="separate"/>
          </w:r>
          <w:r>
            <w:rPr>
              <w:rFonts w:hint="default" w:ascii="Times New Roman" w:hAnsi="Times New Roman" w:eastAsia="宋体" w:cs="Times New Roman"/>
              <w:color w:val="auto"/>
              <w:sz w:val="24"/>
              <w:szCs w:val="24"/>
              <w:highlight w:val="none"/>
              <w:u w:val="none" w:color="auto"/>
            </w:rPr>
            <w:t>46</w:t>
          </w:r>
          <w:r>
            <w:rPr>
              <w:rFonts w:hint="default" w:ascii="Times New Roman" w:hAnsi="Times New Roman" w:eastAsia="宋体" w:cs="Times New Roman"/>
              <w:color w:val="auto"/>
              <w:sz w:val="24"/>
              <w:szCs w:val="24"/>
              <w:highlight w:val="none"/>
              <w:u w:val="none" w:color="auto"/>
            </w:rPr>
            <w:fldChar w:fldCharType="end"/>
          </w:r>
          <w:r>
            <w:rPr>
              <w:rFonts w:hint="default" w:ascii="Times New Roman" w:hAnsi="Times New Roman" w:eastAsia="宋体" w:cs="Times New Roman"/>
              <w:color w:val="auto"/>
              <w:sz w:val="24"/>
              <w:szCs w:val="24"/>
              <w:highlight w:val="none"/>
              <w:u w:val="none" w:color="auto"/>
            </w:rPr>
            <w:fldChar w:fldCharType="end"/>
          </w:r>
        </w:p>
        <w:p w14:paraId="793EAEB0">
          <w:pPr>
            <w:pStyle w:val="280"/>
            <w:tabs>
              <w:tab w:val="right" w:leader="dot" w:pos="8844"/>
            </w:tabs>
            <w:spacing w:line="360" w:lineRule="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u w:val="none" w:color="auto"/>
            </w:rPr>
            <w:instrText xml:space="preserve"> HYPERLINK \l _Toc10621 </w:instrText>
          </w:r>
          <w:r>
            <w:rPr>
              <w:rFonts w:hint="default" w:ascii="Times New Roman" w:hAnsi="Times New Roman" w:eastAsia="宋体" w:cs="Times New Roman"/>
              <w:color w:val="auto"/>
              <w:sz w:val="24"/>
              <w:szCs w:val="24"/>
              <w:highlight w:val="none"/>
              <w:u w:val="none" w:color="auto"/>
            </w:rPr>
            <w:fldChar w:fldCharType="separate"/>
          </w:r>
          <w:r>
            <w:rPr>
              <w:rFonts w:hint="default" w:ascii="Times New Roman" w:hAnsi="Times New Roman" w:eastAsia="宋体" w:cs="Times New Roman"/>
              <w:color w:val="auto"/>
              <w:sz w:val="24"/>
              <w:szCs w:val="24"/>
              <w:highlight w:val="none"/>
              <w:u w:val="none" w:color="auto"/>
            </w:rPr>
            <w:t>五、环境保护措施监督检查清单</w:t>
          </w:r>
          <w:r>
            <w:rPr>
              <w:rFonts w:hint="default" w:ascii="Times New Roman" w:hAnsi="Times New Roman" w:eastAsia="宋体" w:cs="Times New Roman"/>
              <w:color w:val="auto"/>
              <w:sz w:val="24"/>
              <w:szCs w:val="24"/>
              <w:highlight w:val="none"/>
              <w:u w:val="none" w:color="auto"/>
            </w:rPr>
            <w:tab/>
          </w: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u w:val="none" w:color="auto"/>
            </w:rPr>
            <w:instrText xml:space="preserve"> PAGEREF _Toc10621 \h </w:instrText>
          </w:r>
          <w:r>
            <w:rPr>
              <w:rFonts w:hint="default" w:ascii="Times New Roman" w:hAnsi="Times New Roman" w:eastAsia="宋体" w:cs="Times New Roman"/>
              <w:color w:val="auto"/>
              <w:sz w:val="24"/>
              <w:szCs w:val="24"/>
              <w:highlight w:val="none"/>
              <w:u w:val="none" w:color="auto"/>
            </w:rPr>
            <w:fldChar w:fldCharType="separate"/>
          </w:r>
          <w:r>
            <w:rPr>
              <w:rFonts w:hint="default" w:ascii="Times New Roman" w:hAnsi="Times New Roman" w:eastAsia="宋体" w:cs="Times New Roman"/>
              <w:color w:val="auto"/>
              <w:sz w:val="24"/>
              <w:szCs w:val="24"/>
              <w:highlight w:val="none"/>
              <w:u w:val="none" w:color="auto"/>
            </w:rPr>
            <w:t>72</w:t>
          </w:r>
          <w:r>
            <w:rPr>
              <w:rFonts w:hint="default" w:ascii="Times New Roman" w:hAnsi="Times New Roman" w:eastAsia="宋体" w:cs="Times New Roman"/>
              <w:color w:val="auto"/>
              <w:sz w:val="24"/>
              <w:szCs w:val="24"/>
              <w:highlight w:val="none"/>
              <w:u w:val="none" w:color="auto"/>
            </w:rPr>
            <w:fldChar w:fldCharType="end"/>
          </w:r>
          <w:r>
            <w:rPr>
              <w:rFonts w:hint="default" w:ascii="Times New Roman" w:hAnsi="Times New Roman" w:eastAsia="宋体" w:cs="Times New Roman"/>
              <w:color w:val="auto"/>
              <w:sz w:val="24"/>
              <w:szCs w:val="24"/>
              <w:highlight w:val="none"/>
              <w:u w:val="none" w:color="auto"/>
            </w:rPr>
            <w:fldChar w:fldCharType="end"/>
          </w:r>
        </w:p>
        <w:p w14:paraId="68160907">
          <w:pPr>
            <w:pStyle w:val="280"/>
            <w:tabs>
              <w:tab w:val="right" w:leader="dot" w:pos="8844"/>
            </w:tabs>
            <w:spacing w:line="360" w:lineRule="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u w:val="none" w:color="auto"/>
            </w:rPr>
            <w:instrText xml:space="preserve"> HYPERLINK \l _Toc19894 </w:instrText>
          </w:r>
          <w:r>
            <w:rPr>
              <w:rFonts w:hint="default" w:ascii="Times New Roman" w:hAnsi="Times New Roman" w:eastAsia="宋体" w:cs="Times New Roman"/>
              <w:color w:val="auto"/>
              <w:sz w:val="24"/>
              <w:szCs w:val="24"/>
              <w:highlight w:val="none"/>
              <w:u w:val="none" w:color="auto"/>
            </w:rPr>
            <w:fldChar w:fldCharType="separate"/>
          </w:r>
          <w:r>
            <w:rPr>
              <w:rFonts w:hint="default" w:ascii="Times New Roman" w:hAnsi="Times New Roman" w:eastAsia="宋体" w:cs="Times New Roman"/>
              <w:color w:val="auto"/>
              <w:sz w:val="24"/>
              <w:szCs w:val="24"/>
              <w:highlight w:val="none"/>
              <w:u w:val="none" w:color="auto"/>
            </w:rPr>
            <w:t>六、结论</w:t>
          </w:r>
          <w:r>
            <w:rPr>
              <w:rFonts w:hint="default" w:ascii="Times New Roman" w:hAnsi="Times New Roman" w:eastAsia="宋体" w:cs="Times New Roman"/>
              <w:color w:val="auto"/>
              <w:sz w:val="24"/>
              <w:szCs w:val="24"/>
              <w:highlight w:val="none"/>
              <w:u w:val="none" w:color="auto"/>
            </w:rPr>
            <w:tab/>
          </w: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u w:val="none" w:color="auto"/>
            </w:rPr>
            <w:instrText xml:space="preserve"> PAGEREF _Toc19894 \h </w:instrText>
          </w:r>
          <w:r>
            <w:rPr>
              <w:rFonts w:hint="default" w:ascii="Times New Roman" w:hAnsi="Times New Roman" w:eastAsia="宋体" w:cs="Times New Roman"/>
              <w:color w:val="auto"/>
              <w:sz w:val="24"/>
              <w:szCs w:val="24"/>
              <w:highlight w:val="none"/>
              <w:u w:val="none" w:color="auto"/>
            </w:rPr>
            <w:fldChar w:fldCharType="separate"/>
          </w:r>
          <w:r>
            <w:rPr>
              <w:rFonts w:hint="default" w:ascii="Times New Roman" w:hAnsi="Times New Roman" w:eastAsia="宋体" w:cs="Times New Roman"/>
              <w:color w:val="auto"/>
              <w:sz w:val="24"/>
              <w:szCs w:val="24"/>
              <w:highlight w:val="none"/>
              <w:u w:val="none" w:color="auto"/>
            </w:rPr>
            <w:t>74</w:t>
          </w:r>
          <w:r>
            <w:rPr>
              <w:rFonts w:hint="default" w:ascii="Times New Roman" w:hAnsi="Times New Roman" w:eastAsia="宋体" w:cs="Times New Roman"/>
              <w:color w:val="auto"/>
              <w:sz w:val="24"/>
              <w:szCs w:val="24"/>
              <w:highlight w:val="none"/>
              <w:u w:val="none" w:color="auto"/>
            </w:rPr>
            <w:fldChar w:fldCharType="end"/>
          </w:r>
          <w:r>
            <w:rPr>
              <w:rFonts w:hint="default" w:ascii="Times New Roman" w:hAnsi="Times New Roman" w:eastAsia="宋体" w:cs="Times New Roman"/>
              <w:color w:val="auto"/>
              <w:sz w:val="24"/>
              <w:szCs w:val="24"/>
              <w:highlight w:val="none"/>
              <w:u w:val="none" w:color="auto"/>
            </w:rPr>
            <w:fldChar w:fldCharType="end"/>
          </w:r>
        </w:p>
        <w:p w14:paraId="2C8D79A7">
          <w:pPr>
            <w:pStyle w:val="280"/>
            <w:tabs>
              <w:tab w:val="right" w:leader="dot" w:pos="8844"/>
            </w:tabs>
            <w:spacing w:line="360" w:lineRule="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u w:val="none" w:color="auto"/>
            </w:rPr>
            <w:instrText xml:space="preserve"> HYPERLINK \l _Toc16500 </w:instrText>
          </w:r>
          <w:r>
            <w:rPr>
              <w:rFonts w:hint="default" w:ascii="Times New Roman" w:hAnsi="Times New Roman" w:eastAsia="宋体" w:cs="Times New Roman"/>
              <w:color w:val="auto"/>
              <w:sz w:val="24"/>
              <w:szCs w:val="24"/>
              <w:highlight w:val="none"/>
              <w:u w:val="none" w:color="auto"/>
            </w:rPr>
            <w:fldChar w:fldCharType="separate"/>
          </w:r>
          <w:r>
            <w:rPr>
              <w:rFonts w:hint="default" w:ascii="Times New Roman" w:hAnsi="Times New Roman" w:eastAsia="宋体" w:cs="Times New Roman"/>
              <w:color w:val="auto"/>
              <w:sz w:val="24"/>
              <w:szCs w:val="24"/>
              <w:highlight w:val="none"/>
              <w:u w:val="none" w:color="auto"/>
            </w:rPr>
            <w:t>附表</w:t>
          </w:r>
          <w:r>
            <w:rPr>
              <w:rFonts w:hint="default" w:ascii="Times New Roman" w:hAnsi="Times New Roman" w:eastAsia="宋体" w:cs="Times New Roman"/>
              <w:color w:val="auto"/>
              <w:sz w:val="24"/>
              <w:szCs w:val="24"/>
              <w:highlight w:val="none"/>
              <w:u w:val="none" w:color="auto"/>
            </w:rPr>
            <w:tab/>
          </w: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u w:val="none" w:color="auto"/>
            </w:rPr>
            <w:instrText xml:space="preserve"> PAGEREF _Toc16500 \h </w:instrText>
          </w:r>
          <w:r>
            <w:rPr>
              <w:rFonts w:hint="default" w:ascii="Times New Roman" w:hAnsi="Times New Roman" w:eastAsia="宋体" w:cs="Times New Roman"/>
              <w:color w:val="auto"/>
              <w:sz w:val="24"/>
              <w:szCs w:val="24"/>
              <w:highlight w:val="none"/>
              <w:u w:val="none" w:color="auto"/>
            </w:rPr>
            <w:fldChar w:fldCharType="separate"/>
          </w:r>
          <w:r>
            <w:rPr>
              <w:rFonts w:hint="default" w:ascii="Times New Roman" w:hAnsi="Times New Roman" w:eastAsia="宋体" w:cs="Times New Roman"/>
              <w:color w:val="auto"/>
              <w:sz w:val="24"/>
              <w:szCs w:val="24"/>
              <w:highlight w:val="none"/>
              <w:u w:val="none" w:color="auto"/>
            </w:rPr>
            <w:t>75</w:t>
          </w:r>
          <w:r>
            <w:rPr>
              <w:rFonts w:hint="default" w:ascii="Times New Roman" w:hAnsi="Times New Roman" w:eastAsia="宋体" w:cs="Times New Roman"/>
              <w:color w:val="auto"/>
              <w:sz w:val="24"/>
              <w:szCs w:val="24"/>
              <w:highlight w:val="none"/>
              <w:u w:val="none" w:color="auto"/>
            </w:rPr>
            <w:fldChar w:fldCharType="end"/>
          </w:r>
          <w:r>
            <w:rPr>
              <w:rFonts w:hint="default" w:ascii="Times New Roman" w:hAnsi="Times New Roman" w:eastAsia="宋体" w:cs="Times New Roman"/>
              <w:color w:val="auto"/>
              <w:sz w:val="24"/>
              <w:szCs w:val="24"/>
              <w:highlight w:val="none"/>
              <w:u w:val="none" w:color="auto"/>
            </w:rPr>
            <w:fldChar w:fldCharType="end"/>
          </w:r>
        </w:p>
        <w:p w14:paraId="623C6443">
          <w:pPr>
            <w:pStyle w:val="280"/>
            <w:tabs>
              <w:tab w:val="right" w:leader="dot" w:pos="8844"/>
            </w:tabs>
            <w:spacing w:line="360" w:lineRule="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u w:val="none" w:color="auto"/>
            </w:rPr>
            <w:instrText xml:space="preserve"> HYPERLINK \l _Toc20463 </w:instrText>
          </w:r>
          <w:r>
            <w:rPr>
              <w:rFonts w:hint="default" w:ascii="Times New Roman" w:hAnsi="Times New Roman" w:eastAsia="宋体" w:cs="Times New Roman"/>
              <w:color w:val="auto"/>
              <w:sz w:val="24"/>
              <w:szCs w:val="24"/>
              <w:highlight w:val="none"/>
              <w:u w:val="none" w:color="auto"/>
            </w:rPr>
            <w:fldChar w:fldCharType="separate"/>
          </w:r>
          <w:r>
            <w:rPr>
              <w:rFonts w:hint="default" w:ascii="Times New Roman" w:hAnsi="Times New Roman" w:eastAsia="宋体" w:cs="Times New Roman"/>
              <w:snapToGrid w:val="0"/>
              <w:color w:val="auto"/>
              <w:sz w:val="24"/>
              <w:szCs w:val="24"/>
              <w:highlight w:val="none"/>
              <w:u w:val="none" w:color="auto"/>
            </w:rPr>
            <w:t>建设项目污染物排放量汇总表</w:t>
          </w:r>
          <w:r>
            <w:rPr>
              <w:rFonts w:hint="default" w:ascii="Times New Roman" w:hAnsi="Times New Roman" w:eastAsia="宋体" w:cs="Times New Roman"/>
              <w:color w:val="auto"/>
              <w:sz w:val="24"/>
              <w:szCs w:val="24"/>
              <w:highlight w:val="none"/>
              <w:u w:val="none" w:color="auto"/>
            </w:rPr>
            <w:tab/>
          </w: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u w:val="none" w:color="auto"/>
            </w:rPr>
            <w:instrText xml:space="preserve"> PAGEREF _Toc20463 \h </w:instrText>
          </w:r>
          <w:r>
            <w:rPr>
              <w:rFonts w:hint="default" w:ascii="Times New Roman" w:hAnsi="Times New Roman" w:eastAsia="宋体" w:cs="Times New Roman"/>
              <w:color w:val="auto"/>
              <w:sz w:val="24"/>
              <w:szCs w:val="24"/>
              <w:highlight w:val="none"/>
              <w:u w:val="none" w:color="auto"/>
            </w:rPr>
            <w:fldChar w:fldCharType="separate"/>
          </w:r>
          <w:r>
            <w:rPr>
              <w:rFonts w:hint="default" w:ascii="Times New Roman" w:hAnsi="Times New Roman" w:eastAsia="宋体" w:cs="Times New Roman"/>
              <w:color w:val="auto"/>
              <w:sz w:val="24"/>
              <w:szCs w:val="24"/>
              <w:highlight w:val="none"/>
              <w:u w:val="none" w:color="auto"/>
            </w:rPr>
            <w:t>75</w:t>
          </w:r>
          <w:r>
            <w:rPr>
              <w:rFonts w:hint="default" w:ascii="Times New Roman" w:hAnsi="Times New Roman" w:eastAsia="宋体" w:cs="Times New Roman"/>
              <w:color w:val="auto"/>
              <w:sz w:val="24"/>
              <w:szCs w:val="24"/>
              <w:highlight w:val="none"/>
              <w:u w:val="none" w:color="auto"/>
            </w:rPr>
            <w:fldChar w:fldCharType="end"/>
          </w:r>
          <w:r>
            <w:rPr>
              <w:rFonts w:hint="default" w:ascii="Times New Roman" w:hAnsi="Times New Roman" w:eastAsia="宋体" w:cs="Times New Roman"/>
              <w:color w:val="auto"/>
              <w:sz w:val="24"/>
              <w:szCs w:val="24"/>
              <w:highlight w:val="none"/>
              <w:u w:val="none" w:color="auto"/>
            </w:rPr>
            <w:fldChar w:fldCharType="end"/>
          </w:r>
          <w:r>
            <w:rPr>
              <w:rFonts w:hint="default" w:ascii="Times New Roman" w:hAnsi="Times New Roman" w:eastAsia="宋体" w:cs="Times New Roman"/>
              <w:color w:val="auto"/>
              <w:highlight w:val="none"/>
              <w:u w:val="none" w:color="auto"/>
            </w:rPr>
            <w:fldChar w:fldCharType="end"/>
          </w:r>
        </w:p>
      </w:sdtContent>
    </w:sdt>
    <w:p w14:paraId="32F2DBAF">
      <w:pPr>
        <w:pStyle w:val="22"/>
        <w:keepNext w:val="0"/>
        <w:keepLines w:val="0"/>
        <w:pageBreakBefore w:val="0"/>
        <w:kinsoku/>
        <w:wordWrap/>
        <w:overflowPunct/>
        <w:topLinePunct w:val="0"/>
        <w:autoSpaceDE/>
        <w:autoSpaceDN/>
        <w:bidi w:val="0"/>
        <w:adjustRightInd/>
        <w:snapToGrid w:val="0"/>
        <w:spacing w:before="0" w:after="0" w:line="360" w:lineRule="auto"/>
        <w:jc w:val="both"/>
        <w:textAlignment w:val="auto"/>
        <w:outlineLvl w:val="0"/>
        <w:rPr>
          <w:rFonts w:hint="default" w:ascii="Times New Roman" w:hAnsi="Times New Roman" w:eastAsia="宋体" w:cs="Times New Roman"/>
          <w:b/>
          <w:bCs/>
          <w:color w:val="auto"/>
          <w:sz w:val="21"/>
          <w:szCs w:val="21"/>
          <w:highlight w:val="none"/>
          <w:u w:val="none" w:color="auto"/>
        </w:rPr>
      </w:pPr>
      <w:bookmarkStart w:id="3" w:name="_Toc16074"/>
      <w:r>
        <w:rPr>
          <w:rFonts w:hint="default" w:ascii="Times New Roman" w:hAnsi="Times New Roman" w:eastAsia="宋体" w:cs="Times New Roman"/>
          <w:b/>
          <w:bCs/>
          <w:color w:val="auto"/>
          <w:sz w:val="21"/>
          <w:szCs w:val="21"/>
          <w:highlight w:val="none"/>
          <w:u w:val="none" w:color="auto"/>
        </w:rPr>
        <w:t>附件</w:t>
      </w:r>
      <w:bookmarkEnd w:id="3"/>
    </w:p>
    <w:p w14:paraId="48875985">
      <w:pPr>
        <w:pStyle w:val="40"/>
        <w:keepNext w:val="0"/>
        <w:keepLines w:val="0"/>
        <w:pageBreakBefore w:val="0"/>
        <w:kinsoku/>
        <w:wordWrap/>
        <w:overflowPunct/>
        <w:topLinePunct w:val="0"/>
        <w:autoSpaceDE/>
        <w:autoSpaceDN/>
        <w:bidi w:val="0"/>
        <w:adjustRightInd w:val="0"/>
        <w:snapToGrid w:val="0"/>
        <w:spacing w:before="0" w:beforeAutospacing="0" w:after="0" w:afterAutospacing="0" w:line="360" w:lineRule="auto"/>
        <w:textAlignment w:val="auto"/>
        <w:outlineLvl w:val="0"/>
        <w:rPr>
          <w:rFonts w:hint="default" w:ascii="Times New Roman" w:hAnsi="Times New Roman" w:cs="Times New Roman"/>
          <w:snapToGrid w:val="0"/>
          <w:color w:val="auto"/>
          <w:sz w:val="21"/>
          <w:szCs w:val="21"/>
          <w:highlight w:val="none"/>
          <w:u w:val="none" w:color="auto"/>
          <w:lang w:val="en-US" w:eastAsia="zh-CN"/>
        </w:rPr>
      </w:pPr>
      <w:bookmarkStart w:id="4" w:name="_Toc10121"/>
      <w:r>
        <w:rPr>
          <w:rFonts w:hint="default" w:ascii="Times New Roman" w:hAnsi="Times New Roman" w:cs="Times New Roman"/>
          <w:snapToGrid w:val="0"/>
          <w:color w:val="auto"/>
          <w:sz w:val="21"/>
          <w:szCs w:val="21"/>
          <w:highlight w:val="none"/>
          <w:u w:val="none" w:color="auto"/>
          <w:lang w:val="en-US" w:eastAsia="zh-CN"/>
        </w:rPr>
        <w:t>附件1 委托书</w:t>
      </w:r>
    </w:p>
    <w:p w14:paraId="3A0ED3AA">
      <w:pPr>
        <w:pStyle w:val="40"/>
        <w:keepNext w:val="0"/>
        <w:keepLines w:val="0"/>
        <w:pageBreakBefore w:val="0"/>
        <w:kinsoku/>
        <w:wordWrap/>
        <w:overflowPunct/>
        <w:topLinePunct w:val="0"/>
        <w:autoSpaceDE/>
        <w:autoSpaceDN/>
        <w:bidi w:val="0"/>
        <w:adjustRightInd w:val="0"/>
        <w:snapToGrid w:val="0"/>
        <w:spacing w:before="0" w:beforeAutospacing="0" w:after="0" w:afterAutospacing="0" w:line="360" w:lineRule="auto"/>
        <w:textAlignment w:val="auto"/>
        <w:outlineLvl w:val="0"/>
        <w:rPr>
          <w:rFonts w:hint="default" w:ascii="Times New Roman" w:hAnsi="Times New Roman" w:cs="Times New Roman"/>
          <w:snapToGrid w:val="0"/>
          <w:color w:val="auto"/>
          <w:sz w:val="21"/>
          <w:szCs w:val="21"/>
          <w:highlight w:val="none"/>
          <w:u w:val="none" w:color="auto"/>
          <w:lang w:val="en-US" w:eastAsia="zh-CN"/>
        </w:rPr>
      </w:pPr>
      <w:r>
        <w:rPr>
          <w:rFonts w:hint="default" w:ascii="Times New Roman" w:hAnsi="Times New Roman" w:cs="Times New Roman"/>
          <w:snapToGrid w:val="0"/>
          <w:color w:val="auto"/>
          <w:sz w:val="21"/>
          <w:szCs w:val="21"/>
          <w:highlight w:val="none"/>
          <w:u w:val="none" w:color="auto"/>
          <w:lang w:val="en-US" w:eastAsia="zh-CN"/>
        </w:rPr>
        <w:t>附件2 营业执照</w:t>
      </w:r>
    </w:p>
    <w:p w14:paraId="0A148712">
      <w:pPr>
        <w:pStyle w:val="40"/>
        <w:keepNext w:val="0"/>
        <w:keepLines w:val="0"/>
        <w:pageBreakBefore w:val="0"/>
        <w:kinsoku/>
        <w:wordWrap/>
        <w:overflowPunct/>
        <w:topLinePunct w:val="0"/>
        <w:autoSpaceDE/>
        <w:autoSpaceDN/>
        <w:bidi w:val="0"/>
        <w:adjustRightInd w:val="0"/>
        <w:snapToGrid w:val="0"/>
        <w:spacing w:before="0" w:beforeAutospacing="0" w:after="0" w:afterAutospacing="0" w:line="360" w:lineRule="auto"/>
        <w:textAlignment w:val="auto"/>
        <w:outlineLvl w:val="0"/>
        <w:rPr>
          <w:rFonts w:hint="default" w:ascii="Times New Roman" w:hAnsi="Times New Roman" w:cs="Times New Roman"/>
          <w:snapToGrid w:val="0"/>
          <w:color w:val="auto"/>
          <w:sz w:val="21"/>
          <w:szCs w:val="21"/>
          <w:highlight w:val="none"/>
          <w:u w:val="none" w:color="auto"/>
          <w:lang w:val="en-US" w:eastAsia="zh-CN"/>
        </w:rPr>
      </w:pPr>
      <w:r>
        <w:rPr>
          <w:rFonts w:hint="default" w:ascii="Times New Roman" w:hAnsi="Times New Roman" w:cs="Times New Roman"/>
          <w:snapToGrid w:val="0"/>
          <w:color w:val="auto"/>
          <w:sz w:val="21"/>
          <w:szCs w:val="21"/>
          <w:highlight w:val="none"/>
          <w:u w:val="none" w:color="auto"/>
          <w:lang w:val="en-US" w:eastAsia="zh-CN"/>
        </w:rPr>
        <w:t>附件3 项目名称变更证明</w:t>
      </w:r>
    </w:p>
    <w:p w14:paraId="10B6B9BA">
      <w:pPr>
        <w:pStyle w:val="40"/>
        <w:keepNext w:val="0"/>
        <w:keepLines w:val="0"/>
        <w:pageBreakBefore w:val="0"/>
        <w:kinsoku/>
        <w:wordWrap/>
        <w:overflowPunct/>
        <w:topLinePunct w:val="0"/>
        <w:autoSpaceDE/>
        <w:autoSpaceDN/>
        <w:bidi w:val="0"/>
        <w:adjustRightInd w:val="0"/>
        <w:snapToGrid w:val="0"/>
        <w:spacing w:before="0" w:beforeAutospacing="0" w:after="0" w:afterAutospacing="0" w:line="360" w:lineRule="auto"/>
        <w:textAlignment w:val="auto"/>
        <w:outlineLvl w:val="0"/>
        <w:rPr>
          <w:rFonts w:hint="default" w:ascii="Times New Roman" w:hAnsi="Times New Roman" w:cs="Times New Roman"/>
          <w:snapToGrid w:val="0"/>
          <w:color w:val="auto"/>
          <w:sz w:val="21"/>
          <w:szCs w:val="21"/>
          <w:highlight w:val="none"/>
          <w:u w:val="none" w:color="auto"/>
          <w:lang w:val="en-US" w:eastAsia="zh-CN"/>
        </w:rPr>
      </w:pPr>
      <w:r>
        <w:rPr>
          <w:rFonts w:hint="default" w:ascii="Times New Roman" w:hAnsi="Times New Roman" w:cs="Times New Roman"/>
          <w:snapToGrid w:val="0"/>
          <w:color w:val="auto"/>
          <w:sz w:val="21"/>
          <w:szCs w:val="21"/>
          <w:highlight w:val="none"/>
          <w:u w:val="none" w:color="auto"/>
          <w:lang w:val="en-US" w:eastAsia="zh-CN"/>
        </w:rPr>
        <w:t>附件4 项目备案文件</w:t>
      </w:r>
    </w:p>
    <w:p w14:paraId="5D73F94A">
      <w:pPr>
        <w:pStyle w:val="40"/>
        <w:keepNext w:val="0"/>
        <w:keepLines w:val="0"/>
        <w:pageBreakBefore w:val="0"/>
        <w:kinsoku/>
        <w:wordWrap/>
        <w:overflowPunct/>
        <w:topLinePunct w:val="0"/>
        <w:autoSpaceDE/>
        <w:autoSpaceDN/>
        <w:bidi w:val="0"/>
        <w:adjustRightInd w:val="0"/>
        <w:snapToGrid w:val="0"/>
        <w:spacing w:before="0" w:beforeAutospacing="0" w:after="0" w:afterAutospacing="0" w:line="360" w:lineRule="auto"/>
        <w:textAlignment w:val="auto"/>
        <w:outlineLvl w:val="0"/>
        <w:rPr>
          <w:rFonts w:hint="default" w:ascii="Times New Roman" w:hAnsi="Times New Roman" w:cs="Times New Roman"/>
          <w:snapToGrid w:val="0"/>
          <w:color w:val="auto"/>
          <w:sz w:val="21"/>
          <w:szCs w:val="21"/>
          <w:highlight w:val="none"/>
          <w:u w:val="none" w:color="auto"/>
          <w:lang w:val="en-US" w:eastAsia="zh-CN"/>
        </w:rPr>
      </w:pPr>
      <w:r>
        <w:rPr>
          <w:rFonts w:hint="default" w:ascii="Times New Roman" w:hAnsi="Times New Roman" w:cs="Times New Roman"/>
          <w:snapToGrid w:val="0"/>
          <w:color w:val="auto"/>
          <w:sz w:val="21"/>
          <w:szCs w:val="21"/>
          <w:highlight w:val="none"/>
          <w:u w:val="none" w:color="auto"/>
          <w:lang w:val="en-US" w:eastAsia="zh-CN"/>
        </w:rPr>
        <w:t>附件5 农用地转用、土地使用审批单</w:t>
      </w:r>
    </w:p>
    <w:p w14:paraId="6DE9F5B2">
      <w:pPr>
        <w:pStyle w:val="40"/>
        <w:keepNext w:val="0"/>
        <w:keepLines w:val="0"/>
        <w:pageBreakBefore w:val="0"/>
        <w:kinsoku/>
        <w:wordWrap/>
        <w:overflowPunct/>
        <w:topLinePunct w:val="0"/>
        <w:autoSpaceDE/>
        <w:autoSpaceDN/>
        <w:bidi w:val="0"/>
        <w:adjustRightInd w:val="0"/>
        <w:snapToGrid w:val="0"/>
        <w:spacing w:before="0" w:beforeAutospacing="0" w:after="0" w:afterAutospacing="0" w:line="360" w:lineRule="auto"/>
        <w:textAlignment w:val="auto"/>
        <w:outlineLvl w:val="0"/>
        <w:rPr>
          <w:rFonts w:hint="default" w:ascii="Times New Roman" w:hAnsi="Times New Roman" w:cs="Times New Roman"/>
          <w:snapToGrid w:val="0"/>
          <w:color w:val="auto"/>
          <w:sz w:val="21"/>
          <w:szCs w:val="21"/>
          <w:highlight w:val="none"/>
          <w:u w:val="none" w:color="auto"/>
          <w:lang w:val="en-US" w:eastAsia="zh-CN"/>
        </w:rPr>
      </w:pPr>
      <w:r>
        <w:rPr>
          <w:rFonts w:hint="default" w:ascii="Times New Roman" w:hAnsi="Times New Roman" w:cs="Times New Roman"/>
          <w:snapToGrid w:val="0"/>
          <w:color w:val="auto"/>
          <w:sz w:val="21"/>
          <w:szCs w:val="21"/>
          <w:highlight w:val="none"/>
          <w:u w:val="none" w:color="auto"/>
          <w:lang w:val="en-US" w:eastAsia="zh-CN"/>
        </w:rPr>
        <w:t>附件6 检测报告</w:t>
      </w:r>
    </w:p>
    <w:p w14:paraId="53C5C472">
      <w:pPr>
        <w:pStyle w:val="22"/>
        <w:keepNext w:val="0"/>
        <w:keepLines w:val="0"/>
        <w:pageBreakBefore w:val="0"/>
        <w:kinsoku/>
        <w:wordWrap/>
        <w:overflowPunct/>
        <w:topLinePunct w:val="0"/>
        <w:autoSpaceDE/>
        <w:autoSpaceDN/>
        <w:bidi w:val="0"/>
        <w:adjustRightInd/>
        <w:snapToGrid w:val="0"/>
        <w:spacing w:before="0" w:after="0" w:line="360" w:lineRule="auto"/>
        <w:textAlignment w:val="auto"/>
        <w:outlineLvl w:val="0"/>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z w:val="21"/>
          <w:szCs w:val="21"/>
          <w:highlight w:val="none"/>
          <w:u w:val="none" w:color="auto"/>
        </w:rPr>
        <w:t>附图</w:t>
      </w:r>
      <w:bookmarkEnd w:id="4"/>
    </w:p>
    <w:p w14:paraId="3ADF32A3">
      <w:pPr>
        <w:pStyle w:val="40"/>
        <w:keepNext w:val="0"/>
        <w:keepLines w:val="0"/>
        <w:pageBreakBefore w:val="0"/>
        <w:kinsoku/>
        <w:wordWrap/>
        <w:overflowPunct/>
        <w:topLinePunct w:val="0"/>
        <w:autoSpaceDE/>
        <w:autoSpaceDN/>
        <w:bidi w:val="0"/>
        <w:adjustRightInd w:val="0"/>
        <w:snapToGrid w:val="0"/>
        <w:spacing w:before="0" w:beforeAutospacing="0" w:after="0" w:afterAutospacing="0" w:line="360" w:lineRule="auto"/>
        <w:textAlignment w:val="auto"/>
        <w:outlineLvl w:val="0"/>
        <w:rPr>
          <w:rFonts w:hint="default" w:ascii="Times New Roman" w:hAnsi="Times New Roman" w:cs="Times New Roman"/>
          <w:snapToGrid w:val="0"/>
          <w:color w:val="auto"/>
          <w:sz w:val="21"/>
          <w:szCs w:val="21"/>
          <w:highlight w:val="none"/>
          <w:u w:val="none" w:color="auto"/>
          <w:lang w:val="en-US" w:eastAsia="zh-CN"/>
        </w:rPr>
      </w:pPr>
      <w:r>
        <w:rPr>
          <w:rFonts w:hint="default" w:ascii="Times New Roman" w:hAnsi="Times New Roman" w:cs="Times New Roman"/>
          <w:snapToGrid w:val="0"/>
          <w:color w:val="auto"/>
          <w:sz w:val="21"/>
          <w:szCs w:val="21"/>
          <w:highlight w:val="none"/>
          <w:u w:val="none" w:color="auto"/>
          <w:lang w:val="en-US" w:eastAsia="zh-CN"/>
        </w:rPr>
        <w:t>附图1 项目地理位置图</w:t>
      </w:r>
    </w:p>
    <w:p w14:paraId="0C268AE1">
      <w:pPr>
        <w:pStyle w:val="40"/>
        <w:keepNext w:val="0"/>
        <w:keepLines w:val="0"/>
        <w:pageBreakBefore w:val="0"/>
        <w:kinsoku/>
        <w:wordWrap/>
        <w:overflowPunct/>
        <w:topLinePunct w:val="0"/>
        <w:autoSpaceDE/>
        <w:autoSpaceDN/>
        <w:bidi w:val="0"/>
        <w:adjustRightInd w:val="0"/>
        <w:snapToGrid w:val="0"/>
        <w:spacing w:before="0" w:beforeAutospacing="0" w:after="0" w:afterAutospacing="0" w:line="360" w:lineRule="auto"/>
        <w:textAlignment w:val="auto"/>
        <w:outlineLvl w:val="0"/>
        <w:rPr>
          <w:rFonts w:hint="default" w:ascii="Times New Roman" w:hAnsi="Times New Roman" w:cs="Times New Roman"/>
          <w:snapToGrid w:val="0"/>
          <w:color w:val="auto"/>
          <w:sz w:val="21"/>
          <w:szCs w:val="21"/>
          <w:highlight w:val="none"/>
          <w:u w:val="none" w:color="auto"/>
          <w:lang w:val="en-US" w:eastAsia="zh-CN"/>
        </w:rPr>
      </w:pPr>
      <w:r>
        <w:rPr>
          <w:rFonts w:hint="default" w:ascii="Times New Roman" w:hAnsi="Times New Roman" w:cs="Times New Roman"/>
          <w:snapToGrid w:val="0"/>
          <w:color w:val="auto"/>
          <w:sz w:val="21"/>
          <w:szCs w:val="21"/>
          <w:highlight w:val="none"/>
          <w:u w:val="none" w:color="auto"/>
          <w:lang w:val="en-US" w:eastAsia="zh-CN"/>
        </w:rPr>
        <w:t>附图2（1） 项目平面布置图（肉制品）</w:t>
      </w:r>
    </w:p>
    <w:p w14:paraId="2CF49AEA">
      <w:pPr>
        <w:pStyle w:val="40"/>
        <w:keepNext w:val="0"/>
        <w:keepLines w:val="0"/>
        <w:pageBreakBefore w:val="0"/>
        <w:kinsoku/>
        <w:wordWrap/>
        <w:overflowPunct/>
        <w:topLinePunct w:val="0"/>
        <w:autoSpaceDE/>
        <w:autoSpaceDN/>
        <w:bidi w:val="0"/>
        <w:adjustRightInd w:val="0"/>
        <w:snapToGrid w:val="0"/>
        <w:spacing w:before="0" w:beforeAutospacing="0" w:after="0" w:afterAutospacing="0" w:line="360" w:lineRule="auto"/>
        <w:textAlignment w:val="auto"/>
        <w:outlineLvl w:val="0"/>
        <w:rPr>
          <w:rFonts w:hint="default" w:ascii="Times New Roman" w:hAnsi="Times New Roman" w:cs="Times New Roman"/>
          <w:snapToGrid w:val="0"/>
          <w:color w:val="auto"/>
          <w:sz w:val="21"/>
          <w:szCs w:val="21"/>
          <w:highlight w:val="none"/>
          <w:u w:val="none" w:color="auto"/>
          <w:lang w:val="en-US" w:eastAsia="zh-CN"/>
        </w:rPr>
      </w:pPr>
      <w:r>
        <w:rPr>
          <w:rFonts w:hint="default" w:ascii="Times New Roman" w:hAnsi="Times New Roman" w:cs="Times New Roman"/>
          <w:snapToGrid w:val="0"/>
          <w:color w:val="auto"/>
          <w:sz w:val="21"/>
          <w:szCs w:val="21"/>
          <w:highlight w:val="none"/>
          <w:u w:val="none" w:color="auto"/>
          <w:lang w:val="en-US" w:eastAsia="zh-CN"/>
        </w:rPr>
        <w:t>附图2（1） 项目平面布置图（肉制品）</w:t>
      </w:r>
    </w:p>
    <w:p w14:paraId="1757F44D">
      <w:pPr>
        <w:pStyle w:val="40"/>
        <w:keepNext w:val="0"/>
        <w:keepLines w:val="0"/>
        <w:pageBreakBefore w:val="0"/>
        <w:kinsoku/>
        <w:wordWrap/>
        <w:overflowPunct/>
        <w:topLinePunct w:val="0"/>
        <w:autoSpaceDE/>
        <w:autoSpaceDN/>
        <w:bidi w:val="0"/>
        <w:adjustRightInd w:val="0"/>
        <w:snapToGrid w:val="0"/>
        <w:spacing w:before="0" w:beforeAutospacing="0" w:after="0" w:afterAutospacing="0" w:line="360" w:lineRule="auto"/>
        <w:textAlignment w:val="auto"/>
        <w:outlineLvl w:val="0"/>
        <w:rPr>
          <w:rFonts w:hint="default" w:ascii="Times New Roman" w:hAnsi="Times New Roman" w:cs="Times New Roman"/>
          <w:snapToGrid w:val="0"/>
          <w:color w:val="auto"/>
          <w:sz w:val="21"/>
          <w:szCs w:val="21"/>
          <w:highlight w:val="none"/>
          <w:u w:val="none" w:color="auto"/>
          <w:lang w:val="en-US" w:eastAsia="zh-CN"/>
        </w:rPr>
      </w:pPr>
      <w:r>
        <w:rPr>
          <w:rFonts w:hint="default" w:ascii="Times New Roman" w:hAnsi="Times New Roman" w:cs="Times New Roman"/>
          <w:snapToGrid w:val="0"/>
          <w:color w:val="auto"/>
          <w:sz w:val="21"/>
          <w:szCs w:val="21"/>
          <w:highlight w:val="none"/>
          <w:u w:val="none" w:color="auto"/>
          <w:lang w:val="en-US" w:eastAsia="zh-CN"/>
        </w:rPr>
        <w:t xml:space="preserve">附图3 </w:t>
      </w:r>
      <w:r>
        <w:rPr>
          <w:rFonts w:hint="eastAsia" w:ascii="Times New Roman" w:hAnsi="Times New Roman" w:cs="Times New Roman"/>
          <w:snapToGrid w:val="0"/>
          <w:color w:val="auto"/>
          <w:sz w:val="21"/>
          <w:szCs w:val="21"/>
          <w:highlight w:val="none"/>
          <w:u w:val="none" w:color="auto"/>
          <w:lang w:val="en-US" w:eastAsia="zh-CN"/>
        </w:rPr>
        <w:t>厂区总平面布局图</w:t>
      </w:r>
    </w:p>
    <w:p w14:paraId="730D1E23">
      <w:pPr>
        <w:pStyle w:val="40"/>
        <w:keepNext w:val="0"/>
        <w:keepLines w:val="0"/>
        <w:pageBreakBefore w:val="0"/>
        <w:kinsoku/>
        <w:wordWrap/>
        <w:overflowPunct/>
        <w:topLinePunct w:val="0"/>
        <w:autoSpaceDE/>
        <w:autoSpaceDN/>
        <w:bidi w:val="0"/>
        <w:adjustRightInd w:val="0"/>
        <w:snapToGrid w:val="0"/>
        <w:spacing w:before="0" w:beforeAutospacing="0" w:after="0" w:afterAutospacing="0" w:line="360" w:lineRule="auto"/>
        <w:textAlignment w:val="auto"/>
        <w:outlineLvl w:val="0"/>
        <w:rPr>
          <w:rFonts w:hint="default" w:ascii="Times New Roman" w:hAnsi="Times New Roman" w:cs="Times New Roman"/>
          <w:snapToGrid w:val="0"/>
          <w:color w:val="auto"/>
          <w:sz w:val="21"/>
          <w:szCs w:val="21"/>
          <w:highlight w:val="none"/>
          <w:u w:val="none" w:color="auto"/>
          <w:lang w:val="en-US" w:eastAsia="zh-CN"/>
        </w:rPr>
      </w:pPr>
      <w:r>
        <w:rPr>
          <w:rFonts w:hint="eastAsia" w:ascii="Times New Roman" w:hAnsi="Times New Roman" w:cs="Times New Roman"/>
          <w:snapToGrid w:val="0"/>
          <w:color w:val="auto"/>
          <w:sz w:val="21"/>
          <w:szCs w:val="21"/>
          <w:highlight w:val="none"/>
          <w:u w:val="none" w:color="auto"/>
          <w:lang w:val="en-US" w:eastAsia="zh-CN"/>
        </w:rPr>
        <w:t xml:space="preserve">附图4 </w:t>
      </w:r>
      <w:r>
        <w:rPr>
          <w:rFonts w:hint="default" w:ascii="Times New Roman" w:hAnsi="Times New Roman" w:cs="Times New Roman"/>
          <w:snapToGrid w:val="0"/>
          <w:color w:val="auto"/>
          <w:sz w:val="21"/>
          <w:szCs w:val="21"/>
          <w:highlight w:val="none"/>
          <w:u w:val="none" w:color="auto"/>
          <w:lang w:val="en-US" w:eastAsia="zh-CN"/>
        </w:rPr>
        <w:t>环境保护目标示意图</w:t>
      </w:r>
    </w:p>
    <w:p w14:paraId="7C449AAA">
      <w:pPr>
        <w:pStyle w:val="40"/>
        <w:keepNext w:val="0"/>
        <w:keepLines w:val="0"/>
        <w:pageBreakBefore w:val="0"/>
        <w:kinsoku/>
        <w:wordWrap/>
        <w:overflowPunct/>
        <w:topLinePunct w:val="0"/>
        <w:autoSpaceDE/>
        <w:autoSpaceDN/>
        <w:bidi w:val="0"/>
        <w:adjustRightInd w:val="0"/>
        <w:snapToGrid w:val="0"/>
        <w:spacing w:before="0" w:beforeAutospacing="0" w:after="0" w:afterAutospacing="0" w:line="360" w:lineRule="auto"/>
        <w:textAlignment w:val="auto"/>
        <w:outlineLvl w:val="0"/>
        <w:rPr>
          <w:rFonts w:hint="default" w:ascii="Times New Roman" w:hAnsi="Times New Roman" w:cs="Times New Roman"/>
          <w:snapToGrid w:val="0"/>
          <w:color w:val="auto"/>
          <w:sz w:val="21"/>
          <w:szCs w:val="21"/>
          <w:highlight w:val="none"/>
          <w:u w:val="none" w:color="auto"/>
          <w:lang w:val="en-US" w:eastAsia="zh-CN"/>
        </w:rPr>
      </w:pPr>
      <w:r>
        <w:rPr>
          <w:rFonts w:hint="default" w:ascii="Times New Roman" w:hAnsi="Times New Roman" w:cs="Times New Roman"/>
          <w:snapToGrid w:val="0"/>
          <w:color w:val="auto"/>
          <w:sz w:val="21"/>
          <w:szCs w:val="21"/>
          <w:highlight w:val="none"/>
          <w:u w:val="none" w:color="auto"/>
          <w:lang w:val="en-US" w:eastAsia="zh-CN"/>
        </w:rPr>
        <w:t>附图</w:t>
      </w:r>
      <w:r>
        <w:rPr>
          <w:rFonts w:hint="eastAsia" w:ascii="Times New Roman" w:hAnsi="Times New Roman" w:cs="Times New Roman"/>
          <w:snapToGrid w:val="0"/>
          <w:color w:val="auto"/>
          <w:sz w:val="21"/>
          <w:szCs w:val="21"/>
          <w:highlight w:val="none"/>
          <w:u w:val="none" w:color="auto"/>
          <w:lang w:val="en-US" w:eastAsia="zh-CN"/>
        </w:rPr>
        <w:t>5</w:t>
      </w:r>
      <w:r>
        <w:rPr>
          <w:rFonts w:hint="default" w:ascii="Times New Roman" w:hAnsi="Times New Roman" w:cs="Times New Roman"/>
          <w:snapToGrid w:val="0"/>
          <w:color w:val="auto"/>
          <w:sz w:val="21"/>
          <w:szCs w:val="21"/>
          <w:highlight w:val="none"/>
          <w:u w:val="none" w:color="auto"/>
          <w:lang w:val="en-US" w:eastAsia="zh-CN"/>
        </w:rPr>
        <w:t xml:space="preserve"> 大气引用监测点位与本项目位置关系图</w:t>
      </w:r>
    </w:p>
    <w:p w14:paraId="16BB4E0D">
      <w:pPr>
        <w:pStyle w:val="40"/>
        <w:keepNext w:val="0"/>
        <w:keepLines w:val="0"/>
        <w:pageBreakBefore w:val="0"/>
        <w:kinsoku/>
        <w:wordWrap/>
        <w:overflowPunct/>
        <w:topLinePunct w:val="0"/>
        <w:autoSpaceDE/>
        <w:autoSpaceDN/>
        <w:bidi w:val="0"/>
        <w:adjustRightInd w:val="0"/>
        <w:snapToGrid w:val="0"/>
        <w:spacing w:before="0" w:beforeAutospacing="0" w:after="0" w:afterAutospacing="0" w:line="360" w:lineRule="auto"/>
        <w:textAlignment w:val="auto"/>
        <w:outlineLvl w:val="0"/>
        <w:rPr>
          <w:rFonts w:hint="default" w:ascii="Times New Roman" w:hAnsi="Times New Roman" w:cs="Times New Roman"/>
          <w:snapToGrid w:val="0"/>
          <w:color w:val="auto"/>
          <w:sz w:val="21"/>
          <w:szCs w:val="21"/>
          <w:highlight w:val="none"/>
          <w:u w:val="none" w:color="auto"/>
          <w:lang w:val="en-US" w:eastAsia="zh-CN"/>
        </w:rPr>
      </w:pPr>
      <w:r>
        <w:rPr>
          <w:rFonts w:hint="default" w:ascii="Times New Roman" w:hAnsi="Times New Roman" w:cs="Times New Roman"/>
          <w:snapToGrid w:val="0"/>
          <w:color w:val="auto"/>
          <w:sz w:val="21"/>
          <w:szCs w:val="21"/>
          <w:highlight w:val="none"/>
          <w:u w:val="none" w:color="auto"/>
          <w:lang w:val="en-US" w:eastAsia="zh-CN"/>
        </w:rPr>
        <w:t>附图</w:t>
      </w:r>
      <w:r>
        <w:rPr>
          <w:rFonts w:hint="eastAsia" w:ascii="Times New Roman" w:hAnsi="Times New Roman" w:cs="Times New Roman"/>
          <w:snapToGrid w:val="0"/>
          <w:color w:val="auto"/>
          <w:sz w:val="21"/>
          <w:szCs w:val="21"/>
          <w:highlight w:val="none"/>
          <w:u w:val="none" w:color="auto"/>
          <w:lang w:val="en-US" w:eastAsia="zh-CN"/>
        </w:rPr>
        <w:t>6</w:t>
      </w:r>
      <w:r>
        <w:rPr>
          <w:rFonts w:hint="default" w:ascii="Times New Roman" w:hAnsi="Times New Roman" w:cs="Times New Roman"/>
          <w:snapToGrid w:val="0"/>
          <w:color w:val="auto"/>
          <w:sz w:val="21"/>
          <w:szCs w:val="21"/>
          <w:highlight w:val="none"/>
          <w:u w:val="none" w:color="auto"/>
          <w:lang w:val="en-US" w:eastAsia="zh-CN"/>
        </w:rPr>
        <w:t xml:space="preserve"> </w:t>
      </w:r>
      <w:r>
        <w:rPr>
          <w:rFonts w:hint="eastAsia" w:ascii="Times New Roman" w:hAnsi="Times New Roman" w:cs="Times New Roman"/>
          <w:snapToGrid w:val="0"/>
          <w:color w:val="auto"/>
          <w:sz w:val="21"/>
          <w:szCs w:val="21"/>
          <w:highlight w:val="none"/>
          <w:u w:val="none" w:color="auto"/>
          <w:lang w:val="en-US" w:eastAsia="zh-CN"/>
        </w:rPr>
        <w:t>项目与“三区三线”位置关系图</w:t>
      </w:r>
    </w:p>
    <w:p w14:paraId="2ADFDBDA">
      <w:pPr>
        <w:pStyle w:val="40"/>
        <w:keepNext w:val="0"/>
        <w:keepLines w:val="0"/>
        <w:pageBreakBefore w:val="0"/>
        <w:kinsoku/>
        <w:wordWrap/>
        <w:overflowPunct/>
        <w:topLinePunct w:val="0"/>
        <w:autoSpaceDE/>
        <w:autoSpaceDN/>
        <w:bidi w:val="0"/>
        <w:adjustRightInd w:val="0"/>
        <w:snapToGrid w:val="0"/>
        <w:spacing w:before="0" w:beforeAutospacing="0" w:after="0" w:afterAutospacing="0" w:line="360" w:lineRule="auto"/>
        <w:textAlignment w:val="auto"/>
        <w:outlineLvl w:val="0"/>
        <w:rPr>
          <w:rFonts w:hint="default" w:ascii="Times New Roman" w:hAnsi="Times New Roman" w:cs="Times New Roman"/>
          <w:snapToGrid w:val="0"/>
          <w:color w:val="auto"/>
          <w:sz w:val="21"/>
          <w:szCs w:val="21"/>
          <w:highlight w:val="none"/>
          <w:u w:val="none" w:color="auto"/>
          <w:lang w:val="en-US" w:eastAsia="zh-CN"/>
        </w:rPr>
      </w:pPr>
      <w:r>
        <w:rPr>
          <w:rFonts w:hint="eastAsia" w:ascii="Times New Roman" w:hAnsi="Times New Roman" w:cs="Times New Roman"/>
          <w:snapToGrid w:val="0"/>
          <w:color w:val="auto"/>
          <w:sz w:val="21"/>
          <w:szCs w:val="21"/>
          <w:highlight w:val="none"/>
          <w:u w:val="none" w:color="auto"/>
          <w:lang w:val="en-US" w:eastAsia="zh-CN"/>
        </w:rPr>
        <w:t xml:space="preserve">附图7 </w:t>
      </w:r>
      <w:r>
        <w:rPr>
          <w:rFonts w:hint="default" w:ascii="Times New Roman" w:hAnsi="Times New Roman" w:cs="Times New Roman"/>
          <w:snapToGrid w:val="0"/>
          <w:color w:val="auto"/>
          <w:sz w:val="21"/>
          <w:szCs w:val="21"/>
          <w:highlight w:val="none"/>
          <w:u w:val="none" w:color="auto"/>
          <w:lang w:val="en-US" w:eastAsia="zh-CN"/>
        </w:rPr>
        <w:t>现场照片</w:t>
      </w:r>
    </w:p>
    <w:p w14:paraId="78543EAB">
      <w:pPr>
        <w:pStyle w:val="30"/>
        <w:keepNext w:val="0"/>
        <w:keepLines w:val="0"/>
        <w:pageBreakBefore w:val="0"/>
        <w:kinsoku/>
        <w:wordWrap/>
        <w:overflowPunct/>
        <w:topLinePunct w:val="0"/>
        <w:autoSpaceDE/>
        <w:autoSpaceDN/>
        <w:bidi w:val="0"/>
        <w:spacing w:after="0" w:line="360" w:lineRule="auto"/>
        <w:ind w:left="0" w:leftChars="0" w:firstLine="0" w:firstLineChars="0"/>
        <w:textAlignment w:val="auto"/>
        <w:rPr>
          <w:rFonts w:hint="default" w:ascii="Times New Roman" w:hAnsi="Times New Roman" w:eastAsia="宋体" w:cs="Times New Roman"/>
          <w:color w:val="auto"/>
          <w:sz w:val="21"/>
          <w:szCs w:val="21"/>
          <w:highlight w:val="none"/>
          <w:u w:val="none" w:color="auto"/>
        </w:rPr>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694DF010">
      <w:pPr>
        <w:pStyle w:val="8"/>
        <w:bidi w:val="0"/>
        <w:rPr>
          <w:rFonts w:hint="default" w:ascii="Times New Roman" w:hAnsi="Times New Roman" w:eastAsia="宋体" w:cs="Times New Roman"/>
          <w:color w:val="auto"/>
          <w:highlight w:val="none"/>
          <w:u w:val="none" w:color="auto"/>
        </w:rPr>
      </w:pPr>
      <w:bookmarkStart w:id="5" w:name="_Toc12963"/>
      <w:r>
        <w:rPr>
          <w:rFonts w:hint="default" w:ascii="Times New Roman" w:hAnsi="Times New Roman" w:eastAsia="宋体" w:cs="Times New Roman"/>
          <w:color w:val="auto"/>
          <w:highlight w:val="none"/>
          <w:u w:val="none" w:color="auto"/>
        </w:rPr>
        <w:t>一、建设项目基本情况</w:t>
      </w:r>
      <w:bookmarkEnd w:id="5"/>
    </w:p>
    <w:tbl>
      <w:tblPr>
        <w:tblStyle w:val="42"/>
        <w:tblW w:w="4984"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502"/>
        <w:gridCol w:w="2499"/>
        <w:gridCol w:w="2204"/>
        <w:gridCol w:w="2637"/>
      </w:tblGrid>
      <w:tr w14:paraId="05850F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49" w:type="pct"/>
            <w:tcMar>
              <w:top w:w="16" w:type="dxa"/>
              <w:left w:w="16" w:type="dxa"/>
              <w:right w:w="16" w:type="dxa"/>
            </w:tcMar>
            <w:vAlign w:val="center"/>
          </w:tcPr>
          <w:p w14:paraId="64FD4FEB">
            <w:pPr>
              <w:adjustRightInd w:val="0"/>
              <w:snapToGrid w:val="0"/>
              <w:jc w:val="center"/>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建设项目名称</w:t>
            </w:r>
          </w:p>
        </w:tc>
        <w:tc>
          <w:tcPr>
            <w:tcW w:w="4150" w:type="pct"/>
            <w:gridSpan w:val="3"/>
            <w:vAlign w:val="center"/>
          </w:tcPr>
          <w:p w14:paraId="28CB924D">
            <w:pPr>
              <w:adjustRightInd w:val="0"/>
              <w:snapToGrid w:val="0"/>
              <w:jc w:val="center"/>
              <w:rPr>
                <w:rFonts w:hint="default" w:ascii="Times New Roman" w:hAnsi="Times New Roman" w:eastAsia="宋体" w:cs="Times New Roman"/>
                <w:color w:val="auto"/>
                <w:highlight w:val="none"/>
                <w:u w:val="none" w:color="auto"/>
                <w:lang w:eastAsia="zh-CN"/>
              </w:rPr>
            </w:pPr>
            <w:r>
              <w:rPr>
                <w:rFonts w:hint="eastAsia" w:cs="Times New Roman"/>
                <w:color w:val="auto"/>
                <w:highlight w:val="none"/>
                <w:u w:val="none" w:color="auto"/>
                <w:lang w:val="en-US" w:eastAsia="zh-CN"/>
              </w:rPr>
              <w:t>湖南省口福轩有限公司食品加工生产</w:t>
            </w:r>
            <w:r>
              <w:rPr>
                <w:rFonts w:hint="eastAsia" w:cs="Times New Roman"/>
                <w:color w:val="auto"/>
                <w:highlight w:val="none"/>
                <w:u w:val="none" w:color="auto"/>
                <w:lang w:eastAsia="zh-CN"/>
              </w:rPr>
              <w:t>建设项目</w:t>
            </w:r>
          </w:p>
        </w:tc>
      </w:tr>
      <w:tr w14:paraId="1C05E9A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49" w:type="pct"/>
            <w:tcMar>
              <w:top w:w="16" w:type="dxa"/>
              <w:left w:w="16" w:type="dxa"/>
              <w:right w:w="16" w:type="dxa"/>
            </w:tcMar>
            <w:vAlign w:val="center"/>
          </w:tcPr>
          <w:p w14:paraId="3C7F42F5">
            <w:pPr>
              <w:adjustRightInd w:val="0"/>
              <w:snapToGrid w:val="0"/>
              <w:jc w:val="center"/>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项目代码</w:t>
            </w:r>
          </w:p>
        </w:tc>
        <w:tc>
          <w:tcPr>
            <w:tcW w:w="4150" w:type="pct"/>
            <w:gridSpan w:val="3"/>
            <w:vAlign w:val="center"/>
          </w:tcPr>
          <w:p w14:paraId="3405E1C9">
            <w:pPr>
              <w:adjustRightInd w:val="0"/>
              <w:snapToGrid w:val="0"/>
              <w:jc w:val="center"/>
              <w:rPr>
                <w:rFonts w:hint="default" w:ascii="Times New Roman" w:hAnsi="Times New Roman" w:eastAsia="宋体" w:cs="Times New Roman"/>
                <w:color w:val="auto"/>
                <w:highlight w:val="none"/>
                <w:u w:val="none" w:color="auto"/>
                <w:lang w:val="en-US" w:eastAsia="zh-CN"/>
              </w:rPr>
            </w:pPr>
            <w:r>
              <w:rPr>
                <w:rFonts w:hint="eastAsia" w:cs="Times New Roman"/>
                <w:color w:val="auto"/>
                <w:highlight w:val="none"/>
                <w:u w:val="none" w:color="auto"/>
                <w:lang w:val="en-US" w:eastAsia="zh-CN"/>
              </w:rPr>
              <w:t>2301-430681-04-01-292752</w:t>
            </w:r>
          </w:p>
        </w:tc>
      </w:tr>
      <w:tr w14:paraId="6FD8F69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49" w:type="pct"/>
            <w:tcMar>
              <w:top w:w="16" w:type="dxa"/>
              <w:left w:w="16" w:type="dxa"/>
              <w:right w:w="16" w:type="dxa"/>
            </w:tcMar>
            <w:vAlign w:val="center"/>
          </w:tcPr>
          <w:p w14:paraId="1B6B026F">
            <w:pPr>
              <w:adjustRightInd w:val="0"/>
              <w:snapToGrid w:val="0"/>
              <w:jc w:val="center"/>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建设单位联系人</w:t>
            </w:r>
          </w:p>
        </w:tc>
        <w:tc>
          <w:tcPr>
            <w:tcW w:w="1413" w:type="pct"/>
            <w:vAlign w:val="center"/>
          </w:tcPr>
          <w:p w14:paraId="1B07F0A9">
            <w:pPr>
              <w:adjustRightInd w:val="0"/>
              <w:snapToGrid w:val="0"/>
              <w:jc w:val="center"/>
              <w:rPr>
                <w:rFonts w:hint="default" w:ascii="Times New Roman" w:hAnsi="Times New Roman" w:eastAsia="宋体" w:cs="Times New Roman"/>
                <w:color w:val="auto"/>
                <w:highlight w:val="none"/>
                <w:u w:val="none" w:color="auto"/>
                <w:lang w:val="en-US" w:eastAsia="zh-CN"/>
              </w:rPr>
            </w:pPr>
            <w:r>
              <w:rPr>
                <w:rFonts w:hint="eastAsia"/>
                <w:color w:val="auto"/>
                <w:sz w:val="24"/>
                <w:lang w:eastAsia="zh-CN"/>
              </w:rPr>
              <w:t>李松岳</w:t>
            </w:r>
          </w:p>
        </w:tc>
        <w:tc>
          <w:tcPr>
            <w:tcW w:w="1246" w:type="pct"/>
            <w:vAlign w:val="center"/>
          </w:tcPr>
          <w:p w14:paraId="37F47922">
            <w:pPr>
              <w:adjustRightInd w:val="0"/>
              <w:snapToGrid w:val="0"/>
              <w:jc w:val="center"/>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联系方式</w:t>
            </w:r>
          </w:p>
        </w:tc>
        <w:tc>
          <w:tcPr>
            <w:tcW w:w="1490" w:type="pct"/>
            <w:vAlign w:val="center"/>
          </w:tcPr>
          <w:p w14:paraId="7F885B52">
            <w:pPr>
              <w:adjustRightInd w:val="0"/>
              <w:snapToGrid w:val="0"/>
              <w:jc w:val="center"/>
              <w:rPr>
                <w:rFonts w:hint="default" w:ascii="Times New Roman" w:hAnsi="Times New Roman" w:eastAsia="宋体" w:cs="Times New Roman"/>
                <w:color w:val="auto"/>
                <w:highlight w:val="none"/>
                <w:u w:val="none" w:color="auto"/>
                <w:lang w:val="en-US" w:eastAsia="zh-CN"/>
              </w:rPr>
            </w:pPr>
            <w:r>
              <w:rPr>
                <w:rFonts w:hint="eastAsia"/>
                <w:color w:val="auto"/>
                <w:sz w:val="24"/>
                <w:lang w:val="en-US" w:eastAsia="zh-CN"/>
              </w:rPr>
              <w:t>******</w:t>
            </w:r>
          </w:p>
        </w:tc>
      </w:tr>
      <w:tr w14:paraId="6E89F3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49" w:type="pct"/>
            <w:tcMar>
              <w:top w:w="16" w:type="dxa"/>
              <w:left w:w="16" w:type="dxa"/>
              <w:right w:w="16" w:type="dxa"/>
            </w:tcMar>
            <w:vAlign w:val="center"/>
          </w:tcPr>
          <w:p w14:paraId="7D872CEA">
            <w:pPr>
              <w:adjustRightInd w:val="0"/>
              <w:snapToGrid w:val="0"/>
              <w:jc w:val="center"/>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建设地点</w:t>
            </w:r>
          </w:p>
        </w:tc>
        <w:tc>
          <w:tcPr>
            <w:tcW w:w="4150" w:type="pct"/>
            <w:gridSpan w:val="3"/>
            <w:vAlign w:val="center"/>
          </w:tcPr>
          <w:p w14:paraId="7ABE7001">
            <w:pPr>
              <w:adjustRightInd w:val="0"/>
              <w:snapToGrid w:val="0"/>
              <w:jc w:val="center"/>
              <w:rPr>
                <w:rFonts w:hint="default" w:ascii="Times New Roman" w:hAnsi="Times New Roman" w:eastAsia="宋体" w:cs="Times New Roman"/>
                <w:color w:val="auto"/>
                <w:highlight w:val="none"/>
                <w:u w:val="none" w:color="auto"/>
                <w:lang w:val="en-US" w:eastAsia="zh-CN"/>
              </w:rPr>
            </w:pPr>
            <w:r>
              <w:rPr>
                <w:rFonts w:hint="eastAsia"/>
                <w:color w:val="auto"/>
                <w:sz w:val="24"/>
                <w:lang w:eastAsia="zh-CN"/>
              </w:rPr>
              <w:t>湖南省汨罗市大荆镇古仑村</w:t>
            </w:r>
          </w:p>
        </w:tc>
      </w:tr>
      <w:tr w14:paraId="348352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49" w:type="pct"/>
            <w:tcMar>
              <w:top w:w="16" w:type="dxa"/>
              <w:left w:w="16" w:type="dxa"/>
              <w:right w:w="16" w:type="dxa"/>
            </w:tcMar>
            <w:vAlign w:val="center"/>
          </w:tcPr>
          <w:p w14:paraId="007245BA">
            <w:pPr>
              <w:adjustRightInd w:val="0"/>
              <w:snapToGrid w:val="0"/>
              <w:jc w:val="center"/>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地理坐标</w:t>
            </w:r>
          </w:p>
        </w:tc>
        <w:tc>
          <w:tcPr>
            <w:tcW w:w="4150" w:type="pct"/>
            <w:gridSpan w:val="3"/>
            <w:vAlign w:val="center"/>
          </w:tcPr>
          <w:p w14:paraId="0E6E288C">
            <w:pPr>
              <w:jc w:val="center"/>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 xml:space="preserve"> 113°</w:t>
            </w:r>
            <w:r>
              <w:rPr>
                <w:rFonts w:hint="eastAsia" w:cs="Times New Roman"/>
                <w:color w:val="auto"/>
                <w:highlight w:val="none"/>
                <w:u w:val="none" w:color="auto"/>
                <w:lang w:val="en-US" w:eastAsia="zh-CN"/>
              </w:rPr>
              <w:t>18</w:t>
            </w:r>
            <w:r>
              <w:rPr>
                <w:rFonts w:hint="default" w:ascii="Times New Roman" w:hAnsi="Times New Roman" w:eastAsia="宋体" w:cs="Times New Roman"/>
                <w:color w:val="auto"/>
                <w:highlight w:val="none"/>
                <w:u w:val="none" w:color="auto"/>
              </w:rPr>
              <w:t>′</w:t>
            </w:r>
            <w:r>
              <w:rPr>
                <w:rFonts w:hint="eastAsia" w:cs="Times New Roman"/>
                <w:color w:val="auto"/>
                <w:highlight w:val="none"/>
                <w:u w:val="none" w:color="auto"/>
                <w:lang w:val="en-US" w:eastAsia="zh-CN"/>
              </w:rPr>
              <w:t>34.943</w:t>
            </w:r>
            <w:r>
              <w:rPr>
                <w:rFonts w:hint="default" w:ascii="Times New Roman" w:hAnsi="Times New Roman" w:eastAsia="宋体" w:cs="Times New Roman"/>
                <w:color w:val="auto"/>
                <w:highlight w:val="none"/>
                <w:u w:val="none" w:color="auto"/>
                <w:lang w:val="en-US" w:eastAsia="zh-CN"/>
              </w:rPr>
              <w:t>″</w:t>
            </w:r>
            <w:r>
              <w:rPr>
                <w:rFonts w:hint="default" w:ascii="Times New Roman" w:hAnsi="Times New Roman" w:eastAsia="宋体" w:cs="Times New Roman"/>
                <w:color w:val="auto"/>
                <w:highlight w:val="none"/>
                <w:u w:val="none" w:color="auto"/>
              </w:rPr>
              <w:t>E， 28°</w:t>
            </w:r>
            <w:r>
              <w:rPr>
                <w:rFonts w:hint="eastAsia" w:cs="Times New Roman"/>
                <w:color w:val="auto"/>
                <w:highlight w:val="none"/>
                <w:u w:val="none" w:color="auto"/>
                <w:lang w:val="en-US" w:eastAsia="zh-CN"/>
              </w:rPr>
              <w:t>55</w:t>
            </w:r>
            <w:r>
              <w:rPr>
                <w:rFonts w:hint="default" w:ascii="Times New Roman" w:hAnsi="Times New Roman" w:eastAsia="宋体" w:cs="Times New Roman"/>
                <w:color w:val="auto"/>
                <w:highlight w:val="none"/>
                <w:u w:val="none" w:color="auto"/>
              </w:rPr>
              <w:t>′</w:t>
            </w:r>
            <w:r>
              <w:rPr>
                <w:rFonts w:hint="eastAsia" w:cs="Times New Roman"/>
                <w:color w:val="auto"/>
                <w:highlight w:val="none"/>
                <w:u w:val="none" w:color="auto"/>
                <w:lang w:val="en-US" w:eastAsia="zh-CN"/>
              </w:rPr>
              <w:t>5.621</w:t>
            </w:r>
            <w:r>
              <w:rPr>
                <w:rFonts w:hint="default" w:ascii="Times New Roman" w:hAnsi="Times New Roman" w:eastAsia="宋体" w:cs="Times New Roman"/>
                <w:color w:val="auto"/>
                <w:highlight w:val="none"/>
                <w:u w:val="none" w:color="auto"/>
                <w:lang w:val="en-US" w:eastAsia="zh-CN"/>
              </w:rPr>
              <w:t>″</w:t>
            </w:r>
            <w:r>
              <w:rPr>
                <w:rFonts w:hint="default" w:ascii="Times New Roman" w:hAnsi="Times New Roman" w:eastAsia="宋体" w:cs="Times New Roman"/>
                <w:color w:val="auto"/>
                <w:highlight w:val="none"/>
                <w:u w:val="none" w:color="auto"/>
              </w:rPr>
              <w:t>N</w:t>
            </w:r>
          </w:p>
        </w:tc>
      </w:tr>
      <w:tr w14:paraId="7DB7B5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849" w:type="pct"/>
            <w:tcMar>
              <w:top w:w="16" w:type="dxa"/>
              <w:left w:w="16" w:type="dxa"/>
              <w:right w:w="16" w:type="dxa"/>
            </w:tcMar>
            <w:vAlign w:val="center"/>
          </w:tcPr>
          <w:p w14:paraId="74ED6E62">
            <w:pPr>
              <w:adjustRightInd w:val="0"/>
              <w:snapToGrid w:val="0"/>
              <w:jc w:val="center"/>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国民经济</w:t>
            </w:r>
          </w:p>
          <w:p w14:paraId="1EB33682">
            <w:pPr>
              <w:adjustRightInd w:val="0"/>
              <w:snapToGrid w:val="0"/>
              <w:jc w:val="center"/>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行业类别</w:t>
            </w:r>
          </w:p>
        </w:tc>
        <w:tc>
          <w:tcPr>
            <w:tcW w:w="1413" w:type="pct"/>
            <w:vAlign w:val="center"/>
          </w:tcPr>
          <w:p w14:paraId="7C840E5A">
            <w:pPr>
              <w:adjustRightInd w:val="0"/>
              <w:snapToGrid w:val="0"/>
              <w:jc w:val="center"/>
              <w:rPr>
                <w:rFonts w:hint="default" w:cs="Times New Roman"/>
                <w:color w:val="auto"/>
                <w:highlight w:val="none"/>
                <w:u w:val="none" w:color="auto"/>
                <w:lang w:val="en-US" w:eastAsia="zh-CN"/>
              </w:rPr>
            </w:pPr>
            <w:r>
              <w:rPr>
                <w:rFonts w:hint="eastAsia" w:cs="Times New Roman"/>
                <w:color w:val="auto"/>
                <w:highlight w:val="none"/>
                <w:u w:val="none" w:color="auto"/>
                <w:lang w:val="en-US" w:eastAsia="zh-CN"/>
              </w:rPr>
              <w:t>C1392豆制品制造、</w:t>
            </w:r>
          </w:p>
          <w:p w14:paraId="0068359E">
            <w:pPr>
              <w:adjustRightInd w:val="0"/>
              <w:snapToGrid w:val="0"/>
              <w:jc w:val="center"/>
              <w:rPr>
                <w:rFonts w:hint="default" w:ascii="Times New Roman" w:hAnsi="Times New Roman" w:eastAsia="宋体" w:cs="Times New Roman"/>
                <w:color w:val="auto"/>
                <w:highlight w:val="none"/>
                <w:u w:val="none" w:color="auto"/>
                <w:lang w:val="en-US"/>
              </w:rPr>
            </w:pPr>
            <w:r>
              <w:rPr>
                <w:rFonts w:hint="eastAsia" w:cs="Times New Roman"/>
                <w:color w:val="auto"/>
                <w:highlight w:val="none"/>
                <w:u w:val="none" w:color="auto"/>
                <w:lang w:val="en-US" w:eastAsia="zh-CN"/>
              </w:rPr>
              <w:t>C1353肉制品及副产品加工；D4430热力生产和供应</w:t>
            </w:r>
          </w:p>
        </w:tc>
        <w:tc>
          <w:tcPr>
            <w:tcW w:w="1246" w:type="pct"/>
            <w:vAlign w:val="center"/>
          </w:tcPr>
          <w:p w14:paraId="5A13CF61">
            <w:pPr>
              <w:adjustRightInd w:val="0"/>
              <w:snapToGrid w:val="0"/>
              <w:jc w:val="center"/>
              <w:rPr>
                <w:rFonts w:hint="default" w:ascii="Times New Roman" w:hAnsi="Times New Roman" w:eastAsia="宋体" w:cs="Times New Roman"/>
                <w:color w:val="auto"/>
                <w:highlight w:val="none"/>
                <w:u w:val="none" w:color="auto"/>
              </w:rPr>
            </w:pPr>
            <w:bookmarkStart w:id="6" w:name="_Hlk49843745"/>
            <w:r>
              <w:rPr>
                <w:rFonts w:hint="default" w:ascii="Times New Roman" w:hAnsi="Times New Roman" w:eastAsia="宋体" w:cs="Times New Roman"/>
                <w:color w:val="auto"/>
                <w:highlight w:val="none"/>
                <w:u w:val="none" w:color="auto"/>
              </w:rPr>
              <w:t>建设项目</w:t>
            </w:r>
          </w:p>
          <w:p w14:paraId="601E3EDC">
            <w:pPr>
              <w:adjustRightInd w:val="0"/>
              <w:snapToGrid w:val="0"/>
              <w:jc w:val="center"/>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行业类别</w:t>
            </w:r>
            <w:bookmarkEnd w:id="6"/>
          </w:p>
        </w:tc>
        <w:tc>
          <w:tcPr>
            <w:tcW w:w="1490" w:type="pct"/>
            <w:vAlign w:val="center"/>
          </w:tcPr>
          <w:p w14:paraId="354E5278">
            <w:pPr>
              <w:numPr>
                <w:ilvl w:val="0"/>
                <w:numId w:val="4"/>
              </w:numPr>
              <w:adjustRightInd w:val="0"/>
              <w:snapToGrid w:val="0"/>
              <w:jc w:val="center"/>
              <w:rPr>
                <w:rFonts w:hint="eastAsia"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农副食品加工业13—其他农副食品加工139豆制品制造</w:t>
            </w:r>
          </w:p>
          <w:p w14:paraId="3EAB07ED">
            <w:pPr>
              <w:numPr>
                <w:ilvl w:val="0"/>
                <w:numId w:val="0"/>
              </w:numPr>
              <w:adjustRightInd w:val="0"/>
              <w:snapToGrid w:val="0"/>
              <w:jc w:val="both"/>
              <w:rPr>
                <w:rFonts w:hint="eastAsia"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十、农副食品加工业13—屠宰及肉类加工135-其他肉类加工</w:t>
            </w:r>
          </w:p>
          <w:p w14:paraId="3CDE0986">
            <w:pPr>
              <w:pStyle w:val="2"/>
              <w:numPr>
                <w:ilvl w:val="3"/>
                <w:numId w:val="0"/>
              </w:numPr>
              <w:rPr>
                <w:rFonts w:hint="default"/>
                <w:color w:val="auto"/>
                <w:lang w:val="en-US" w:eastAsia="zh-CN"/>
              </w:rPr>
            </w:pPr>
            <w:r>
              <w:rPr>
                <w:rFonts w:hint="eastAsia" w:ascii="Times New Roman" w:hAnsi="Times New Roman" w:eastAsia="宋体" w:cs="Times New Roman"/>
                <w:color w:val="auto"/>
                <w:kern w:val="2"/>
                <w:sz w:val="21"/>
                <w:szCs w:val="21"/>
                <w:highlight w:val="none"/>
                <w:u w:val="none" w:color="auto"/>
                <w:lang w:val="en-US" w:eastAsia="zh-CN" w:bidi="ar-SA"/>
              </w:rPr>
              <w:t>四十一</w:t>
            </w:r>
            <w:r>
              <w:rPr>
                <w:rFonts w:hint="eastAsia" w:ascii="Times New Roman" w:eastAsia="宋体" w:cs="Times New Roman"/>
                <w:color w:val="auto"/>
                <w:kern w:val="2"/>
                <w:sz w:val="21"/>
                <w:szCs w:val="21"/>
                <w:highlight w:val="none"/>
                <w:u w:val="none" w:color="auto"/>
                <w:lang w:val="en-US" w:eastAsia="zh-CN" w:bidi="ar-SA"/>
              </w:rPr>
              <w:t>、电力、热力生产和供应业—91热力生产和供应工程（包括建设单位自建自用的供热工程）—使用其他高污染燃料的</w:t>
            </w:r>
          </w:p>
        </w:tc>
      </w:tr>
      <w:tr w14:paraId="43F0485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849" w:type="pct"/>
            <w:tcMar>
              <w:top w:w="16" w:type="dxa"/>
              <w:left w:w="16" w:type="dxa"/>
              <w:right w:w="16" w:type="dxa"/>
            </w:tcMar>
            <w:vAlign w:val="center"/>
          </w:tcPr>
          <w:p w14:paraId="647881F4">
            <w:pPr>
              <w:adjustRightInd w:val="0"/>
              <w:snapToGrid w:val="0"/>
              <w:jc w:val="center"/>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建设性质</w:t>
            </w:r>
          </w:p>
        </w:tc>
        <w:tc>
          <w:tcPr>
            <w:tcW w:w="1413" w:type="pct"/>
            <w:vAlign w:val="center"/>
          </w:tcPr>
          <w:p w14:paraId="214C389A">
            <w:pPr>
              <w:jc w:val="left"/>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sym w:font="Wingdings 2" w:char="0052"/>
            </w:r>
            <w:r>
              <w:rPr>
                <w:rFonts w:hint="default" w:ascii="Times New Roman" w:hAnsi="Times New Roman" w:eastAsia="宋体" w:cs="Times New Roman"/>
                <w:color w:val="auto"/>
                <w:highlight w:val="none"/>
                <w:u w:val="none" w:color="auto"/>
              </w:rPr>
              <w:t>新建（迁建）</w:t>
            </w:r>
          </w:p>
          <w:p w14:paraId="103CD6F6">
            <w:pPr>
              <w:jc w:val="left"/>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□改建</w:t>
            </w:r>
          </w:p>
          <w:p w14:paraId="5EEF893C">
            <w:pPr>
              <w:jc w:val="left"/>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□扩建</w:t>
            </w:r>
          </w:p>
          <w:p w14:paraId="14C91035">
            <w:pPr>
              <w:jc w:val="left"/>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□技术改造</w:t>
            </w:r>
          </w:p>
        </w:tc>
        <w:tc>
          <w:tcPr>
            <w:tcW w:w="1246" w:type="pct"/>
            <w:vAlign w:val="center"/>
          </w:tcPr>
          <w:p w14:paraId="12A7A585">
            <w:pPr>
              <w:adjustRightInd w:val="0"/>
              <w:snapToGrid w:val="0"/>
              <w:jc w:val="center"/>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建设项目</w:t>
            </w:r>
          </w:p>
          <w:p w14:paraId="21D92852">
            <w:pPr>
              <w:adjustRightInd w:val="0"/>
              <w:snapToGrid w:val="0"/>
              <w:jc w:val="center"/>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申报情形</w:t>
            </w:r>
          </w:p>
        </w:tc>
        <w:tc>
          <w:tcPr>
            <w:tcW w:w="1490" w:type="pct"/>
            <w:vAlign w:val="center"/>
          </w:tcPr>
          <w:p w14:paraId="425D9BB8">
            <w:pPr>
              <w:jc w:val="left"/>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sym w:font="Wingdings 2" w:char="0052"/>
            </w:r>
            <w:r>
              <w:rPr>
                <w:rFonts w:hint="default" w:ascii="Times New Roman" w:hAnsi="Times New Roman" w:eastAsia="宋体" w:cs="Times New Roman"/>
                <w:color w:val="auto"/>
                <w:highlight w:val="none"/>
                <w:u w:val="none" w:color="auto"/>
              </w:rPr>
              <w:t xml:space="preserve">首次申报项目             </w:t>
            </w:r>
          </w:p>
          <w:p w14:paraId="6F163870">
            <w:pPr>
              <w:jc w:val="left"/>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□不予批准后再次申报项目</w:t>
            </w:r>
          </w:p>
          <w:p w14:paraId="56139E4E">
            <w:pPr>
              <w:jc w:val="left"/>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 xml:space="preserve">□超五年重新审核项目     </w:t>
            </w:r>
          </w:p>
          <w:p w14:paraId="0AD9808A">
            <w:pPr>
              <w:jc w:val="left"/>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□重大变动重新报批项目</w:t>
            </w:r>
          </w:p>
        </w:tc>
      </w:tr>
      <w:tr w14:paraId="1CC411C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849" w:type="pct"/>
            <w:tcMar>
              <w:top w:w="16" w:type="dxa"/>
              <w:left w:w="16" w:type="dxa"/>
              <w:right w:w="16" w:type="dxa"/>
            </w:tcMar>
            <w:vAlign w:val="center"/>
          </w:tcPr>
          <w:p w14:paraId="721B0118">
            <w:pPr>
              <w:adjustRightInd w:val="0"/>
              <w:snapToGrid w:val="0"/>
              <w:jc w:val="center"/>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项目审批（核准/</w:t>
            </w:r>
          </w:p>
          <w:p w14:paraId="07F322B4">
            <w:pPr>
              <w:adjustRightInd w:val="0"/>
              <w:snapToGrid w:val="0"/>
              <w:jc w:val="center"/>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备案）部门（选填）</w:t>
            </w:r>
          </w:p>
        </w:tc>
        <w:tc>
          <w:tcPr>
            <w:tcW w:w="1413" w:type="pct"/>
            <w:vAlign w:val="center"/>
          </w:tcPr>
          <w:p w14:paraId="455E73A0">
            <w:pPr>
              <w:adjustRightInd w:val="0"/>
              <w:snapToGrid w:val="0"/>
              <w:jc w:val="center"/>
              <w:rPr>
                <w:rFonts w:hint="default" w:ascii="Times New Roman" w:hAnsi="Times New Roman" w:eastAsia="宋体" w:cs="Times New Roman"/>
                <w:color w:val="auto"/>
                <w:highlight w:val="none"/>
                <w:u w:val="none" w:color="auto"/>
                <w:lang w:val="en-US" w:eastAsia="zh-CN"/>
              </w:rPr>
            </w:pPr>
            <w:r>
              <w:rPr>
                <w:rFonts w:hint="eastAsia" w:cs="Times New Roman"/>
                <w:color w:val="auto"/>
                <w:highlight w:val="none"/>
                <w:u w:val="none" w:color="auto"/>
                <w:lang w:val="en-US" w:eastAsia="zh-CN"/>
              </w:rPr>
              <w:t>汨罗市发展和改革局</w:t>
            </w:r>
          </w:p>
        </w:tc>
        <w:tc>
          <w:tcPr>
            <w:tcW w:w="1246" w:type="pct"/>
            <w:vAlign w:val="center"/>
          </w:tcPr>
          <w:p w14:paraId="65E8A4D4">
            <w:pPr>
              <w:adjustRightInd w:val="0"/>
              <w:snapToGrid w:val="0"/>
              <w:jc w:val="center"/>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项目审批（核准/</w:t>
            </w:r>
          </w:p>
          <w:p w14:paraId="18C77B00">
            <w:pPr>
              <w:adjustRightInd w:val="0"/>
              <w:snapToGrid w:val="0"/>
              <w:jc w:val="center"/>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备案）文号（选填）</w:t>
            </w:r>
          </w:p>
        </w:tc>
        <w:tc>
          <w:tcPr>
            <w:tcW w:w="1490" w:type="pct"/>
            <w:vAlign w:val="center"/>
          </w:tcPr>
          <w:p w14:paraId="77CE211A">
            <w:pPr>
              <w:adjustRightInd w:val="0"/>
              <w:snapToGrid w:val="0"/>
              <w:jc w:val="center"/>
              <w:rPr>
                <w:rFonts w:hint="default" w:cs="Times New Roman"/>
                <w:color w:val="auto"/>
                <w:highlight w:val="none"/>
                <w:u w:val="none" w:color="auto"/>
                <w:lang w:val="en-US" w:eastAsia="zh-CN"/>
              </w:rPr>
            </w:pPr>
            <w:r>
              <w:rPr>
                <w:rFonts w:hint="eastAsia" w:cs="Times New Roman"/>
                <w:color w:val="auto"/>
                <w:highlight w:val="none"/>
                <w:u w:val="none" w:color="auto"/>
                <w:lang w:val="en-US" w:eastAsia="zh-CN"/>
              </w:rPr>
              <w:t>汨发改备﹝2023﹞09号</w:t>
            </w:r>
          </w:p>
          <w:p w14:paraId="0C068F44">
            <w:pPr>
              <w:adjustRightInd w:val="0"/>
              <w:snapToGrid w:val="0"/>
              <w:jc w:val="center"/>
              <w:rPr>
                <w:rFonts w:hint="default" w:ascii="Times New Roman" w:hAnsi="Times New Roman" w:eastAsia="宋体" w:cs="Times New Roman"/>
                <w:color w:val="auto"/>
                <w:highlight w:val="none"/>
                <w:u w:val="none" w:color="auto"/>
                <w:lang w:val="en-US" w:eastAsia="zh-CN"/>
              </w:rPr>
            </w:pPr>
            <w:r>
              <w:rPr>
                <w:rFonts w:hint="eastAsia" w:cs="Times New Roman"/>
                <w:color w:val="auto"/>
                <w:highlight w:val="none"/>
                <w:u w:val="none" w:color="auto"/>
                <w:lang w:val="en-US" w:eastAsia="zh-CN"/>
              </w:rPr>
              <w:t>汨发改备﹝2024﹞121号</w:t>
            </w:r>
          </w:p>
        </w:tc>
      </w:tr>
      <w:tr w14:paraId="5FD6B3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49" w:type="pct"/>
            <w:tcMar>
              <w:top w:w="16" w:type="dxa"/>
              <w:left w:w="16" w:type="dxa"/>
              <w:right w:w="16" w:type="dxa"/>
            </w:tcMar>
            <w:vAlign w:val="center"/>
          </w:tcPr>
          <w:p w14:paraId="48F26AC4">
            <w:pPr>
              <w:adjustRightInd w:val="0"/>
              <w:snapToGrid w:val="0"/>
              <w:jc w:val="center"/>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总投资（万元）</w:t>
            </w:r>
          </w:p>
        </w:tc>
        <w:tc>
          <w:tcPr>
            <w:tcW w:w="1413" w:type="pct"/>
            <w:vAlign w:val="center"/>
          </w:tcPr>
          <w:p w14:paraId="2E727913">
            <w:pPr>
              <w:adjustRightInd w:val="0"/>
              <w:snapToGrid w:val="0"/>
              <w:jc w:val="center"/>
              <w:rPr>
                <w:rFonts w:hint="default" w:ascii="Times New Roman" w:hAnsi="Times New Roman" w:eastAsia="宋体" w:cs="Times New Roman"/>
                <w:color w:val="auto"/>
                <w:highlight w:val="none"/>
                <w:u w:val="none" w:color="auto"/>
                <w:lang w:val="en-US"/>
              </w:rPr>
            </w:pPr>
            <w:r>
              <w:rPr>
                <w:rFonts w:hint="eastAsia" w:cs="Times New Roman"/>
                <w:color w:val="auto"/>
                <w:highlight w:val="none"/>
                <w:u w:val="none" w:color="auto"/>
                <w:lang w:val="en-US" w:eastAsia="zh-CN"/>
              </w:rPr>
              <w:t>2000</w:t>
            </w:r>
          </w:p>
        </w:tc>
        <w:tc>
          <w:tcPr>
            <w:tcW w:w="1246" w:type="pct"/>
            <w:tcMar>
              <w:top w:w="16" w:type="dxa"/>
              <w:left w:w="16" w:type="dxa"/>
              <w:right w:w="16" w:type="dxa"/>
            </w:tcMar>
            <w:vAlign w:val="center"/>
          </w:tcPr>
          <w:p w14:paraId="7F1CDD6B">
            <w:pPr>
              <w:adjustRightInd w:val="0"/>
              <w:snapToGrid w:val="0"/>
              <w:jc w:val="center"/>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环保投资（万元）</w:t>
            </w:r>
          </w:p>
        </w:tc>
        <w:tc>
          <w:tcPr>
            <w:tcW w:w="1490" w:type="pct"/>
            <w:vAlign w:val="center"/>
          </w:tcPr>
          <w:p w14:paraId="205031EF">
            <w:pPr>
              <w:adjustRightInd w:val="0"/>
              <w:snapToGrid w:val="0"/>
              <w:jc w:val="center"/>
              <w:rPr>
                <w:rFonts w:hint="default" w:ascii="Times New Roman" w:hAnsi="Times New Roman" w:eastAsia="宋体" w:cs="Times New Roman"/>
                <w:color w:val="auto"/>
                <w:highlight w:val="none"/>
                <w:u w:val="none" w:color="auto"/>
                <w:lang w:val="en-US" w:eastAsia="zh-CN"/>
              </w:rPr>
            </w:pPr>
            <w:r>
              <w:rPr>
                <w:rFonts w:hint="eastAsia" w:cs="Times New Roman"/>
                <w:color w:val="auto"/>
                <w:highlight w:val="none"/>
                <w:u w:val="none" w:color="auto"/>
                <w:lang w:val="en-US" w:eastAsia="zh-CN"/>
              </w:rPr>
              <w:t>96.5</w:t>
            </w:r>
          </w:p>
        </w:tc>
      </w:tr>
      <w:tr w14:paraId="10E7451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49" w:type="pct"/>
            <w:tcMar>
              <w:top w:w="16" w:type="dxa"/>
              <w:left w:w="16" w:type="dxa"/>
              <w:right w:w="16" w:type="dxa"/>
            </w:tcMar>
            <w:vAlign w:val="center"/>
          </w:tcPr>
          <w:p w14:paraId="7BE591D5">
            <w:pPr>
              <w:adjustRightInd w:val="0"/>
              <w:snapToGrid w:val="0"/>
              <w:jc w:val="center"/>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环保投资占比（%）</w:t>
            </w:r>
          </w:p>
        </w:tc>
        <w:tc>
          <w:tcPr>
            <w:tcW w:w="1413" w:type="pct"/>
            <w:vAlign w:val="center"/>
          </w:tcPr>
          <w:p w14:paraId="46E346B9">
            <w:pPr>
              <w:adjustRightInd w:val="0"/>
              <w:snapToGrid w:val="0"/>
              <w:jc w:val="center"/>
              <w:rPr>
                <w:rFonts w:hint="default" w:ascii="Times New Roman" w:hAnsi="Times New Roman" w:eastAsia="宋体" w:cs="Times New Roman"/>
                <w:color w:val="auto"/>
                <w:highlight w:val="none"/>
                <w:u w:val="none" w:color="auto"/>
                <w:lang w:val="en-US" w:eastAsia="zh-CN"/>
              </w:rPr>
            </w:pPr>
            <w:r>
              <w:rPr>
                <w:rFonts w:hint="eastAsia" w:cs="Times New Roman"/>
                <w:color w:val="auto"/>
                <w:highlight w:val="none"/>
                <w:u w:val="none" w:color="auto"/>
                <w:lang w:val="en-US" w:eastAsia="zh-CN"/>
              </w:rPr>
              <w:t>4.825%</w:t>
            </w:r>
          </w:p>
        </w:tc>
        <w:tc>
          <w:tcPr>
            <w:tcW w:w="1246" w:type="pct"/>
            <w:tcMar>
              <w:top w:w="16" w:type="dxa"/>
              <w:left w:w="16" w:type="dxa"/>
              <w:right w:w="16" w:type="dxa"/>
            </w:tcMar>
            <w:vAlign w:val="center"/>
          </w:tcPr>
          <w:p w14:paraId="133AB45A">
            <w:pPr>
              <w:adjustRightInd w:val="0"/>
              <w:snapToGrid w:val="0"/>
              <w:jc w:val="center"/>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施工工期</w:t>
            </w:r>
          </w:p>
        </w:tc>
        <w:tc>
          <w:tcPr>
            <w:tcW w:w="1490" w:type="pct"/>
            <w:vAlign w:val="center"/>
          </w:tcPr>
          <w:p w14:paraId="38DCCD0E">
            <w:pPr>
              <w:adjustRightInd w:val="0"/>
              <w:snapToGrid w:val="0"/>
              <w:jc w:val="center"/>
              <w:rPr>
                <w:rFonts w:hint="default" w:ascii="Times New Roman" w:hAnsi="Times New Roman" w:eastAsia="宋体" w:cs="Times New Roman"/>
                <w:color w:val="auto"/>
                <w:highlight w:val="none"/>
                <w:u w:val="none" w:color="auto"/>
              </w:rPr>
            </w:pPr>
            <w:r>
              <w:rPr>
                <w:rFonts w:hint="eastAsia" w:cs="Times New Roman"/>
                <w:color w:val="auto"/>
                <w:highlight w:val="none"/>
                <w:u w:val="none" w:color="auto"/>
                <w:lang w:val="en-US" w:eastAsia="zh-CN"/>
              </w:rPr>
              <w:t>2</w:t>
            </w:r>
            <w:r>
              <w:rPr>
                <w:rFonts w:hint="default" w:ascii="Times New Roman" w:hAnsi="Times New Roman" w:eastAsia="宋体" w:cs="Times New Roman"/>
                <w:color w:val="auto"/>
                <w:highlight w:val="none"/>
                <w:u w:val="none" w:color="auto"/>
              </w:rPr>
              <w:t>个月</w:t>
            </w:r>
          </w:p>
        </w:tc>
      </w:tr>
      <w:tr w14:paraId="0253FB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849" w:type="pct"/>
            <w:tcMar>
              <w:top w:w="16" w:type="dxa"/>
              <w:left w:w="16" w:type="dxa"/>
              <w:right w:w="16" w:type="dxa"/>
            </w:tcMar>
            <w:vAlign w:val="center"/>
          </w:tcPr>
          <w:p w14:paraId="076772D3">
            <w:pPr>
              <w:adjustRightInd w:val="0"/>
              <w:snapToGrid w:val="0"/>
              <w:jc w:val="center"/>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是否开工建设</w:t>
            </w:r>
          </w:p>
        </w:tc>
        <w:tc>
          <w:tcPr>
            <w:tcW w:w="1413" w:type="pct"/>
            <w:vAlign w:val="center"/>
          </w:tcPr>
          <w:p w14:paraId="4CD6BEF7">
            <w:pPr>
              <w:adjustRightInd w:val="0"/>
              <w:snapToGrid w:val="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sym w:font="Wingdings 2" w:char="0052"/>
            </w:r>
            <w:r>
              <w:rPr>
                <w:rFonts w:hint="default" w:ascii="Times New Roman" w:hAnsi="Times New Roman" w:eastAsia="宋体" w:cs="Times New Roman"/>
                <w:color w:val="auto"/>
                <w:highlight w:val="none"/>
                <w:u w:val="none" w:color="auto"/>
              </w:rPr>
              <w:t>否</w:t>
            </w:r>
          </w:p>
          <w:p w14:paraId="2B897B33">
            <w:pPr>
              <w:adjustRightInd w:val="0"/>
              <w:snapToGrid w:val="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sym w:font="Wingdings 2" w:char="00A3"/>
            </w:r>
            <w:r>
              <w:rPr>
                <w:rFonts w:hint="default" w:ascii="Times New Roman" w:hAnsi="Times New Roman" w:eastAsia="宋体" w:cs="Times New Roman"/>
                <w:color w:val="auto"/>
                <w:highlight w:val="none"/>
                <w:u w:val="none" w:color="auto"/>
              </w:rPr>
              <w:t xml:space="preserve">是：             </w:t>
            </w:r>
          </w:p>
        </w:tc>
        <w:tc>
          <w:tcPr>
            <w:tcW w:w="1246" w:type="pct"/>
            <w:tcMar>
              <w:top w:w="16" w:type="dxa"/>
              <w:left w:w="16" w:type="dxa"/>
              <w:right w:w="16" w:type="dxa"/>
            </w:tcMar>
            <w:vAlign w:val="center"/>
          </w:tcPr>
          <w:p w14:paraId="613C5E50">
            <w:pPr>
              <w:adjustRightInd w:val="0"/>
              <w:snapToGrid w:val="0"/>
              <w:jc w:val="center"/>
              <w:rPr>
                <w:rFonts w:hint="default" w:ascii="Times New Roman" w:hAnsi="Times New Roman" w:eastAsia="宋体" w:cs="Times New Roman"/>
                <w:color w:val="auto"/>
                <w:spacing w:val="-6"/>
                <w:highlight w:val="none"/>
                <w:u w:val="none" w:color="auto"/>
              </w:rPr>
            </w:pPr>
            <w:r>
              <w:rPr>
                <w:rFonts w:hint="default" w:ascii="Times New Roman" w:hAnsi="Times New Roman" w:eastAsia="宋体" w:cs="Times New Roman"/>
                <w:color w:val="auto"/>
                <w:spacing w:val="-6"/>
                <w:highlight w:val="none"/>
                <w:u w:val="none" w:color="auto"/>
              </w:rPr>
              <w:t>用地（用海）</w:t>
            </w:r>
          </w:p>
          <w:p w14:paraId="07113DFB">
            <w:pPr>
              <w:adjustRightInd w:val="0"/>
              <w:snapToGrid w:val="0"/>
              <w:jc w:val="center"/>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spacing w:val="-6"/>
                <w:highlight w:val="none"/>
                <w:u w:val="none" w:color="auto"/>
              </w:rPr>
              <w:t>面积（m</w:t>
            </w:r>
            <w:r>
              <w:rPr>
                <w:rFonts w:hint="default" w:ascii="Times New Roman" w:hAnsi="Times New Roman" w:eastAsia="宋体" w:cs="Times New Roman"/>
                <w:color w:val="auto"/>
                <w:spacing w:val="-6"/>
                <w:highlight w:val="none"/>
                <w:u w:val="none" w:color="auto"/>
                <w:vertAlign w:val="superscript"/>
              </w:rPr>
              <w:t>2</w:t>
            </w:r>
            <w:r>
              <w:rPr>
                <w:rFonts w:hint="default" w:ascii="Times New Roman" w:hAnsi="Times New Roman" w:eastAsia="宋体" w:cs="Times New Roman"/>
                <w:color w:val="auto"/>
                <w:spacing w:val="-6"/>
                <w:highlight w:val="none"/>
                <w:u w:val="none" w:color="auto"/>
              </w:rPr>
              <w:t>）</w:t>
            </w:r>
          </w:p>
        </w:tc>
        <w:tc>
          <w:tcPr>
            <w:tcW w:w="1490" w:type="pct"/>
            <w:vAlign w:val="center"/>
          </w:tcPr>
          <w:p w14:paraId="698EB1B3">
            <w:pPr>
              <w:adjustRightInd w:val="0"/>
              <w:snapToGrid w:val="0"/>
              <w:jc w:val="center"/>
              <w:rPr>
                <w:rFonts w:hint="default" w:ascii="Times New Roman" w:hAnsi="Times New Roman" w:eastAsia="宋体" w:cs="Times New Roman"/>
                <w:color w:val="auto"/>
                <w:highlight w:val="none"/>
                <w:u w:val="none" w:color="auto"/>
                <w:lang w:val="en-US" w:eastAsia="zh-CN"/>
              </w:rPr>
            </w:pPr>
            <w:r>
              <w:rPr>
                <w:rFonts w:hint="eastAsia" w:cs="Times New Roman"/>
                <w:color w:val="auto"/>
                <w:highlight w:val="none"/>
                <w:u w:val="none" w:color="auto"/>
                <w:lang w:val="en-US" w:eastAsia="zh-CN"/>
              </w:rPr>
              <w:t>13320</w:t>
            </w:r>
          </w:p>
        </w:tc>
      </w:tr>
      <w:tr w14:paraId="0152978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849" w:type="pct"/>
            <w:vAlign w:val="center"/>
          </w:tcPr>
          <w:p w14:paraId="2B077C4B">
            <w:pPr>
              <w:autoSpaceDE w:val="0"/>
              <w:autoSpaceDN w:val="0"/>
              <w:adjustRightInd w:val="0"/>
              <w:snapToGrid w:val="0"/>
              <w:jc w:val="center"/>
              <w:rPr>
                <w:rFonts w:hint="default" w:ascii="Times New Roman" w:hAnsi="Times New Roman" w:eastAsia="宋体" w:cs="Times New Roman"/>
                <w:color w:val="auto"/>
                <w:kern w:val="0"/>
                <w:highlight w:val="none"/>
                <w:u w:val="none" w:color="auto"/>
              </w:rPr>
            </w:pPr>
            <w:r>
              <w:rPr>
                <w:rFonts w:hint="default" w:ascii="Times New Roman" w:hAnsi="Times New Roman" w:eastAsia="宋体" w:cs="Times New Roman"/>
                <w:color w:val="auto"/>
                <w:kern w:val="0"/>
                <w:highlight w:val="none"/>
                <w:u w:val="none" w:color="auto"/>
              </w:rPr>
              <w:t>专项评价设置情况</w:t>
            </w:r>
          </w:p>
        </w:tc>
        <w:tc>
          <w:tcPr>
            <w:tcW w:w="4150" w:type="pct"/>
            <w:gridSpan w:val="3"/>
            <w:vAlign w:val="center"/>
          </w:tcPr>
          <w:p w14:paraId="0FB10FA4">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highlight w:val="none"/>
                <w:u w:val="none" w:color="auto"/>
                <w:lang w:val="en-US" w:eastAsia="zh-CN"/>
              </w:rPr>
            </w:pPr>
            <w:r>
              <w:rPr>
                <w:rFonts w:hint="default" w:ascii="Times New Roman" w:hAnsi="Times New Roman" w:eastAsia="宋体" w:cs="Times New Roman"/>
                <w:color w:val="auto"/>
                <w:kern w:val="0"/>
                <w:highlight w:val="none"/>
                <w:u w:val="none" w:color="auto"/>
                <w:lang w:val="en-US" w:eastAsia="zh-CN"/>
              </w:rPr>
              <w:t>根据《建设项目环境影响报告表编制技术指南（污染影响类）（试行）》，专项评价设置原则如下：</w:t>
            </w:r>
          </w:p>
          <w:p w14:paraId="14DCBD5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ind w:left="0" w:right="0" w:firstLine="0" w:firstLineChars="0"/>
              <w:jc w:val="center"/>
              <w:textAlignment w:val="auto"/>
              <w:rPr>
                <w:rFonts w:hint="default" w:ascii="Times New Roman" w:hAnsi="Times New Roman" w:cs="Times New Roman"/>
                <w:b/>
                <w:bCs/>
                <w:color w:val="auto"/>
                <w:sz w:val="21"/>
                <w:szCs w:val="21"/>
                <w:u w:val="none"/>
                <w:lang w:val="en-US" w:eastAsia="zh-CN"/>
              </w:rPr>
            </w:pPr>
            <w:r>
              <w:rPr>
                <w:rFonts w:hint="default" w:ascii="Times New Roman" w:hAnsi="Times New Roman" w:cs="Times New Roman"/>
                <w:b/>
                <w:bCs/>
                <w:color w:val="auto"/>
                <w:sz w:val="21"/>
                <w:szCs w:val="21"/>
                <w:u w:val="none"/>
                <w:lang w:val="en-US" w:eastAsia="zh-CN"/>
              </w:rPr>
              <w:t>表1-1  专项评价设置原则表</w:t>
            </w:r>
          </w:p>
          <w:tbl>
            <w:tblPr>
              <w:tblStyle w:val="43"/>
              <w:tblW w:w="7114"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69"/>
              <w:gridCol w:w="3129"/>
              <w:gridCol w:w="2217"/>
              <w:gridCol w:w="699"/>
            </w:tblGrid>
            <w:tr w14:paraId="5DCC220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69" w:type="dxa"/>
                  <w:tcBorders>
                    <w:tl2br w:val="nil"/>
                    <w:tr2bl w:val="nil"/>
                  </w:tcBorders>
                  <w:vAlign w:val="center"/>
                </w:tcPr>
                <w:p w14:paraId="5049DD0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18"/>
                      <w:szCs w:val="18"/>
                      <w:highlight w:val="none"/>
                      <w:u w:val="none" w:color="auto"/>
                      <w:vertAlign w:val="baseline"/>
                      <w:lang w:val="en-US" w:eastAsia="zh-CN"/>
                    </w:rPr>
                  </w:pPr>
                  <w:r>
                    <w:rPr>
                      <w:rFonts w:hint="eastAsia" w:cs="Times New Roman"/>
                      <w:color w:val="auto"/>
                      <w:kern w:val="0"/>
                      <w:sz w:val="18"/>
                      <w:szCs w:val="18"/>
                      <w:highlight w:val="none"/>
                      <w:u w:val="none" w:color="auto"/>
                      <w:vertAlign w:val="baseline"/>
                      <w:lang w:val="en-US" w:eastAsia="zh-CN"/>
                    </w:rPr>
                    <w:t>专项评价的类别</w:t>
                  </w:r>
                </w:p>
              </w:tc>
              <w:tc>
                <w:tcPr>
                  <w:tcW w:w="3129" w:type="dxa"/>
                  <w:tcBorders>
                    <w:tl2br w:val="nil"/>
                    <w:tr2bl w:val="nil"/>
                  </w:tcBorders>
                  <w:vAlign w:val="center"/>
                </w:tcPr>
                <w:p w14:paraId="2883253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18"/>
                      <w:szCs w:val="18"/>
                      <w:highlight w:val="none"/>
                      <w:u w:val="none" w:color="auto"/>
                      <w:vertAlign w:val="baseline"/>
                      <w:lang w:val="en-US" w:eastAsia="zh-CN"/>
                    </w:rPr>
                  </w:pPr>
                  <w:r>
                    <w:rPr>
                      <w:rFonts w:hint="eastAsia" w:cs="Times New Roman"/>
                      <w:color w:val="auto"/>
                      <w:kern w:val="0"/>
                      <w:sz w:val="18"/>
                      <w:szCs w:val="18"/>
                      <w:highlight w:val="none"/>
                      <w:u w:val="none" w:color="auto"/>
                      <w:vertAlign w:val="baseline"/>
                      <w:lang w:val="en-US" w:eastAsia="zh-CN"/>
                    </w:rPr>
                    <w:t>设置原则</w:t>
                  </w:r>
                </w:p>
              </w:tc>
              <w:tc>
                <w:tcPr>
                  <w:tcW w:w="2217" w:type="dxa"/>
                  <w:tcBorders>
                    <w:tl2br w:val="nil"/>
                    <w:tr2bl w:val="nil"/>
                  </w:tcBorders>
                  <w:vAlign w:val="center"/>
                </w:tcPr>
                <w:p w14:paraId="6300B6B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18"/>
                      <w:szCs w:val="18"/>
                      <w:highlight w:val="none"/>
                      <w:u w:val="none" w:color="auto"/>
                      <w:vertAlign w:val="baseline"/>
                      <w:lang w:val="en-US" w:eastAsia="zh-CN"/>
                    </w:rPr>
                  </w:pPr>
                  <w:r>
                    <w:rPr>
                      <w:rFonts w:hint="eastAsia" w:cs="Times New Roman"/>
                      <w:color w:val="auto"/>
                      <w:kern w:val="0"/>
                      <w:sz w:val="18"/>
                      <w:szCs w:val="18"/>
                      <w:highlight w:val="none"/>
                      <w:u w:val="none" w:color="auto"/>
                      <w:vertAlign w:val="baseline"/>
                      <w:lang w:val="en-US" w:eastAsia="zh-CN"/>
                    </w:rPr>
                    <w:t>本项目情况</w:t>
                  </w:r>
                </w:p>
              </w:tc>
              <w:tc>
                <w:tcPr>
                  <w:tcW w:w="699" w:type="dxa"/>
                  <w:tcBorders>
                    <w:tl2br w:val="nil"/>
                    <w:tr2bl w:val="nil"/>
                  </w:tcBorders>
                  <w:vAlign w:val="center"/>
                </w:tcPr>
                <w:p w14:paraId="339D257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18"/>
                      <w:szCs w:val="18"/>
                      <w:highlight w:val="none"/>
                      <w:u w:val="none" w:color="auto"/>
                      <w:vertAlign w:val="baseline"/>
                      <w:lang w:val="en-US" w:eastAsia="zh-CN"/>
                    </w:rPr>
                  </w:pPr>
                  <w:r>
                    <w:rPr>
                      <w:rFonts w:hint="eastAsia" w:cs="Times New Roman"/>
                      <w:color w:val="auto"/>
                      <w:kern w:val="0"/>
                      <w:sz w:val="18"/>
                      <w:szCs w:val="18"/>
                      <w:highlight w:val="none"/>
                      <w:u w:val="none" w:color="auto"/>
                      <w:vertAlign w:val="baseline"/>
                      <w:lang w:val="en-US" w:eastAsia="zh-CN"/>
                    </w:rPr>
                    <w:t>是否设置</w:t>
                  </w:r>
                </w:p>
              </w:tc>
            </w:tr>
            <w:tr w14:paraId="551CE7E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69" w:type="dxa"/>
                  <w:tcBorders>
                    <w:tl2br w:val="nil"/>
                    <w:tr2bl w:val="nil"/>
                  </w:tcBorders>
                  <w:vAlign w:val="center"/>
                </w:tcPr>
                <w:p w14:paraId="5A807A9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18"/>
                      <w:szCs w:val="18"/>
                      <w:highlight w:val="none"/>
                      <w:u w:val="none" w:color="auto"/>
                      <w:vertAlign w:val="baseline"/>
                      <w:lang w:val="en-US" w:eastAsia="zh-CN"/>
                    </w:rPr>
                  </w:pPr>
                  <w:r>
                    <w:rPr>
                      <w:rFonts w:hint="eastAsia" w:cs="Times New Roman"/>
                      <w:color w:val="auto"/>
                      <w:kern w:val="0"/>
                      <w:sz w:val="18"/>
                      <w:szCs w:val="18"/>
                      <w:highlight w:val="none"/>
                      <w:u w:val="none" w:color="auto"/>
                      <w:vertAlign w:val="baseline"/>
                      <w:lang w:val="en-US" w:eastAsia="zh-CN"/>
                    </w:rPr>
                    <w:t>大气</w:t>
                  </w:r>
                </w:p>
              </w:tc>
              <w:tc>
                <w:tcPr>
                  <w:tcW w:w="3129" w:type="dxa"/>
                  <w:tcBorders>
                    <w:tl2br w:val="nil"/>
                    <w:tr2bl w:val="nil"/>
                  </w:tcBorders>
                  <w:vAlign w:val="center"/>
                </w:tcPr>
                <w:p w14:paraId="73214719">
                  <w:pPr>
                    <w:pStyle w:val="285"/>
                    <w:keepNext w:val="0"/>
                    <w:keepLines w:val="0"/>
                    <w:pageBreakBefore w:val="0"/>
                    <w:widowControl/>
                    <w:suppressLineNumbers w:val="0"/>
                    <w:kinsoku/>
                    <w:wordWrap/>
                    <w:overflowPunct/>
                    <w:topLinePunct w:val="0"/>
                    <w:bidi w:val="0"/>
                    <w:adjustRightInd/>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sz w:val="18"/>
                      <w:szCs w:val="18"/>
                      <w:lang w:val="en-US" w:eastAsia="zh-CN" w:bidi="ar-SA"/>
                    </w:rPr>
                    <w:t>排放废气含有毒有害污染物、二噁英、苯并[a]芘、氰化物、氯气且厂界外500米范围内有环境空气保护目标的建设项目</w:t>
                  </w:r>
                </w:p>
              </w:tc>
              <w:tc>
                <w:tcPr>
                  <w:tcW w:w="2217" w:type="dxa"/>
                  <w:tcBorders>
                    <w:tl2br w:val="nil"/>
                    <w:tr2bl w:val="nil"/>
                  </w:tcBorders>
                  <w:vAlign w:val="center"/>
                </w:tcPr>
                <w:p w14:paraId="1580B73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18"/>
                      <w:szCs w:val="18"/>
                      <w:highlight w:val="none"/>
                      <w:u w:val="none" w:color="auto"/>
                      <w:vertAlign w:val="baseline"/>
                      <w:lang w:val="en-US" w:eastAsia="zh-CN"/>
                    </w:rPr>
                  </w:pPr>
                  <w:r>
                    <w:rPr>
                      <w:rFonts w:hint="eastAsia" w:cs="Times New Roman"/>
                      <w:color w:val="auto"/>
                      <w:kern w:val="0"/>
                      <w:sz w:val="18"/>
                      <w:szCs w:val="18"/>
                      <w:highlight w:val="none"/>
                      <w:u w:val="none" w:color="auto"/>
                      <w:vertAlign w:val="baseline"/>
                      <w:lang w:val="en-US" w:eastAsia="zh-CN"/>
                    </w:rPr>
                    <w:t>本项目排放的废气污染物主要为颗粒物、二氧化硫、氮氧化物、硫化氢、氨、臭气浓度，不涉及设置原则中的有毒有害污染物等</w:t>
                  </w:r>
                </w:p>
              </w:tc>
              <w:tc>
                <w:tcPr>
                  <w:tcW w:w="699" w:type="dxa"/>
                  <w:tcBorders>
                    <w:tl2br w:val="nil"/>
                    <w:tr2bl w:val="nil"/>
                  </w:tcBorders>
                  <w:vAlign w:val="center"/>
                </w:tcPr>
                <w:p w14:paraId="4F5674D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18"/>
                      <w:szCs w:val="18"/>
                      <w:highlight w:val="none"/>
                      <w:u w:val="none" w:color="auto"/>
                      <w:vertAlign w:val="baseline"/>
                      <w:lang w:val="en-US" w:eastAsia="zh-CN"/>
                    </w:rPr>
                  </w:pPr>
                  <w:r>
                    <w:rPr>
                      <w:rFonts w:hint="eastAsia" w:cs="Times New Roman"/>
                      <w:color w:val="auto"/>
                      <w:kern w:val="0"/>
                      <w:sz w:val="18"/>
                      <w:szCs w:val="18"/>
                      <w:highlight w:val="none"/>
                      <w:u w:val="none" w:color="auto"/>
                      <w:vertAlign w:val="baseline"/>
                      <w:lang w:val="en-US" w:eastAsia="zh-CN"/>
                    </w:rPr>
                    <w:t>否</w:t>
                  </w:r>
                </w:p>
              </w:tc>
            </w:tr>
            <w:tr w14:paraId="764DAC5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69" w:type="dxa"/>
                  <w:tcBorders>
                    <w:tl2br w:val="nil"/>
                    <w:tr2bl w:val="nil"/>
                  </w:tcBorders>
                  <w:vAlign w:val="center"/>
                </w:tcPr>
                <w:p w14:paraId="7037271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18"/>
                      <w:szCs w:val="18"/>
                      <w:highlight w:val="none"/>
                      <w:u w:val="none" w:color="auto"/>
                      <w:vertAlign w:val="baseline"/>
                      <w:lang w:val="en-US" w:eastAsia="zh-CN"/>
                    </w:rPr>
                  </w:pPr>
                  <w:r>
                    <w:rPr>
                      <w:rFonts w:hint="eastAsia" w:cs="Times New Roman"/>
                      <w:color w:val="auto"/>
                      <w:kern w:val="0"/>
                      <w:sz w:val="18"/>
                      <w:szCs w:val="18"/>
                      <w:highlight w:val="none"/>
                      <w:u w:val="none" w:color="auto"/>
                      <w:vertAlign w:val="baseline"/>
                      <w:lang w:val="en-US" w:eastAsia="zh-CN"/>
                    </w:rPr>
                    <w:t>地表水</w:t>
                  </w:r>
                </w:p>
              </w:tc>
              <w:tc>
                <w:tcPr>
                  <w:tcW w:w="3129" w:type="dxa"/>
                  <w:tcBorders>
                    <w:tl2br w:val="nil"/>
                    <w:tr2bl w:val="nil"/>
                  </w:tcBorders>
                  <w:vAlign w:val="center"/>
                </w:tcPr>
                <w:p w14:paraId="3D990911">
                  <w:pPr>
                    <w:pStyle w:val="285"/>
                    <w:keepNext w:val="0"/>
                    <w:keepLines w:val="0"/>
                    <w:pageBreakBefore w:val="0"/>
                    <w:widowControl/>
                    <w:suppressLineNumbers w:val="0"/>
                    <w:kinsoku/>
                    <w:wordWrap/>
                    <w:overflowPunct/>
                    <w:topLinePunct w:val="0"/>
                    <w:bidi w:val="0"/>
                    <w:adjustRightInd/>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sz w:val="18"/>
                      <w:szCs w:val="18"/>
                      <w:lang w:val="en-US" w:eastAsia="zh-CN" w:bidi="ar-SA"/>
                    </w:rPr>
                    <w:t>新增工业废水直排建设项目（槽罐车外送污水处理厂的除外）；新增废水直排的污水集中处理厂</w:t>
                  </w:r>
                </w:p>
              </w:tc>
              <w:tc>
                <w:tcPr>
                  <w:tcW w:w="2217" w:type="dxa"/>
                  <w:tcBorders>
                    <w:tl2br w:val="nil"/>
                    <w:tr2bl w:val="nil"/>
                  </w:tcBorders>
                  <w:vAlign w:val="center"/>
                </w:tcPr>
                <w:p w14:paraId="63475BE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18"/>
                      <w:szCs w:val="18"/>
                      <w:highlight w:val="none"/>
                      <w:u w:val="none" w:color="auto"/>
                      <w:vertAlign w:val="baseline"/>
                      <w:lang w:val="en-US" w:eastAsia="zh-CN"/>
                    </w:rPr>
                  </w:pPr>
                  <w:r>
                    <w:rPr>
                      <w:rFonts w:hint="eastAsia" w:cs="Times New Roman"/>
                      <w:color w:val="auto"/>
                      <w:kern w:val="0"/>
                      <w:sz w:val="18"/>
                      <w:szCs w:val="18"/>
                      <w:highlight w:val="none"/>
                      <w:u w:val="none" w:color="auto"/>
                      <w:vertAlign w:val="baseline"/>
                      <w:lang w:val="en-US" w:eastAsia="zh-CN"/>
                    </w:rPr>
                    <w:t>本项目生活污水经化粪池处理后运至汨罗市大荆镇古仑片区污水处理站处理</w:t>
                  </w:r>
                  <w:r>
                    <w:rPr>
                      <w:rFonts w:hint="eastAsia" w:cs="Times New Roman"/>
                      <w:color w:val="auto"/>
                      <w:sz w:val="18"/>
                      <w:szCs w:val="18"/>
                      <w:u w:val="none" w:color="auto"/>
                      <w:vertAlign w:val="baseline"/>
                      <w:lang w:val="en-US" w:eastAsia="zh-CN" w:bidi="ar-SA"/>
                    </w:rPr>
                    <w:t>，生产废水经自建污水处理站处理后运至汨罗市大荆镇古仑片区污水处理站处理。</w:t>
                  </w:r>
                </w:p>
              </w:tc>
              <w:tc>
                <w:tcPr>
                  <w:tcW w:w="699" w:type="dxa"/>
                  <w:tcBorders>
                    <w:tl2br w:val="nil"/>
                    <w:tr2bl w:val="nil"/>
                  </w:tcBorders>
                  <w:vAlign w:val="center"/>
                </w:tcPr>
                <w:p w14:paraId="7CAAD890">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18"/>
                      <w:szCs w:val="18"/>
                      <w:highlight w:val="none"/>
                      <w:u w:val="none" w:color="auto"/>
                      <w:vertAlign w:val="baseline"/>
                      <w:lang w:val="en-US" w:eastAsia="zh-CN"/>
                    </w:rPr>
                  </w:pPr>
                  <w:r>
                    <w:rPr>
                      <w:rFonts w:hint="eastAsia" w:cs="Times New Roman"/>
                      <w:color w:val="auto"/>
                      <w:kern w:val="0"/>
                      <w:sz w:val="18"/>
                      <w:szCs w:val="18"/>
                      <w:highlight w:val="none"/>
                      <w:u w:val="none" w:color="auto"/>
                      <w:vertAlign w:val="baseline"/>
                      <w:lang w:val="en-US" w:eastAsia="zh-CN"/>
                    </w:rPr>
                    <w:t>否</w:t>
                  </w:r>
                </w:p>
              </w:tc>
            </w:tr>
            <w:tr w14:paraId="1948B2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69" w:type="dxa"/>
                  <w:tcBorders>
                    <w:tl2br w:val="nil"/>
                    <w:tr2bl w:val="nil"/>
                  </w:tcBorders>
                  <w:vAlign w:val="center"/>
                </w:tcPr>
                <w:p w14:paraId="13ABF00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18"/>
                      <w:szCs w:val="18"/>
                      <w:highlight w:val="none"/>
                      <w:u w:val="none" w:color="auto"/>
                      <w:vertAlign w:val="baseline"/>
                      <w:lang w:val="en-US" w:eastAsia="zh-CN"/>
                    </w:rPr>
                  </w:pPr>
                  <w:r>
                    <w:rPr>
                      <w:rFonts w:hint="eastAsia" w:cs="Times New Roman"/>
                      <w:color w:val="auto"/>
                      <w:kern w:val="0"/>
                      <w:sz w:val="18"/>
                      <w:szCs w:val="18"/>
                      <w:highlight w:val="none"/>
                      <w:u w:val="none" w:color="auto"/>
                      <w:vertAlign w:val="baseline"/>
                      <w:lang w:val="en-US" w:eastAsia="zh-CN"/>
                    </w:rPr>
                    <w:t>环境风险</w:t>
                  </w:r>
                </w:p>
              </w:tc>
              <w:tc>
                <w:tcPr>
                  <w:tcW w:w="3129" w:type="dxa"/>
                  <w:tcBorders>
                    <w:tl2br w:val="nil"/>
                    <w:tr2bl w:val="nil"/>
                  </w:tcBorders>
                  <w:vAlign w:val="center"/>
                </w:tcPr>
                <w:p w14:paraId="7C8D3F34">
                  <w:pPr>
                    <w:pStyle w:val="285"/>
                    <w:keepNext w:val="0"/>
                    <w:keepLines w:val="0"/>
                    <w:pageBreakBefore w:val="0"/>
                    <w:widowControl/>
                    <w:suppressLineNumbers w:val="0"/>
                    <w:kinsoku/>
                    <w:wordWrap/>
                    <w:overflowPunct/>
                    <w:topLinePunct w:val="0"/>
                    <w:bidi w:val="0"/>
                    <w:adjustRightInd/>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0"/>
                      <w:sz w:val="18"/>
                      <w:szCs w:val="18"/>
                      <w:u w:val="none"/>
                      <w:lang w:val="en-US" w:eastAsia="zh-CN" w:bidi="ar-SA"/>
                    </w:rPr>
                  </w:pPr>
                  <w:r>
                    <w:rPr>
                      <w:rFonts w:hint="default" w:ascii="Times New Roman" w:hAnsi="Times New Roman" w:cs="Times New Roman"/>
                      <w:color w:val="auto"/>
                      <w:sz w:val="18"/>
                      <w:szCs w:val="18"/>
                      <w:u w:val="none"/>
                      <w:lang w:val="en-US" w:eastAsia="zh-CN" w:bidi="ar-SA"/>
                    </w:rPr>
                    <w:t>有毒有害和易燃易爆危险物质存储量超过临界量的建设项目</w:t>
                  </w:r>
                </w:p>
              </w:tc>
              <w:tc>
                <w:tcPr>
                  <w:tcW w:w="2217" w:type="dxa"/>
                  <w:tcBorders>
                    <w:tl2br w:val="nil"/>
                    <w:tr2bl w:val="nil"/>
                  </w:tcBorders>
                  <w:vAlign w:val="center"/>
                </w:tcPr>
                <w:p w14:paraId="1653652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18"/>
                      <w:szCs w:val="18"/>
                      <w:highlight w:val="none"/>
                      <w:u w:val="none" w:color="auto"/>
                      <w:vertAlign w:val="baseline"/>
                      <w:lang w:val="en-US" w:eastAsia="zh-CN"/>
                    </w:rPr>
                  </w:pPr>
                  <w:r>
                    <w:rPr>
                      <w:rFonts w:hint="eastAsia" w:cs="Times New Roman"/>
                      <w:color w:val="auto"/>
                      <w:kern w:val="0"/>
                      <w:sz w:val="18"/>
                      <w:szCs w:val="18"/>
                      <w:highlight w:val="none"/>
                      <w:u w:val="none" w:color="auto"/>
                      <w:vertAlign w:val="baseline"/>
                      <w:lang w:val="en-US" w:eastAsia="zh-CN"/>
                    </w:rPr>
                    <w:t>本项目危险物质存储量未超过临界量。</w:t>
                  </w:r>
                </w:p>
              </w:tc>
              <w:tc>
                <w:tcPr>
                  <w:tcW w:w="699" w:type="dxa"/>
                  <w:tcBorders>
                    <w:tl2br w:val="nil"/>
                    <w:tr2bl w:val="nil"/>
                  </w:tcBorders>
                  <w:vAlign w:val="center"/>
                </w:tcPr>
                <w:p w14:paraId="26B6623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18"/>
                      <w:szCs w:val="18"/>
                      <w:highlight w:val="none"/>
                      <w:u w:val="none" w:color="auto"/>
                      <w:vertAlign w:val="baseline"/>
                      <w:lang w:val="en-US" w:eastAsia="zh-CN"/>
                    </w:rPr>
                  </w:pPr>
                  <w:r>
                    <w:rPr>
                      <w:rFonts w:hint="eastAsia" w:cs="Times New Roman"/>
                      <w:color w:val="auto"/>
                      <w:kern w:val="0"/>
                      <w:sz w:val="18"/>
                      <w:szCs w:val="18"/>
                      <w:highlight w:val="none"/>
                      <w:u w:val="none" w:color="auto"/>
                      <w:vertAlign w:val="baseline"/>
                      <w:lang w:val="en-US" w:eastAsia="zh-CN"/>
                    </w:rPr>
                    <w:t>否</w:t>
                  </w:r>
                </w:p>
              </w:tc>
            </w:tr>
            <w:tr w14:paraId="617F91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69" w:type="dxa"/>
                  <w:tcBorders>
                    <w:tl2br w:val="nil"/>
                    <w:tr2bl w:val="nil"/>
                  </w:tcBorders>
                  <w:vAlign w:val="center"/>
                </w:tcPr>
                <w:p w14:paraId="5A04835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18"/>
                      <w:szCs w:val="18"/>
                      <w:highlight w:val="none"/>
                      <w:u w:val="none" w:color="auto"/>
                      <w:vertAlign w:val="baseline"/>
                      <w:lang w:val="en-US" w:eastAsia="zh-CN"/>
                    </w:rPr>
                  </w:pPr>
                  <w:r>
                    <w:rPr>
                      <w:rFonts w:hint="eastAsia" w:cs="Times New Roman"/>
                      <w:color w:val="auto"/>
                      <w:kern w:val="0"/>
                      <w:sz w:val="18"/>
                      <w:szCs w:val="18"/>
                      <w:highlight w:val="none"/>
                      <w:u w:val="none" w:color="auto"/>
                      <w:vertAlign w:val="baseline"/>
                      <w:lang w:val="en-US" w:eastAsia="zh-CN"/>
                    </w:rPr>
                    <w:t>生态</w:t>
                  </w:r>
                </w:p>
              </w:tc>
              <w:tc>
                <w:tcPr>
                  <w:tcW w:w="3129" w:type="dxa"/>
                  <w:tcBorders>
                    <w:tl2br w:val="nil"/>
                    <w:tr2bl w:val="nil"/>
                  </w:tcBorders>
                  <w:vAlign w:val="center"/>
                </w:tcPr>
                <w:p w14:paraId="27E1D775">
                  <w:pPr>
                    <w:pStyle w:val="285"/>
                    <w:keepNext w:val="0"/>
                    <w:keepLines w:val="0"/>
                    <w:pageBreakBefore w:val="0"/>
                    <w:widowControl/>
                    <w:suppressLineNumbers w:val="0"/>
                    <w:kinsoku/>
                    <w:wordWrap/>
                    <w:overflowPunct/>
                    <w:topLinePunct w:val="0"/>
                    <w:bidi w:val="0"/>
                    <w:adjustRightInd/>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sz w:val="18"/>
                      <w:szCs w:val="18"/>
                      <w:lang w:val="en-US" w:eastAsia="zh-CN" w:bidi="ar-SA"/>
                    </w:rPr>
                    <w:t>取水口下游500米范围内有重要水生生物的自然产卵场、索饵场、越冬场和洄游通道的新增河道取水的污染类建设项目</w:t>
                  </w:r>
                </w:p>
              </w:tc>
              <w:tc>
                <w:tcPr>
                  <w:tcW w:w="2217" w:type="dxa"/>
                  <w:tcBorders>
                    <w:tl2br w:val="nil"/>
                    <w:tr2bl w:val="nil"/>
                  </w:tcBorders>
                  <w:vAlign w:val="center"/>
                </w:tcPr>
                <w:p w14:paraId="058E7A0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18"/>
                      <w:szCs w:val="18"/>
                      <w:highlight w:val="none"/>
                      <w:u w:val="none" w:color="auto"/>
                      <w:vertAlign w:val="baseline"/>
                      <w:lang w:val="en-US" w:eastAsia="zh-CN"/>
                    </w:rPr>
                  </w:pPr>
                  <w:r>
                    <w:rPr>
                      <w:rFonts w:hint="eastAsia" w:cs="Times New Roman"/>
                      <w:bCs/>
                      <w:color w:val="auto"/>
                      <w:sz w:val="18"/>
                      <w:szCs w:val="18"/>
                      <w:highlight w:val="none"/>
                      <w:u w:val="none" w:color="auto"/>
                      <w:lang w:val="en-US" w:eastAsia="zh-CN"/>
                    </w:rPr>
                    <w:t>本项目用水为自来水</w:t>
                  </w:r>
                </w:p>
              </w:tc>
              <w:tc>
                <w:tcPr>
                  <w:tcW w:w="699" w:type="dxa"/>
                  <w:tcBorders>
                    <w:tl2br w:val="nil"/>
                    <w:tr2bl w:val="nil"/>
                  </w:tcBorders>
                  <w:vAlign w:val="center"/>
                </w:tcPr>
                <w:p w14:paraId="5BCA436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18"/>
                      <w:szCs w:val="18"/>
                      <w:highlight w:val="none"/>
                      <w:u w:val="none" w:color="auto"/>
                      <w:vertAlign w:val="baseline"/>
                      <w:lang w:val="en-US" w:eastAsia="zh-CN"/>
                    </w:rPr>
                  </w:pPr>
                  <w:r>
                    <w:rPr>
                      <w:rFonts w:hint="eastAsia" w:cs="Times New Roman"/>
                      <w:color w:val="auto"/>
                      <w:kern w:val="0"/>
                      <w:sz w:val="18"/>
                      <w:szCs w:val="18"/>
                      <w:highlight w:val="none"/>
                      <w:u w:val="none" w:color="auto"/>
                      <w:vertAlign w:val="baseline"/>
                      <w:lang w:val="en-US" w:eastAsia="zh-CN"/>
                    </w:rPr>
                    <w:t>否</w:t>
                  </w:r>
                </w:p>
              </w:tc>
            </w:tr>
            <w:tr w14:paraId="277FD5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69" w:type="dxa"/>
                  <w:tcBorders>
                    <w:tl2br w:val="nil"/>
                    <w:tr2bl w:val="nil"/>
                  </w:tcBorders>
                  <w:vAlign w:val="center"/>
                </w:tcPr>
                <w:p w14:paraId="0F0DAC78">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18"/>
                      <w:szCs w:val="18"/>
                      <w:highlight w:val="none"/>
                      <w:u w:val="none" w:color="auto"/>
                      <w:vertAlign w:val="baseline"/>
                      <w:lang w:val="en-US" w:eastAsia="zh-CN"/>
                    </w:rPr>
                  </w:pPr>
                  <w:r>
                    <w:rPr>
                      <w:rFonts w:hint="eastAsia" w:cs="Times New Roman"/>
                      <w:color w:val="auto"/>
                      <w:kern w:val="0"/>
                      <w:sz w:val="18"/>
                      <w:szCs w:val="18"/>
                      <w:highlight w:val="none"/>
                      <w:u w:val="none" w:color="auto"/>
                      <w:vertAlign w:val="baseline"/>
                      <w:lang w:val="en-US" w:eastAsia="zh-CN"/>
                    </w:rPr>
                    <w:t>海洋</w:t>
                  </w:r>
                </w:p>
              </w:tc>
              <w:tc>
                <w:tcPr>
                  <w:tcW w:w="3129" w:type="dxa"/>
                  <w:tcBorders>
                    <w:tl2br w:val="nil"/>
                    <w:tr2bl w:val="nil"/>
                  </w:tcBorders>
                  <w:vAlign w:val="center"/>
                </w:tcPr>
                <w:p w14:paraId="6C8B80A7">
                  <w:pPr>
                    <w:pStyle w:val="285"/>
                    <w:keepNext w:val="0"/>
                    <w:keepLines w:val="0"/>
                    <w:pageBreakBefore w:val="0"/>
                    <w:widowControl/>
                    <w:suppressLineNumbers w:val="0"/>
                    <w:kinsoku/>
                    <w:wordWrap/>
                    <w:overflowPunct/>
                    <w:topLinePunct w:val="0"/>
                    <w:bidi w:val="0"/>
                    <w:adjustRightInd/>
                    <w:snapToGrid w:val="0"/>
                    <w:spacing w:before="0" w:beforeAutospacing="0" w:after="0" w:afterAutospacing="0"/>
                    <w:ind w:left="0" w:leftChars="0" w:right="0" w:rightChars="0" w:firstLine="0" w:firstLineChars="0"/>
                    <w:textAlignment w:val="auto"/>
                    <w:rPr>
                      <w:rFonts w:hint="default" w:ascii="Times New Roman" w:hAnsi="Times New Roman" w:eastAsia="宋体" w:cs="Times New Roman"/>
                      <w:color w:val="auto"/>
                      <w:kern w:val="0"/>
                      <w:sz w:val="18"/>
                      <w:szCs w:val="18"/>
                      <w:lang w:val="en-US" w:eastAsia="zh-CN" w:bidi="ar-SA"/>
                    </w:rPr>
                  </w:pPr>
                  <w:r>
                    <w:rPr>
                      <w:rFonts w:hint="default" w:ascii="Times New Roman" w:hAnsi="Times New Roman" w:cs="Times New Roman"/>
                      <w:color w:val="auto"/>
                      <w:sz w:val="18"/>
                      <w:szCs w:val="18"/>
                      <w:lang w:val="en-US" w:eastAsia="zh-CN" w:bidi="ar-SA"/>
                    </w:rPr>
                    <w:t>直接向海排放污染物的海洋工程建设项目</w:t>
                  </w:r>
                </w:p>
              </w:tc>
              <w:tc>
                <w:tcPr>
                  <w:tcW w:w="2217" w:type="dxa"/>
                  <w:tcBorders>
                    <w:tl2br w:val="nil"/>
                    <w:tr2bl w:val="nil"/>
                  </w:tcBorders>
                  <w:vAlign w:val="center"/>
                </w:tcPr>
                <w:p w14:paraId="520DFA9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18"/>
                      <w:szCs w:val="18"/>
                      <w:highlight w:val="none"/>
                      <w:u w:val="none" w:color="auto"/>
                      <w:vertAlign w:val="baseline"/>
                      <w:lang w:val="en-US" w:eastAsia="zh-CN"/>
                    </w:rPr>
                  </w:pPr>
                  <w:r>
                    <w:rPr>
                      <w:rFonts w:hint="eastAsia" w:cs="Times New Roman"/>
                      <w:color w:val="auto"/>
                      <w:kern w:val="0"/>
                      <w:sz w:val="18"/>
                      <w:szCs w:val="18"/>
                      <w:highlight w:val="none"/>
                      <w:u w:val="none" w:color="auto"/>
                      <w:vertAlign w:val="baseline"/>
                      <w:lang w:val="en-US" w:eastAsia="zh-CN"/>
                    </w:rPr>
                    <w:t>本项目不属于海洋工程建设项目。</w:t>
                  </w:r>
                </w:p>
              </w:tc>
              <w:tc>
                <w:tcPr>
                  <w:tcW w:w="699" w:type="dxa"/>
                  <w:tcBorders>
                    <w:tl2br w:val="nil"/>
                    <w:tr2bl w:val="nil"/>
                  </w:tcBorders>
                  <w:vAlign w:val="center"/>
                </w:tcPr>
                <w:p w14:paraId="78DBE4BF">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ascii="Times New Roman" w:hAnsi="Times New Roman" w:eastAsia="宋体" w:cs="Times New Roman"/>
                      <w:color w:val="auto"/>
                      <w:kern w:val="0"/>
                      <w:sz w:val="18"/>
                      <w:szCs w:val="18"/>
                      <w:highlight w:val="none"/>
                      <w:u w:val="none" w:color="auto"/>
                      <w:vertAlign w:val="baseline"/>
                      <w:lang w:val="en-US" w:eastAsia="zh-CN"/>
                    </w:rPr>
                  </w:pPr>
                  <w:r>
                    <w:rPr>
                      <w:rFonts w:hint="eastAsia" w:cs="Times New Roman"/>
                      <w:color w:val="auto"/>
                      <w:kern w:val="0"/>
                      <w:sz w:val="18"/>
                      <w:szCs w:val="18"/>
                      <w:highlight w:val="none"/>
                      <w:u w:val="none" w:color="auto"/>
                      <w:vertAlign w:val="baseline"/>
                      <w:lang w:val="en-US" w:eastAsia="zh-CN"/>
                    </w:rPr>
                    <w:t>否</w:t>
                  </w:r>
                </w:p>
              </w:tc>
            </w:tr>
          </w:tbl>
          <w:p w14:paraId="53FF2BC1">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综上所述，本项目无需开展专项评价。</w:t>
            </w:r>
          </w:p>
        </w:tc>
      </w:tr>
      <w:tr w14:paraId="5A4565A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49" w:type="pct"/>
            <w:vAlign w:val="center"/>
          </w:tcPr>
          <w:p w14:paraId="51560E85">
            <w:pPr>
              <w:autoSpaceDE w:val="0"/>
              <w:autoSpaceDN w:val="0"/>
              <w:adjustRightInd w:val="0"/>
              <w:snapToGrid w:val="0"/>
              <w:jc w:val="center"/>
              <w:rPr>
                <w:rFonts w:hint="default" w:ascii="Times New Roman" w:hAnsi="Times New Roman" w:eastAsia="宋体" w:cs="Times New Roman"/>
                <w:color w:val="auto"/>
                <w:kern w:val="0"/>
                <w:highlight w:val="none"/>
                <w:u w:val="none" w:color="auto"/>
              </w:rPr>
            </w:pPr>
            <w:r>
              <w:rPr>
                <w:rFonts w:hint="default" w:ascii="Times New Roman" w:hAnsi="Times New Roman" w:eastAsia="宋体" w:cs="Times New Roman"/>
                <w:color w:val="auto"/>
                <w:highlight w:val="none"/>
                <w:u w:val="none" w:color="auto"/>
              </w:rPr>
              <w:t>规划情况</w:t>
            </w:r>
          </w:p>
        </w:tc>
        <w:tc>
          <w:tcPr>
            <w:tcW w:w="4150" w:type="pct"/>
            <w:gridSpan w:val="3"/>
            <w:vAlign w:val="center"/>
          </w:tcPr>
          <w:p w14:paraId="203029F6">
            <w:pPr>
              <w:pStyle w:val="1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0"/>
                <w:sz w:val="24"/>
                <w:szCs w:val="24"/>
                <w:highlight w:val="none"/>
                <w:u w:val="none" w:color="auto"/>
              </w:rPr>
            </w:pPr>
            <w:r>
              <w:rPr>
                <w:rFonts w:hint="eastAsia" w:cs="Times New Roman"/>
                <w:color w:val="auto"/>
                <w:kern w:val="0"/>
                <w:sz w:val="24"/>
                <w:szCs w:val="24"/>
                <w:highlight w:val="none"/>
                <w:u w:val="none" w:color="auto"/>
                <w:lang w:val="en-US" w:eastAsia="zh-CN"/>
              </w:rPr>
              <w:t>《汨罗市大荆镇国土空间规划（2021-2035年）》</w:t>
            </w:r>
          </w:p>
        </w:tc>
      </w:tr>
      <w:tr w14:paraId="321341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849" w:type="pct"/>
            <w:vAlign w:val="center"/>
          </w:tcPr>
          <w:p w14:paraId="1DA57E2C">
            <w:pPr>
              <w:adjustRightInd w:val="0"/>
              <w:snapToGrid w:val="0"/>
              <w:jc w:val="center"/>
              <w:rPr>
                <w:rFonts w:hint="default" w:ascii="Times New Roman" w:hAnsi="Times New Roman" w:eastAsia="宋体" w:cs="Times New Roman"/>
                <w:color w:val="auto"/>
                <w:kern w:val="0"/>
                <w:highlight w:val="none"/>
                <w:u w:val="none" w:color="auto"/>
              </w:rPr>
            </w:pPr>
            <w:r>
              <w:rPr>
                <w:rFonts w:hint="default" w:ascii="Times New Roman" w:hAnsi="Times New Roman" w:eastAsia="宋体" w:cs="Times New Roman"/>
                <w:color w:val="auto"/>
                <w:highlight w:val="none"/>
                <w:u w:val="none" w:color="auto"/>
              </w:rPr>
              <w:t>规划环境影响评价情况</w:t>
            </w:r>
          </w:p>
        </w:tc>
        <w:tc>
          <w:tcPr>
            <w:tcW w:w="4150" w:type="pct"/>
            <w:gridSpan w:val="3"/>
            <w:vAlign w:val="center"/>
          </w:tcPr>
          <w:p w14:paraId="5C3B88D0">
            <w:pPr>
              <w:pStyle w:val="16"/>
              <w:spacing w:line="360" w:lineRule="auto"/>
              <w:ind w:firstLine="480" w:firstLineChars="0"/>
              <w:rPr>
                <w:rFonts w:hint="default" w:ascii="Times New Roman" w:hAnsi="Times New Roman" w:eastAsia="宋体" w:cs="Times New Roman"/>
                <w:color w:val="auto"/>
                <w:kern w:val="0"/>
                <w:sz w:val="24"/>
                <w:szCs w:val="24"/>
                <w:highlight w:val="none"/>
                <w:u w:val="none" w:color="auto"/>
              </w:rPr>
            </w:pPr>
            <w:r>
              <w:rPr>
                <w:rFonts w:hint="eastAsia" w:cs="Times New Roman"/>
                <w:color w:val="auto"/>
                <w:kern w:val="0"/>
                <w:sz w:val="24"/>
                <w:szCs w:val="24"/>
                <w:highlight w:val="none"/>
                <w:u w:val="none" w:color="auto"/>
                <w:lang w:val="en-US" w:eastAsia="zh-CN"/>
              </w:rPr>
              <w:t>无</w:t>
            </w:r>
          </w:p>
        </w:tc>
      </w:tr>
      <w:tr w14:paraId="4698A5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849" w:type="pct"/>
            <w:vAlign w:val="center"/>
          </w:tcPr>
          <w:p w14:paraId="4B11A38E">
            <w:pPr>
              <w:autoSpaceDE w:val="0"/>
              <w:autoSpaceDN w:val="0"/>
              <w:adjustRightInd w:val="0"/>
              <w:snapToGrid w:val="0"/>
              <w:jc w:val="center"/>
              <w:rPr>
                <w:rFonts w:hint="default" w:ascii="Times New Roman" w:hAnsi="Times New Roman" w:eastAsia="宋体" w:cs="Times New Roman"/>
                <w:color w:val="auto"/>
                <w:kern w:val="0"/>
                <w:highlight w:val="none"/>
                <w:u w:val="none" w:color="auto"/>
              </w:rPr>
            </w:pPr>
            <w:r>
              <w:rPr>
                <w:rFonts w:hint="default" w:ascii="Times New Roman" w:hAnsi="Times New Roman" w:eastAsia="宋体" w:cs="Times New Roman"/>
                <w:color w:val="auto"/>
                <w:kern w:val="0"/>
                <w:highlight w:val="none"/>
                <w:u w:val="none" w:color="auto"/>
              </w:rPr>
              <w:t>规划及规划环境</w:t>
            </w:r>
          </w:p>
          <w:p w14:paraId="58E365FC">
            <w:pPr>
              <w:autoSpaceDE w:val="0"/>
              <w:autoSpaceDN w:val="0"/>
              <w:adjustRightInd w:val="0"/>
              <w:snapToGrid w:val="0"/>
              <w:jc w:val="center"/>
              <w:rPr>
                <w:rFonts w:hint="default" w:ascii="Times New Roman" w:hAnsi="Times New Roman" w:eastAsia="宋体" w:cs="Times New Roman"/>
                <w:color w:val="auto"/>
                <w:kern w:val="0"/>
                <w:highlight w:val="none"/>
                <w:u w:val="none" w:color="auto"/>
              </w:rPr>
            </w:pPr>
            <w:r>
              <w:rPr>
                <w:rFonts w:hint="default" w:ascii="Times New Roman" w:hAnsi="Times New Roman" w:eastAsia="宋体" w:cs="Times New Roman"/>
                <w:color w:val="auto"/>
                <w:kern w:val="0"/>
                <w:highlight w:val="none"/>
                <w:u w:val="none" w:color="auto"/>
              </w:rPr>
              <w:t>影响评价符合性分析</w:t>
            </w:r>
          </w:p>
        </w:tc>
        <w:tc>
          <w:tcPr>
            <w:tcW w:w="4150" w:type="pct"/>
            <w:gridSpan w:val="3"/>
            <w:vAlign w:val="center"/>
          </w:tcPr>
          <w:p w14:paraId="6F94AA8B">
            <w:pPr>
              <w:pStyle w:val="16"/>
              <w:spacing w:line="360" w:lineRule="auto"/>
              <w:ind w:firstLine="480"/>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根据</w:t>
            </w:r>
            <w:r>
              <w:rPr>
                <w:rFonts w:hint="default" w:ascii="Times New Roman" w:hAnsi="Times New Roman" w:cs="Times New Roman"/>
                <w:color w:val="auto"/>
                <w:kern w:val="0"/>
                <w:sz w:val="24"/>
                <w:szCs w:val="24"/>
                <w:highlight w:val="none"/>
                <w:lang w:eastAsia="zh-CN"/>
              </w:rPr>
              <w:t>《</w:t>
            </w:r>
            <w:r>
              <w:rPr>
                <w:rFonts w:hint="default" w:ascii="Times New Roman" w:hAnsi="Times New Roman" w:cs="Times New Roman"/>
                <w:color w:val="auto"/>
                <w:kern w:val="0"/>
                <w:sz w:val="24"/>
                <w:szCs w:val="24"/>
                <w:highlight w:val="none"/>
                <w:lang w:val="en-US" w:eastAsia="zh-CN"/>
              </w:rPr>
              <w:t>汨罗市</w:t>
            </w:r>
            <w:r>
              <w:rPr>
                <w:rFonts w:hint="eastAsia" w:cs="Times New Roman"/>
                <w:color w:val="auto"/>
                <w:kern w:val="0"/>
                <w:sz w:val="24"/>
                <w:szCs w:val="24"/>
                <w:highlight w:val="none"/>
                <w:lang w:val="en-US" w:eastAsia="zh-CN"/>
              </w:rPr>
              <w:t>大荆镇</w:t>
            </w:r>
            <w:r>
              <w:rPr>
                <w:rFonts w:hint="default" w:ascii="Times New Roman" w:hAnsi="Times New Roman" w:cs="Times New Roman"/>
                <w:color w:val="auto"/>
                <w:kern w:val="0"/>
                <w:sz w:val="24"/>
                <w:szCs w:val="24"/>
                <w:highlight w:val="none"/>
                <w:lang w:val="en-US" w:eastAsia="zh-CN"/>
              </w:rPr>
              <w:t>国土空间规划（2021~2035年）</w:t>
            </w:r>
            <w:r>
              <w:rPr>
                <w:rFonts w:hint="default" w:ascii="Times New Roman" w:hAnsi="Times New Roman" w:cs="Times New Roman"/>
                <w:color w:val="auto"/>
                <w:kern w:val="0"/>
                <w:sz w:val="24"/>
                <w:szCs w:val="24"/>
                <w:highlight w:val="none"/>
                <w:lang w:eastAsia="zh-CN"/>
              </w:rPr>
              <w:t>》，</w:t>
            </w:r>
            <w:r>
              <w:rPr>
                <w:rFonts w:hint="eastAsia" w:cs="Times New Roman"/>
                <w:color w:val="auto"/>
                <w:kern w:val="0"/>
                <w:sz w:val="24"/>
                <w:szCs w:val="24"/>
                <w:highlight w:val="none"/>
                <w:lang w:val="en-US" w:eastAsia="zh-CN"/>
              </w:rPr>
              <w:t>大荆镇构建“以新两轴两团三区”的总体格局，一心指以镇政府驻地为核心的中部经济发展区，是全镇的政治、经济，文化中心，通过其辐射带动整个镇域村镇建设的发展；两轴指沿G107国道经济发展轴、沿县道经济发展轴；两团指古仑村、东文村两个经济发展副中心；三区指北部农业休闲区、东部农旅融合区、南部农业生产区。严控新增建设占用耕地，强化用地规模审查，确需占用的，严格落实“以补定占、先补后占，谁占谁补”的原则。古仑村以镇域内农业产业为基础，依托食品加工厂等小型加工企业，发展农产品加工业。</w:t>
            </w:r>
          </w:p>
          <w:p w14:paraId="22EE182F">
            <w:pPr>
              <w:pStyle w:val="16"/>
              <w:spacing w:line="360" w:lineRule="auto"/>
              <w:ind w:firstLine="480"/>
              <w:rPr>
                <w:rFonts w:hint="eastAsia" w:cs="Times New Roman"/>
                <w:color w:val="auto"/>
                <w:kern w:val="0"/>
                <w:sz w:val="24"/>
                <w:szCs w:val="24"/>
                <w:highlight w:val="none"/>
                <w:lang w:val="en-US" w:eastAsia="zh-CN"/>
              </w:rPr>
            </w:pPr>
            <w:r>
              <w:rPr>
                <w:rFonts w:hint="eastAsia" w:cs="Times New Roman"/>
                <w:color w:val="auto"/>
                <w:kern w:val="0"/>
                <w:sz w:val="24"/>
                <w:szCs w:val="24"/>
                <w:highlight w:val="none"/>
                <w:lang w:val="en-US" w:eastAsia="zh-CN"/>
              </w:rPr>
              <w:t>本项目位于</w:t>
            </w:r>
            <w:r>
              <w:rPr>
                <w:rFonts w:hint="eastAsia"/>
                <w:color w:val="auto"/>
                <w:sz w:val="24"/>
                <w:lang w:eastAsia="zh-CN"/>
              </w:rPr>
              <w:t>汨罗市大荆镇古仑村，</w:t>
            </w:r>
            <w:r>
              <w:rPr>
                <w:rFonts w:hint="eastAsia"/>
                <w:color w:val="auto"/>
                <w:sz w:val="24"/>
                <w:lang w:val="en-US" w:eastAsia="zh-CN"/>
              </w:rPr>
              <w:t>属于食品加工业，同时配套建设一台2.2t/h、一台2.5t/h的生物质蒸汽发生器，</w:t>
            </w:r>
            <w:r>
              <w:rPr>
                <w:rFonts w:hint="eastAsia" w:cs="Times New Roman"/>
                <w:color w:val="auto"/>
                <w:kern w:val="0"/>
                <w:sz w:val="24"/>
                <w:szCs w:val="24"/>
                <w:highlight w:val="none"/>
                <w:lang w:val="en-US" w:eastAsia="zh-CN"/>
              </w:rPr>
              <w:t>根据岳阳市人民政府农用地转用、土地使用审批单，本项目所在地由林地转为集体建设用地（附件5），不占用耕地及基本农田。</w:t>
            </w:r>
            <w:r>
              <w:rPr>
                <w:rFonts w:hint="eastAsia" w:cs="Times New Roman"/>
                <w:color w:val="auto"/>
                <w:kern w:val="0"/>
                <w:sz w:val="24"/>
                <w:szCs w:val="24"/>
                <w:highlight w:val="none"/>
                <w:u w:val="none"/>
                <w:lang w:val="en-US" w:eastAsia="zh-CN"/>
              </w:rPr>
              <w:t>本项目属于食品加工业，符合古仑村的发展规划，符合大荆镇的总体规划和产业定位。</w:t>
            </w:r>
          </w:p>
          <w:p w14:paraId="6B2B3128">
            <w:pPr>
              <w:pStyle w:val="16"/>
              <w:spacing w:line="360" w:lineRule="auto"/>
              <w:ind w:firstLine="480"/>
              <w:rPr>
                <w:rFonts w:hint="default" w:ascii="Times New Roman" w:hAnsi="Times New Roman" w:eastAsia="宋体" w:cs="Times New Roman"/>
                <w:color w:val="auto"/>
                <w:kern w:val="0"/>
                <w:highlight w:val="none"/>
                <w:u w:val="none" w:color="auto"/>
              </w:rPr>
            </w:pPr>
          </w:p>
        </w:tc>
      </w:tr>
      <w:tr w14:paraId="160AD3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68" w:hRule="atLeast"/>
          <w:jc w:val="center"/>
        </w:trPr>
        <w:tc>
          <w:tcPr>
            <w:tcW w:w="849" w:type="pct"/>
            <w:vAlign w:val="center"/>
          </w:tcPr>
          <w:p w14:paraId="0D9C7C17">
            <w:pPr>
              <w:keepNext w:val="0"/>
              <w:keepLines w:val="0"/>
              <w:pageBreakBefore w:val="0"/>
              <w:widowControl w:val="0"/>
              <w:kinsoku/>
              <w:wordWrap/>
              <w:overflowPunct/>
              <w:topLinePunct w:val="0"/>
              <w:autoSpaceDE w:val="0"/>
              <w:autoSpaceDN w:val="0"/>
              <w:bidi w:val="0"/>
              <w:adjustRightInd w:val="0"/>
              <w:snapToGrid w:val="0"/>
              <w:jc w:val="center"/>
              <w:textAlignment w:val="auto"/>
              <w:rPr>
                <w:rFonts w:hint="default" w:ascii="Times New Roman" w:hAnsi="Times New Roman" w:eastAsia="宋体" w:cs="Times New Roman"/>
                <w:color w:val="auto"/>
                <w:kern w:val="0"/>
                <w:highlight w:val="none"/>
                <w:u w:val="none" w:color="auto"/>
              </w:rPr>
            </w:pPr>
            <w:r>
              <w:rPr>
                <w:rFonts w:hint="default" w:ascii="Times New Roman" w:hAnsi="Times New Roman" w:eastAsia="宋体" w:cs="Times New Roman"/>
                <w:color w:val="auto"/>
                <w:kern w:val="0"/>
                <w:highlight w:val="none"/>
                <w:u w:val="none" w:color="auto"/>
              </w:rPr>
              <w:t>其他符合性分析</w:t>
            </w:r>
          </w:p>
        </w:tc>
        <w:tc>
          <w:tcPr>
            <w:tcW w:w="4150" w:type="pct"/>
            <w:gridSpan w:val="3"/>
          </w:tcPr>
          <w:p w14:paraId="4346ED55">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default" w:cs="Times New Roman"/>
                <w:b/>
                <w:bCs/>
                <w:color w:val="auto"/>
                <w:kern w:val="0"/>
                <w:highlight w:val="none"/>
                <w:u w:val="none" w:color="auto"/>
                <w:lang w:val="en-US" w:eastAsia="zh-CN"/>
              </w:rPr>
            </w:pPr>
            <w:r>
              <w:rPr>
                <w:rFonts w:hint="eastAsia" w:cs="Times New Roman"/>
                <w:b/>
                <w:bCs/>
                <w:color w:val="auto"/>
                <w:kern w:val="0"/>
                <w:highlight w:val="none"/>
                <w:u w:val="none" w:color="auto"/>
                <w:lang w:val="en-US" w:eastAsia="zh-CN"/>
              </w:rPr>
              <w:t>1、产业政策符合性分析</w:t>
            </w:r>
          </w:p>
          <w:p w14:paraId="27EFF256">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ascii="Times New Roman" w:hAnsi="Times New Roman" w:eastAsia="宋体" w:cs="Times New Roman"/>
                <w:color w:val="auto"/>
                <w:kern w:val="0"/>
                <w:highlight w:val="none"/>
                <w:u w:val="none" w:color="auto"/>
                <w:lang w:eastAsia="zh-CN"/>
              </w:rPr>
            </w:pPr>
            <w:r>
              <w:rPr>
                <w:rFonts w:hint="eastAsia" w:cs="Times New Roman"/>
                <w:b w:val="0"/>
                <w:bCs w:val="0"/>
                <w:color w:val="auto"/>
                <w:kern w:val="0"/>
                <w:highlight w:val="none"/>
                <w:u w:val="none" w:color="auto"/>
                <w:lang w:val="en-US" w:eastAsia="zh-CN"/>
              </w:rPr>
              <w:t>本项目为食品加工项目，配套建设</w:t>
            </w:r>
            <w:r>
              <w:rPr>
                <w:rFonts w:hint="eastAsia"/>
                <w:color w:val="auto"/>
                <w:sz w:val="24"/>
                <w:lang w:val="en-US" w:eastAsia="zh-CN"/>
              </w:rPr>
              <w:t>一台2.2t/h、一台2.5t/h的生物质蒸汽发生器</w:t>
            </w:r>
            <w:r>
              <w:rPr>
                <w:rFonts w:hint="eastAsia" w:cs="Times New Roman"/>
                <w:b w:val="0"/>
                <w:bCs w:val="0"/>
                <w:color w:val="auto"/>
                <w:kern w:val="0"/>
                <w:highlight w:val="none"/>
                <w:u w:val="none" w:color="auto"/>
                <w:lang w:val="en-US" w:eastAsia="zh-CN"/>
              </w:rPr>
              <w:t>，根据《产业结构调整指导目录》（2024年本），本项目不属于其限制类及淘汰类项目</w:t>
            </w:r>
            <w:r>
              <w:rPr>
                <w:rFonts w:hint="eastAsia" w:cs="Times New Roman"/>
                <w:color w:val="auto"/>
                <w:kern w:val="0"/>
                <w:highlight w:val="none"/>
                <w:u w:val="none" w:color="auto"/>
                <w:lang w:eastAsia="zh-CN"/>
              </w:rPr>
              <w:t>，本项目使用的蒸汽发生器不属于“第二类限制类</w:t>
            </w:r>
            <w:r>
              <w:rPr>
                <w:rFonts w:hint="eastAsia" w:cs="Times New Roman"/>
                <w:color w:val="auto"/>
                <w:kern w:val="0"/>
                <w:highlight w:val="none"/>
                <w:u w:val="none" w:color="auto"/>
                <w:lang w:val="en-US" w:eastAsia="zh-CN"/>
              </w:rPr>
              <w:t xml:space="preserve"> 达不到超低排放要求的煤电机组（采用特殊炉型的机组除外）和燃煤锅炉、县级及以上城市建成区每小时35蒸吨以下的燃煤锅炉，其他区域每小时10蒸吨以下的燃煤锅炉</w:t>
            </w:r>
            <w:r>
              <w:rPr>
                <w:rFonts w:hint="eastAsia" w:cs="Times New Roman"/>
                <w:color w:val="auto"/>
                <w:kern w:val="0"/>
                <w:highlight w:val="none"/>
                <w:u w:val="none" w:color="auto"/>
                <w:lang w:eastAsia="zh-CN"/>
              </w:rPr>
              <w:t>”、“第三类淘汰类</w:t>
            </w:r>
            <w:r>
              <w:rPr>
                <w:rFonts w:hint="eastAsia" w:cs="Times New Roman"/>
                <w:color w:val="auto"/>
                <w:kern w:val="0"/>
                <w:highlight w:val="none"/>
                <w:u w:val="none" w:color="auto"/>
                <w:lang w:val="en-US" w:eastAsia="zh-CN"/>
              </w:rPr>
              <w:t xml:space="preserve"> 不达标的单机容量30万千瓦级及以下的常规燃煤火电机组（综合利用机组除外）、以发电为主的燃油锅炉及发电机组（先立后改，根据发布的年度淘汰计划有序淘汰）；固定炉排燃煤锅炉；每小时10蒸吨及以下燃煤锅炉；每小时2蒸吨及以下生物质锅炉；每小时35蒸吨及以下的燃煤锅炉（大气污染防治重点区域）</w:t>
            </w:r>
            <w:r>
              <w:rPr>
                <w:rFonts w:hint="eastAsia" w:cs="Times New Roman"/>
                <w:color w:val="auto"/>
                <w:kern w:val="0"/>
                <w:highlight w:val="none"/>
                <w:u w:val="none" w:color="auto"/>
                <w:lang w:eastAsia="zh-CN"/>
              </w:rPr>
              <w:t>”。</w:t>
            </w:r>
          </w:p>
          <w:p w14:paraId="2314ED87">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highlight w:val="none"/>
                <w:u w:val="none" w:color="auto"/>
              </w:rPr>
            </w:pPr>
            <w:r>
              <w:rPr>
                <w:rFonts w:hint="default" w:ascii="Times New Roman" w:hAnsi="Times New Roman" w:eastAsia="宋体" w:cs="Times New Roman"/>
                <w:color w:val="auto"/>
                <w:kern w:val="0"/>
                <w:highlight w:val="none"/>
                <w:u w:val="none" w:color="auto"/>
              </w:rPr>
              <w:t>此外项目生产中拟使用的原材料、设备、生产工艺均不属于</w:t>
            </w:r>
            <w:bookmarkStart w:id="7" w:name="OLE_LINK4"/>
            <w:r>
              <w:rPr>
                <w:rFonts w:hint="default" w:ascii="Times New Roman" w:hAnsi="Times New Roman" w:eastAsia="宋体" w:cs="Times New Roman"/>
                <w:color w:val="auto"/>
                <w:kern w:val="0"/>
                <w:highlight w:val="none"/>
                <w:u w:val="none" w:color="auto"/>
              </w:rPr>
              <w:t>《产业结构调整指导目录》(20</w:t>
            </w:r>
            <w:r>
              <w:rPr>
                <w:rFonts w:hint="default" w:ascii="Times New Roman" w:hAnsi="Times New Roman" w:eastAsia="宋体" w:cs="Times New Roman"/>
                <w:color w:val="auto"/>
                <w:kern w:val="0"/>
                <w:highlight w:val="none"/>
                <w:u w:val="none" w:color="auto"/>
                <w:lang w:val="en-US" w:eastAsia="zh-CN"/>
              </w:rPr>
              <w:t>24</w:t>
            </w:r>
            <w:r>
              <w:rPr>
                <w:rFonts w:hint="default" w:ascii="Times New Roman" w:hAnsi="Times New Roman" w:eastAsia="宋体" w:cs="Times New Roman"/>
                <w:color w:val="auto"/>
                <w:kern w:val="0"/>
                <w:highlight w:val="none"/>
                <w:u w:val="none" w:color="auto"/>
              </w:rPr>
              <w:t>年本)中限制类及淘汰类项目，也不存在《部分工业行业淘汰落后生产工艺装备和产品指导目录》（2010年本）</w:t>
            </w:r>
            <w:bookmarkEnd w:id="7"/>
            <w:r>
              <w:rPr>
                <w:rFonts w:hint="default" w:ascii="Times New Roman" w:hAnsi="Times New Roman" w:eastAsia="宋体" w:cs="Times New Roman"/>
                <w:color w:val="auto"/>
                <w:kern w:val="0"/>
                <w:highlight w:val="none"/>
                <w:u w:val="none" w:color="auto"/>
              </w:rPr>
              <w:t>（工产业〔2010〕第122号）所列的工艺装备和产品。</w:t>
            </w:r>
          </w:p>
          <w:p w14:paraId="25F66A01">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default" w:ascii="Times New Roman" w:hAnsi="Times New Roman" w:eastAsia="宋体" w:cs="Times New Roman"/>
                <w:b/>
                <w:bCs/>
                <w:color w:val="auto"/>
                <w:kern w:val="0"/>
                <w:highlight w:val="none"/>
                <w:u w:val="none" w:color="auto"/>
              </w:rPr>
            </w:pPr>
            <w:r>
              <w:rPr>
                <w:rFonts w:hint="eastAsia" w:cs="Times New Roman"/>
                <w:b/>
                <w:bCs/>
                <w:color w:val="auto"/>
                <w:kern w:val="0"/>
                <w:highlight w:val="none"/>
                <w:u w:val="none" w:color="auto"/>
                <w:lang w:val="en-US" w:eastAsia="zh-CN"/>
              </w:rPr>
              <w:t>2</w:t>
            </w:r>
            <w:r>
              <w:rPr>
                <w:rFonts w:hint="default" w:ascii="Times New Roman" w:hAnsi="Times New Roman" w:eastAsia="宋体" w:cs="Times New Roman"/>
                <w:b/>
                <w:bCs/>
                <w:color w:val="auto"/>
                <w:kern w:val="0"/>
                <w:highlight w:val="none"/>
                <w:u w:val="none" w:color="auto"/>
              </w:rPr>
              <w:t>、</w:t>
            </w:r>
            <w:r>
              <w:rPr>
                <w:rFonts w:hint="eastAsia" w:cs="Times New Roman"/>
                <w:b/>
                <w:bCs/>
                <w:color w:val="auto"/>
                <w:kern w:val="0"/>
                <w:highlight w:val="none"/>
                <w:u w:val="none" w:color="auto"/>
                <w:lang w:val="en-US" w:eastAsia="zh-CN"/>
              </w:rPr>
              <w:t>生态环境分区管控</w:t>
            </w:r>
            <w:r>
              <w:rPr>
                <w:rFonts w:hint="default" w:ascii="Times New Roman" w:hAnsi="Times New Roman" w:eastAsia="宋体" w:cs="Times New Roman"/>
                <w:b/>
                <w:bCs/>
                <w:color w:val="auto"/>
                <w:kern w:val="0"/>
                <w:highlight w:val="none"/>
                <w:u w:val="none" w:color="auto"/>
              </w:rPr>
              <w:t>符合性分析</w:t>
            </w:r>
          </w:p>
          <w:p w14:paraId="2687C389">
            <w:pPr>
              <w:keepNext w:val="0"/>
              <w:keepLines w:val="0"/>
              <w:pageBreakBefore w:val="0"/>
              <w:widowControl w:val="0"/>
              <w:kinsoku/>
              <w:wordWrap/>
              <w:overflowPunct/>
              <w:topLinePunct w:val="0"/>
              <w:autoSpaceDE w:val="0"/>
              <w:autoSpaceDN w:val="0"/>
              <w:bidi w:val="0"/>
              <w:adjustRightInd w:val="0"/>
              <w:snapToGrid w:val="0"/>
              <w:spacing w:line="500" w:lineRule="exact"/>
              <w:ind w:firstLine="480" w:firstLineChars="200"/>
              <w:textAlignment w:val="auto"/>
              <w:rPr>
                <w:rFonts w:hint="default" w:ascii="Times New Roman" w:hAnsi="Times New Roman" w:eastAsia="宋体" w:cs="Times New Roman"/>
                <w:color w:val="auto"/>
                <w:kern w:val="0"/>
                <w:highlight w:val="none"/>
                <w:u w:val="none" w:color="auto"/>
              </w:rPr>
            </w:pPr>
            <w:r>
              <w:rPr>
                <w:rFonts w:hint="default" w:ascii="Times New Roman" w:hAnsi="Times New Roman" w:eastAsia="宋体" w:cs="Times New Roman"/>
                <w:color w:val="auto"/>
                <w:kern w:val="0"/>
                <w:highlight w:val="none"/>
                <w:u w:val="none" w:color="auto"/>
              </w:rPr>
              <w:t>本项目位于湖南省汨罗市</w:t>
            </w:r>
            <w:r>
              <w:rPr>
                <w:rFonts w:hint="eastAsia" w:cs="Times New Roman"/>
                <w:color w:val="auto"/>
                <w:kern w:val="0"/>
                <w:highlight w:val="none"/>
                <w:u w:val="none" w:color="auto"/>
                <w:lang w:val="en-US" w:eastAsia="zh-CN"/>
              </w:rPr>
              <w:t>大荆</w:t>
            </w:r>
            <w:r>
              <w:rPr>
                <w:rFonts w:hint="default" w:ascii="Times New Roman" w:hAnsi="Times New Roman" w:eastAsia="宋体" w:cs="Times New Roman"/>
                <w:color w:val="auto"/>
                <w:kern w:val="0"/>
                <w:highlight w:val="none"/>
                <w:u w:val="none" w:color="auto"/>
              </w:rPr>
              <w:t>镇，根据《岳阳市生态环境局关于发布岳阳市生态环境分区管控动态更新成果（2023年版）的通知》（岳环发﹝2024﹞14号），其管控要求如下。</w:t>
            </w:r>
          </w:p>
          <w:p w14:paraId="794812D6">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kern w:val="0"/>
                <w:sz w:val="21"/>
                <w:szCs w:val="21"/>
                <w:highlight w:val="none"/>
                <w:u w:val="none" w:color="auto"/>
              </w:rPr>
              <w:t>表1-</w:t>
            </w:r>
            <w:r>
              <w:rPr>
                <w:rFonts w:hint="eastAsia" w:cs="Times New Roman"/>
                <w:b/>
                <w:bCs/>
                <w:color w:val="auto"/>
                <w:kern w:val="0"/>
                <w:sz w:val="21"/>
                <w:szCs w:val="21"/>
                <w:highlight w:val="none"/>
                <w:u w:val="none" w:color="auto"/>
                <w:lang w:val="en-US" w:eastAsia="zh-CN"/>
              </w:rPr>
              <w:t xml:space="preserve">2 </w:t>
            </w:r>
            <w:r>
              <w:rPr>
                <w:rFonts w:hint="default" w:ascii="Times New Roman" w:hAnsi="Times New Roman" w:eastAsia="宋体" w:cs="Times New Roman"/>
                <w:b/>
                <w:bCs/>
                <w:color w:val="auto"/>
                <w:sz w:val="21"/>
                <w:szCs w:val="21"/>
                <w:u w:val="none" w:color="auto"/>
                <w:lang w:val="en-US" w:eastAsia="zh-CN"/>
              </w:rPr>
              <w:t>本项目与生态环境分区管控符合性分析表</w:t>
            </w:r>
          </w:p>
          <w:tbl>
            <w:tblPr>
              <w:tblStyle w:val="43"/>
              <w:tblW w:w="7150" w:type="dxa"/>
              <w:tblInd w:w="-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9"/>
              <w:gridCol w:w="840"/>
              <w:gridCol w:w="915"/>
              <w:gridCol w:w="1140"/>
              <w:gridCol w:w="1586"/>
              <w:gridCol w:w="1890"/>
            </w:tblGrid>
            <w:tr w14:paraId="54CFE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9" w:type="dxa"/>
                  <w:tcBorders>
                    <w:top w:val="single" w:color="auto" w:sz="12" w:space="0"/>
                  </w:tcBorders>
                  <w:noWrap w:val="0"/>
                  <w:vAlign w:val="center"/>
                </w:tcPr>
                <w:p w14:paraId="363DCDE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环境管控单元编码</w:t>
                  </w:r>
                </w:p>
              </w:tc>
              <w:tc>
                <w:tcPr>
                  <w:tcW w:w="840" w:type="dxa"/>
                  <w:tcBorders>
                    <w:top w:val="single" w:color="auto" w:sz="12" w:space="0"/>
                  </w:tcBorders>
                  <w:noWrap w:val="0"/>
                  <w:vAlign w:val="center"/>
                </w:tcPr>
                <w:p w14:paraId="782E4C1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单元名称</w:t>
                  </w:r>
                </w:p>
              </w:tc>
              <w:tc>
                <w:tcPr>
                  <w:tcW w:w="915" w:type="dxa"/>
                  <w:tcBorders>
                    <w:top w:val="single" w:color="auto" w:sz="12" w:space="0"/>
                  </w:tcBorders>
                  <w:noWrap w:val="0"/>
                  <w:vAlign w:val="center"/>
                </w:tcPr>
                <w:p w14:paraId="207CE1C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单元分类</w:t>
                  </w:r>
                </w:p>
              </w:tc>
              <w:tc>
                <w:tcPr>
                  <w:tcW w:w="1140" w:type="dxa"/>
                  <w:tcBorders>
                    <w:top w:val="single" w:color="auto" w:sz="12" w:space="0"/>
                  </w:tcBorders>
                  <w:noWrap w:val="0"/>
                  <w:vAlign w:val="center"/>
                </w:tcPr>
                <w:p w14:paraId="4285814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主要功能定位</w:t>
                  </w:r>
                </w:p>
              </w:tc>
              <w:tc>
                <w:tcPr>
                  <w:tcW w:w="1586" w:type="dxa"/>
                  <w:tcBorders>
                    <w:top w:val="single" w:color="auto" w:sz="12" w:space="0"/>
                  </w:tcBorders>
                  <w:noWrap w:val="0"/>
                  <w:vAlign w:val="center"/>
                </w:tcPr>
                <w:p w14:paraId="06346EE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经济产业布局</w:t>
                  </w:r>
                </w:p>
              </w:tc>
              <w:tc>
                <w:tcPr>
                  <w:tcW w:w="1890" w:type="dxa"/>
                  <w:tcBorders>
                    <w:top w:val="single" w:color="auto" w:sz="12" w:space="0"/>
                    <w:right w:val="single" w:color="auto" w:sz="12" w:space="0"/>
                  </w:tcBorders>
                  <w:noWrap w:val="0"/>
                  <w:vAlign w:val="center"/>
                </w:tcPr>
                <w:p w14:paraId="253063A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主要环境问题和重要敏感目标</w:t>
                  </w:r>
                </w:p>
              </w:tc>
            </w:tr>
            <w:tr w14:paraId="3D1C0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9" w:type="dxa"/>
                  <w:tcBorders>
                    <w:left w:val="single" w:color="auto" w:sz="4" w:space="0"/>
                  </w:tcBorders>
                  <w:noWrap w:val="0"/>
                  <w:vAlign w:val="center"/>
                </w:tcPr>
                <w:p w14:paraId="74641B1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ZH430681</w:t>
                  </w:r>
                </w:p>
                <w:p w14:paraId="7AE4D83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eastAsia="宋体" w:cs="Times New Roman"/>
                      <w:color w:val="auto"/>
                      <w:kern w:val="0"/>
                      <w:sz w:val="21"/>
                      <w:szCs w:val="21"/>
                      <w:highlight w:val="none"/>
                      <w:vertAlign w:val="baseline"/>
                      <w:lang w:val="en-US" w:eastAsia="zh-CN"/>
                    </w:rPr>
                    <w:t>20002</w:t>
                  </w:r>
                </w:p>
              </w:tc>
              <w:tc>
                <w:tcPr>
                  <w:tcW w:w="840" w:type="dxa"/>
                  <w:noWrap w:val="0"/>
                  <w:vAlign w:val="center"/>
                </w:tcPr>
                <w:p w14:paraId="406CDAD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大荆镇</w:t>
                  </w:r>
                </w:p>
              </w:tc>
              <w:tc>
                <w:tcPr>
                  <w:tcW w:w="915" w:type="dxa"/>
                  <w:noWrap w:val="0"/>
                  <w:vAlign w:val="center"/>
                </w:tcPr>
                <w:p w14:paraId="23E6935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重点管控单元</w:t>
                  </w:r>
                </w:p>
              </w:tc>
              <w:tc>
                <w:tcPr>
                  <w:tcW w:w="1140" w:type="dxa"/>
                  <w:noWrap w:val="0"/>
                  <w:vAlign w:val="center"/>
                </w:tcPr>
                <w:p w14:paraId="4935AC5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highlight w:val="none"/>
                      <w:vertAlign w:val="baseline"/>
                    </w:rPr>
                  </w:pPr>
                  <w:r>
                    <w:rPr>
                      <w:rFonts w:hint="default" w:ascii="Times New Roman" w:hAnsi="Times New Roman" w:cs="Times New Roman"/>
                      <w:color w:val="auto"/>
                      <w:kern w:val="0"/>
                      <w:sz w:val="21"/>
                      <w:szCs w:val="21"/>
                      <w:highlight w:val="none"/>
                      <w:vertAlign w:val="baseline"/>
                    </w:rPr>
                    <w:t>农产品主产区</w:t>
                  </w:r>
                </w:p>
              </w:tc>
              <w:tc>
                <w:tcPr>
                  <w:tcW w:w="1586" w:type="dxa"/>
                  <w:noWrap w:val="0"/>
                  <w:vAlign w:val="center"/>
                </w:tcPr>
                <w:p w14:paraId="1C9D23F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highlight w:val="none"/>
                      <w:vertAlign w:val="baseline"/>
                    </w:rPr>
                  </w:pPr>
                  <w:r>
                    <w:rPr>
                      <w:rFonts w:hint="default" w:ascii="Times New Roman" w:hAnsi="Times New Roman" w:cs="Times New Roman"/>
                      <w:color w:val="auto"/>
                      <w:kern w:val="0"/>
                      <w:sz w:val="21"/>
                      <w:szCs w:val="21"/>
                      <w:highlight w:val="none"/>
                      <w:vertAlign w:val="baseline"/>
                    </w:rPr>
                    <w:t>大荆镇：农业种植、优质稻种</w:t>
                  </w:r>
                </w:p>
                <w:p w14:paraId="4C76E29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highlight w:val="none"/>
                      <w:vertAlign w:val="baseline"/>
                    </w:rPr>
                  </w:pPr>
                  <w:r>
                    <w:rPr>
                      <w:rFonts w:hint="default" w:ascii="Times New Roman" w:hAnsi="Times New Roman" w:cs="Times New Roman"/>
                      <w:color w:val="auto"/>
                      <w:kern w:val="0"/>
                      <w:sz w:val="21"/>
                      <w:szCs w:val="21"/>
                      <w:highlight w:val="none"/>
                      <w:vertAlign w:val="baseline"/>
                    </w:rPr>
                    <w:t>植、养殖业、农产品加工。</w:t>
                  </w:r>
                </w:p>
              </w:tc>
              <w:tc>
                <w:tcPr>
                  <w:tcW w:w="1890" w:type="dxa"/>
                  <w:tcBorders>
                    <w:right w:val="single" w:color="auto" w:sz="12" w:space="0"/>
                  </w:tcBorders>
                  <w:noWrap w:val="0"/>
                  <w:vAlign w:val="center"/>
                </w:tcPr>
                <w:p w14:paraId="21DF2FD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highlight w:val="none"/>
                      <w:vertAlign w:val="baseline"/>
                    </w:rPr>
                  </w:pPr>
                  <w:r>
                    <w:rPr>
                      <w:rFonts w:hint="default" w:ascii="Times New Roman" w:hAnsi="Times New Roman" w:cs="Times New Roman"/>
                      <w:color w:val="auto"/>
                      <w:kern w:val="0"/>
                      <w:sz w:val="21"/>
                      <w:szCs w:val="21"/>
                      <w:highlight w:val="none"/>
                      <w:vertAlign w:val="baseline"/>
                    </w:rPr>
                    <w:t>重要敏感目标：大荆镇：畜禽养殖污染问题。</w:t>
                  </w:r>
                </w:p>
              </w:tc>
            </w:tr>
            <w:tr w14:paraId="24629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9" w:type="dxa"/>
                  <w:tcBorders>
                    <w:left w:val="single" w:color="auto" w:sz="4" w:space="0"/>
                  </w:tcBorders>
                  <w:noWrap w:val="0"/>
                  <w:vAlign w:val="center"/>
                </w:tcPr>
                <w:p w14:paraId="307BC74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管控纬度</w:t>
                  </w:r>
                </w:p>
              </w:tc>
              <w:tc>
                <w:tcPr>
                  <w:tcW w:w="4481" w:type="dxa"/>
                  <w:gridSpan w:val="4"/>
                  <w:noWrap w:val="0"/>
                  <w:vAlign w:val="center"/>
                </w:tcPr>
                <w:p w14:paraId="10A6DC2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管控要求</w:t>
                  </w:r>
                </w:p>
              </w:tc>
              <w:tc>
                <w:tcPr>
                  <w:tcW w:w="1890" w:type="dxa"/>
                  <w:tcBorders>
                    <w:right w:val="single" w:color="auto" w:sz="12" w:space="0"/>
                  </w:tcBorders>
                  <w:noWrap w:val="0"/>
                  <w:vAlign w:val="center"/>
                </w:tcPr>
                <w:p w14:paraId="5DBEC0FD">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符合性分析</w:t>
                  </w:r>
                </w:p>
              </w:tc>
            </w:tr>
            <w:tr w14:paraId="7E206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9" w:type="dxa"/>
                  <w:tcBorders>
                    <w:left w:val="single" w:color="auto" w:sz="4" w:space="0"/>
                  </w:tcBorders>
                  <w:noWrap w:val="0"/>
                  <w:vAlign w:val="center"/>
                </w:tcPr>
                <w:p w14:paraId="57BABDE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空间布局约束</w:t>
                  </w:r>
                </w:p>
              </w:tc>
              <w:tc>
                <w:tcPr>
                  <w:tcW w:w="4481" w:type="dxa"/>
                  <w:gridSpan w:val="4"/>
                  <w:noWrap w:val="0"/>
                  <w:vAlign w:val="center"/>
                </w:tcPr>
                <w:p w14:paraId="13D13BA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（1.1）严格禁止秸秆露天焚烧，推进秸秆“五化”综合利用。</w:t>
                  </w:r>
                </w:p>
                <w:p w14:paraId="1BF64613">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（1.2）严格执行烟花爆竹禁限放政策。</w:t>
                  </w:r>
                </w:p>
                <w:p w14:paraId="61CB006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（1.3）加强露天烧烤、焚烧垃圾监管。</w:t>
                  </w:r>
                </w:p>
                <w:p w14:paraId="7157296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（1.4）严格执行禽畜养殖分区管理制度，禁养区内畜禽养殖场立即关停退养，禁养区外沿河、湖、沟、渠、塘、库岸线 500 米内实施禁养退养，依法取缔超标排放的禽畜养殖场。</w:t>
                  </w:r>
                </w:p>
                <w:p w14:paraId="77F4D1C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（1.5）以国、省控断面监测点为中心，水域上游 3000 米、下游 300 米范围内禁止垂钓及捕捞等渔业活动。</w:t>
                  </w:r>
                </w:p>
              </w:tc>
              <w:tc>
                <w:tcPr>
                  <w:tcW w:w="1890" w:type="dxa"/>
                  <w:tcBorders>
                    <w:right w:val="single" w:color="auto" w:sz="12" w:space="0"/>
                  </w:tcBorders>
                  <w:noWrap w:val="0"/>
                  <w:vAlign w:val="center"/>
                </w:tcPr>
                <w:p w14:paraId="0380037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highlight w:val="none"/>
                      <w:vertAlign w:val="baseline"/>
                      <w:lang w:val="en-US" w:eastAsia="zh-CN"/>
                    </w:rPr>
                  </w:pPr>
                  <w:r>
                    <w:rPr>
                      <w:rFonts w:hint="eastAsia" w:cs="Times New Roman"/>
                      <w:color w:val="auto"/>
                      <w:kern w:val="0"/>
                      <w:sz w:val="21"/>
                      <w:szCs w:val="21"/>
                      <w:highlight w:val="none"/>
                      <w:vertAlign w:val="baseline"/>
                      <w:lang w:val="en-US" w:eastAsia="zh-CN"/>
                    </w:rPr>
                    <w:t>本项目为食品加工业，配套建设一台2.2t/h、一台2.5t/h的生物质蒸汽发生器</w:t>
                  </w:r>
                  <w:r>
                    <w:rPr>
                      <w:rFonts w:hint="default" w:ascii="Times New Roman" w:hAnsi="Times New Roman" w:cs="Times New Roman"/>
                      <w:color w:val="auto"/>
                      <w:kern w:val="0"/>
                      <w:sz w:val="21"/>
                      <w:szCs w:val="21"/>
                      <w:highlight w:val="none"/>
                      <w:vertAlign w:val="baseline"/>
                      <w:lang w:val="en-US" w:eastAsia="zh-CN"/>
                    </w:rPr>
                    <w:t>。</w:t>
                  </w:r>
                  <w:r>
                    <w:rPr>
                      <w:rFonts w:hint="eastAsia" w:cs="Times New Roman"/>
                      <w:color w:val="auto"/>
                      <w:kern w:val="0"/>
                      <w:sz w:val="21"/>
                      <w:szCs w:val="21"/>
                      <w:highlight w:val="none"/>
                      <w:vertAlign w:val="baseline"/>
                      <w:lang w:val="en-US" w:eastAsia="zh-CN"/>
                    </w:rPr>
                    <w:t>不涉及秸秆露天焚烧、畜禽养殖等。</w:t>
                  </w:r>
                </w:p>
              </w:tc>
            </w:tr>
            <w:tr w14:paraId="39EA8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9" w:type="dxa"/>
                  <w:tcBorders>
                    <w:left w:val="single" w:color="auto" w:sz="4" w:space="0"/>
                  </w:tcBorders>
                  <w:noWrap w:val="0"/>
                  <w:vAlign w:val="center"/>
                </w:tcPr>
                <w:p w14:paraId="5B3D0539">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污染物排放管控</w:t>
                  </w:r>
                </w:p>
              </w:tc>
              <w:tc>
                <w:tcPr>
                  <w:tcW w:w="4481" w:type="dxa"/>
                  <w:gridSpan w:val="4"/>
                  <w:noWrap w:val="0"/>
                  <w:vAlign w:val="center"/>
                </w:tcPr>
                <w:p w14:paraId="5E3DB69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（2.1）废气：强化建筑施工、道路及裸土扬尘污染治理，有效防尘降尘；严禁秸秆、垃圾露天焚烧，推进餐饮油烟污染治理，深化餐饮油烟专项整治。</w:t>
                  </w:r>
                </w:p>
                <w:p w14:paraId="64C1C6A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（2.2）废水</w:t>
                  </w:r>
                </w:p>
                <w:p w14:paraId="71DE105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（2.2.1）推进规模养殖场实现粪污资源化利用，达标排放。</w:t>
                  </w:r>
                </w:p>
                <w:p w14:paraId="6C6D26F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新建、改建、扩建规模化畜禽养殖场（小区）要实施雨污分流、粪便污水资源化利用。</w:t>
                  </w:r>
                </w:p>
                <w:p w14:paraId="0474226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（2.2.2）新建污水收集管网严格实行雨污分流，因地制宜推进市政道路和居民小区、公共建筑内部雨污分流改造，加强溢流污染治理。</w:t>
                  </w:r>
                </w:p>
                <w:p w14:paraId="6ECC30E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（2.2.3）提升城市建成区及农村黑臭水体整治率；已完成整治的黑臭水体进一步规范设施运行，杜绝出现黑臭椎体“返黑返臭”现象。</w:t>
                  </w:r>
                </w:p>
                <w:p w14:paraId="5B1FD56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（2.3）固体废物：加强农村垃圾中转站建设，巩固非正规生活垃圾堆放点整治成效，提升农村垃圾治理水平。推进以种养结合为中点的禽畜养殖废弃物资源利用。</w:t>
                  </w:r>
                </w:p>
                <w:p w14:paraId="6181E5D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2.4）畜禽养殖：规模以下畜禽养殖户和散养户应配套建设雨污分流设施、粪污暂存设施，以及与其养殖生产能力相匹配的粪污减量设施、发酵处理利用设施，并满足防雨、防渗、防溢流和安全防护要求，确保正常运行。</w:t>
                  </w:r>
                </w:p>
                <w:p w14:paraId="09FDD7F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（2.5）农业面源：推进化肥农药减量增效，依法落实化肥使用总量控制，推进科学用药，提高农药利用率。</w:t>
                  </w:r>
                </w:p>
              </w:tc>
              <w:tc>
                <w:tcPr>
                  <w:tcW w:w="1890" w:type="dxa"/>
                  <w:tcBorders>
                    <w:right w:val="single" w:color="auto" w:sz="12" w:space="0"/>
                  </w:tcBorders>
                  <w:noWrap w:val="0"/>
                  <w:vAlign w:val="center"/>
                </w:tcPr>
                <w:p w14:paraId="7B3D695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本项目为食品</w:t>
                  </w:r>
                  <w:r>
                    <w:rPr>
                      <w:rFonts w:hint="eastAsia" w:cs="Times New Roman"/>
                      <w:color w:val="auto"/>
                      <w:kern w:val="0"/>
                      <w:sz w:val="21"/>
                      <w:szCs w:val="21"/>
                      <w:highlight w:val="none"/>
                      <w:vertAlign w:val="baseline"/>
                      <w:lang w:val="en-US" w:eastAsia="zh-CN"/>
                    </w:rPr>
                    <w:t>加工</w:t>
                  </w:r>
                  <w:r>
                    <w:rPr>
                      <w:rFonts w:hint="default" w:ascii="Times New Roman" w:hAnsi="Times New Roman" w:cs="Times New Roman"/>
                      <w:color w:val="auto"/>
                      <w:kern w:val="0"/>
                      <w:sz w:val="21"/>
                      <w:szCs w:val="21"/>
                      <w:highlight w:val="none"/>
                      <w:vertAlign w:val="baseline"/>
                      <w:lang w:val="en-US" w:eastAsia="zh-CN"/>
                    </w:rPr>
                    <w:t>业</w:t>
                  </w:r>
                  <w:r>
                    <w:rPr>
                      <w:rFonts w:hint="eastAsia" w:cs="Times New Roman"/>
                      <w:color w:val="auto"/>
                      <w:kern w:val="0"/>
                      <w:sz w:val="21"/>
                      <w:szCs w:val="21"/>
                      <w:highlight w:val="none"/>
                      <w:vertAlign w:val="baseline"/>
                      <w:lang w:val="en-US" w:eastAsia="zh-CN"/>
                    </w:rPr>
                    <w:t>，配套建设一台2.2t/h、一台2.5t/h的生物质蒸汽发生器</w:t>
                  </w:r>
                  <w:r>
                    <w:rPr>
                      <w:rFonts w:hint="default" w:ascii="Times New Roman" w:hAnsi="Times New Roman" w:cs="Times New Roman"/>
                      <w:color w:val="auto"/>
                      <w:kern w:val="0"/>
                      <w:sz w:val="21"/>
                      <w:szCs w:val="21"/>
                      <w:highlight w:val="none"/>
                      <w:vertAlign w:val="baseline"/>
                      <w:lang w:val="en-US" w:eastAsia="zh-CN"/>
                    </w:rPr>
                    <w:t>。不涉及秸秆焚烧等活动，不涉及</w:t>
                  </w:r>
                  <w:r>
                    <w:rPr>
                      <w:rFonts w:hint="eastAsia" w:cs="Times New Roman"/>
                      <w:color w:val="auto"/>
                      <w:kern w:val="0"/>
                      <w:sz w:val="21"/>
                      <w:szCs w:val="21"/>
                      <w:highlight w:val="none"/>
                      <w:vertAlign w:val="baseline"/>
                      <w:lang w:val="en-US" w:eastAsia="zh-CN"/>
                    </w:rPr>
                    <w:t>畜禽养殖</w:t>
                  </w:r>
                  <w:r>
                    <w:rPr>
                      <w:rFonts w:hint="default" w:ascii="Times New Roman" w:hAnsi="Times New Roman" w:cs="Times New Roman"/>
                      <w:color w:val="auto"/>
                      <w:kern w:val="0"/>
                      <w:sz w:val="21"/>
                      <w:szCs w:val="21"/>
                      <w:highlight w:val="none"/>
                      <w:vertAlign w:val="baseline"/>
                      <w:lang w:val="en-US" w:eastAsia="zh-CN"/>
                    </w:rPr>
                    <w:t>。</w:t>
                  </w:r>
                  <w:r>
                    <w:rPr>
                      <w:rFonts w:hint="eastAsia" w:cs="Times New Roman"/>
                      <w:color w:val="auto"/>
                      <w:kern w:val="0"/>
                      <w:sz w:val="21"/>
                      <w:szCs w:val="21"/>
                      <w:highlight w:val="none"/>
                      <w:vertAlign w:val="baseline"/>
                      <w:lang w:val="en-US" w:eastAsia="zh-CN"/>
                    </w:rPr>
                    <w:t>本项目厂区实行雨污分流，污污分流，</w:t>
                  </w:r>
                  <w:r>
                    <w:rPr>
                      <w:rFonts w:hint="default" w:ascii="Times New Roman" w:hAnsi="Times New Roman" w:cs="Times New Roman"/>
                      <w:color w:val="auto"/>
                      <w:kern w:val="0"/>
                      <w:sz w:val="21"/>
                      <w:szCs w:val="21"/>
                      <w:highlight w:val="none"/>
                      <w:vertAlign w:val="baseline"/>
                      <w:lang w:val="en-US" w:eastAsia="zh-CN"/>
                    </w:rPr>
                    <w:t>符合管控要求。</w:t>
                  </w:r>
                </w:p>
              </w:tc>
            </w:tr>
            <w:tr w14:paraId="6AC1C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9" w:type="dxa"/>
                  <w:tcBorders>
                    <w:left w:val="single" w:color="auto" w:sz="4" w:space="0"/>
                  </w:tcBorders>
                  <w:noWrap w:val="0"/>
                  <w:vAlign w:val="center"/>
                </w:tcPr>
                <w:p w14:paraId="60CC959A">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环境风险</w:t>
                  </w:r>
                </w:p>
              </w:tc>
              <w:tc>
                <w:tcPr>
                  <w:tcW w:w="4481" w:type="dxa"/>
                  <w:gridSpan w:val="4"/>
                  <w:noWrap w:val="0"/>
                  <w:vAlign w:val="center"/>
                </w:tcPr>
                <w:p w14:paraId="031FE8A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3.1）强化枯水期汛期管控，建立健全联防联控机制，强化监测预警，完善应急预案，提升处置能力。深化流域源减排，切实降低河流污染负荷。加强重点流域水生态管理，建立并逐步完善生态流量重点监管清单，及时发现问题，</w:t>
                  </w:r>
                </w:p>
                <w:p w14:paraId="18FCEB0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交办核实。</w:t>
                  </w:r>
                </w:p>
                <w:p w14:paraId="663E1F14">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（3.2）严格执行耕地土壤环境质量类别分类管理，持续推进受污染耕地安全利用和严格管控，巩固提升受污染耕地安全利用水平。</w:t>
                  </w:r>
                </w:p>
              </w:tc>
              <w:tc>
                <w:tcPr>
                  <w:tcW w:w="1890" w:type="dxa"/>
                  <w:tcBorders>
                    <w:right w:val="single" w:color="auto" w:sz="12" w:space="0"/>
                  </w:tcBorders>
                  <w:noWrap w:val="0"/>
                  <w:vAlign w:val="center"/>
                </w:tcPr>
                <w:p w14:paraId="50DAC598">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本项目不涉及</w:t>
                  </w:r>
                </w:p>
              </w:tc>
            </w:tr>
            <w:tr w14:paraId="65E8EB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9" w:type="dxa"/>
                  <w:tcBorders>
                    <w:left w:val="single" w:color="auto" w:sz="4" w:space="0"/>
                    <w:bottom w:val="single" w:color="auto" w:sz="12" w:space="0"/>
                  </w:tcBorders>
                  <w:noWrap w:val="0"/>
                  <w:vAlign w:val="center"/>
                </w:tcPr>
                <w:p w14:paraId="2D73CF77">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资源开发效率要求</w:t>
                  </w:r>
                </w:p>
              </w:tc>
              <w:tc>
                <w:tcPr>
                  <w:tcW w:w="4481" w:type="dxa"/>
                  <w:gridSpan w:val="4"/>
                  <w:tcBorders>
                    <w:bottom w:val="single" w:color="auto" w:sz="12" w:space="0"/>
                  </w:tcBorders>
                  <w:noWrap w:val="0"/>
                  <w:vAlign w:val="center"/>
                </w:tcPr>
                <w:p w14:paraId="2A372151">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（4.1）水资源：2025 年，汨罗市用水总量 3.14 亿立方米，万元地区生产总值用水量比 2020 年下降 23.18%，万元工业增加值用水量比 2020 年下降 14.06%，农田灌溉水有效利用</w:t>
                  </w:r>
                </w:p>
                <w:p w14:paraId="1816E570">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系数 0.555。</w:t>
                  </w:r>
                </w:p>
                <w:p w14:paraId="5C74D93F">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（4.2）能源：汨罗市“十四五”时期能耗强度降低基本目标14.5%，激励目标 15%。</w:t>
                  </w:r>
                </w:p>
                <w:p w14:paraId="0C234D8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（4.3）土地资源：</w:t>
                  </w:r>
                </w:p>
                <w:p w14:paraId="547DD1EC">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长乐镇：到 2035 年耕地保有量 1839.80 公顷，永久基本农田保护面积 1752.42 公顷，生态保护红线面积 188.26 公顷</w:t>
                  </w:r>
                  <w:r>
                    <w:rPr>
                      <w:rFonts w:hint="eastAsia" w:cs="Times New Roman"/>
                      <w:color w:val="auto"/>
                      <w:kern w:val="0"/>
                      <w:sz w:val="21"/>
                      <w:szCs w:val="21"/>
                      <w:highlight w:val="none"/>
                      <w:vertAlign w:val="baseline"/>
                      <w:lang w:val="en-US" w:eastAsia="zh-CN"/>
                    </w:rPr>
                    <w:t>，</w:t>
                  </w:r>
                  <w:r>
                    <w:rPr>
                      <w:rFonts w:hint="default" w:ascii="Times New Roman" w:hAnsi="Times New Roman" w:cs="Times New Roman"/>
                      <w:color w:val="auto"/>
                      <w:kern w:val="0"/>
                      <w:sz w:val="21"/>
                      <w:szCs w:val="21"/>
                      <w:highlight w:val="none"/>
                      <w:vertAlign w:val="baseline"/>
                      <w:lang w:val="en-US" w:eastAsia="zh-CN"/>
                    </w:rPr>
                    <w:t>城镇开发边界规模 138.82 公顷，村庄建设用地 566.35 公顷。</w:t>
                  </w:r>
                </w:p>
                <w:p w14:paraId="6937313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大荆镇：到 2035 年耕地保有量 2553.74 公顷，永久基本农田保护面积 2649.27 公顷，城镇开发边界规模 80.52 公顷，村庄建设用地 764.24 公顷。</w:t>
                  </w:r>
                </w:p>
                <w:p w14:paraId="665BDF32">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both"/>
                    <w:textAlignment w:val="auto"/>
                    <w:rPr>
                      <w:rFonts w:hint="default" w:ascii="Times New Roman" w:hAnsi="Times New Roman" w:cs="Times New Roman"/>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桃林寺镇：到 2035 年耕地保有量 5152.78 公顷，永久基本农田保护面积 4959.34 公顷，城镇开发边界规模 129.97 公顷，村庄建设用地 1717.96 公顷。</w:t>
                  </w:r>
                </w:p>
              </w:tc>
              <w:tc>
                <w:tcPr>
                  <w:tcW w:w="1890" w:type="dxa"/>
                  <w:tcBorders>
                    <w:bottom w:val="single" w:color="auto" w:sz="12" w:space="0"/>
                    <w:right w:val="single" w:color="auto" w:sz="12" w:space="0"/>
                  </w:tcBorders>
                  <w:noWrap w:val="0"/>
                  <w:vAlign w:val="center"/>
                </w:tcPr>
                <w:p w14:paraId="5FF8F086">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kern w:val="0"/>
                      <w:sz w:val="21"/>
                      <w:szCs w:val="21"/>
                      <w:highlight w:val="none"/>
                      <w:vertAlign w:val="baseline"/>
                      <w:lang w:val="en-US" w:eastAsia="zh-CN"/>
                    </w:rPr>
                  </w:pPr>
                  <w:r>
                    <w:rPr>
                      <w:rFonts w:hint="default" w:ascii="Times New Roman" w:hAnsi="Times New Roman" w:cs="Times New Roman"/>
                      <w:color w:val="auto"/>
                      <w:kern w:val="0"/>
                      <w:sz w:val="21"/>
                      <w:szCs w:val="21"/>
                      <w:highlight w:val="none"/>
                      <w:vertAlign w:val="baseline"/>
                      <w:lang w:val="en-US" w:eastAsia="zh-CN"/>
                    </w:rPr>
                    <w:t>本项目用水为自来水，供电由市政电网供电，项目建设</w:t>
                  </w:r>
                  <w:r>
                    <w:rPr>
                      <w:rFonts w:hint="eastAsia" w:cs="Times New Roman"/>
                      <w:color w:val="auto"/>
                      <w:kern w:val="0"/>
                      <w:sz w:val="21"/>
                      <w:szCs w:val="21"/>
                      <w:highlight w:val="none"/>
                      <w:vertAlign w:val="baseline"/>
                      <w:lang w:val="en-US" w:eastAsia="zh-CN"/>
                    </w:rPr>
                    <w:t>用地为古仑</w:t>
                  </w:r>
                  <w:r>
                    <w:rPr>
                      <w:rFonts w:hint="default" w:ascii="Times New Roman" w:hAnsi="Times New Roman" w:cs="Times New Roman"/>
                      <w:color w:val="auto"/>
                      <w:kern w:val="0"/>
                      <w:sz w:val="21"/>
                      <w:szCs w:val="21"/>
                      <w:highlight w:val="none"/>
                      <w:vertAlign w:val="baseline"/>
                      <w:lang w:val="en-US" w:eastAsia="zh-CN"/>
                    </w:rPr>
                    <w:t>村集体建设用地，不新增占地面积，不占用永久基本农田。</w:t>
                  </w:r>
                </w:p>
              </w:tc>
            </w:tr>
          </w:tbl>
          <w:p w14:paraId="4E3FE335">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cs="Times New Roman"/>
                <w:color w:val="auto"/>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综上所述，本项目符合</w:t>
            </w:r>
            <w:r>
              <w:rPr>
                <w:rFonts w:hint="default" w:ascii="Times New Roman" w:hAnsi="Times New Roman" w:cs="Times New Roman"/>
                <w:color w:val="auto"/>
                <w:sz w:val="24"/>
                <w:szCs w:val="24"/>
                <w:highlight w:val="none"/>
                <w:lang w:val="en-US" w:eastAsia="zh-CN"/>
              </w:rPr>
              <w:t>《岳阳市生态环境局关于发布岳阳市生态环境分区管控动态更新成果（2023年版）的通知》（岳环发﹝2024﹞14号）分区管控要求。</w:t>
            </w:r>
          </w:p>
          <w:p w14:paraId="558E424B">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2" w:firstLineChars="200"/>
              <w:jc w:val="left"/>
              <w:textAlignment w:val="auto"/>
              <w:rPr>
                <w:rFonts w:hint="default" w:ascii="Times New Roman" w:hAnsi="Times New Roman"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3、“三区三线”符合性分析</w:t>
            </w:r>
          </w:p>
          <w:p w14:paraId="46197EBE">
            <w:pPr>
              <w:keepNext w:val="0"/>
              <w:keepLines w:val="0"/>
              <w:pageBreakBefore w:val="0"/>
              <w:widowControl w:val="0"/>
              <w:suppressLineNumbers w:val="0"/>
              <w:kinsoku/>
              <w:wordWrap/>
              <w:overflowPunct/>
              <w:topLinePunct w:val="0"/>
              <w:autoSpaceDE w:val="0"/>
              <w:autoSpaceDN w:val="0"/>
              <w:bidi w:val="0"/>
              <w:adjustRightInd w:val="0"/>
              <w:snapToGrid w:val="0"/>
              <w:spacing w:before="0" w:beforeAutospacing="0" w:after="0" w:afterAutospacing="0" w:line="360" w:lineRule="auto"/>
              <w:ind w:left="0" w:right="0" w:firstLine="480" w:firstLineChars="200"/>
              <w:jc w:val="left"/>
              <w:textAlignment w:val="auto"/>
              <w:rPr>
                <w:rFonts w:hint="default"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本项目位于汨罗市大荆镇古仑村，根据项目用地文件（附件5），本项目所在地为集体建设用地，同时，根据三区三线图（附图6），项目所在地不涉及永久基本农田、生态保护红线及城镇开发边界，符合“三区三线”的相关管控要求。</w:t>
            </w:r>
          </w:p>
          <w:p w14:paraId="419ADD87">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textAlignment w:val="auto"/>
              <w:rPr>
                <w:rFonts w:hint="default" w:cs="Times New Roman"/>
                <w:b/>
                <w:bCs/>
                <w:color w:val="auto"/>
                <w:kern w:val="0"/>
                <w:highlight w:val="none"/>
                <w:u w:val="none" w:color="auto"/>
                <w:lang w:val="en-US" w:eastAsia="zh-CN"/>
              </w:rPr>
            </w:pPr>
            <w:r>
              <w:rPr>
                <w:rFonts w:hint="eastAsia" w:cs="Times New Roman"/>
                <w:b/>
                <w:bCs/>
                <w:color w:val="auto"/>
                <w:kern w:val="0"/>
                <w:highlight w:val="none"/>
                <w:u w:val="none" w:color="auto"/>
                <w:lang w:val="en-US" w:eastAsia="zh-CN"/>
              </w:rPr>
              <w:t>4、与《湖南省“两高”项目管理名录》符合性分析</w:t>
            </w:r>
          </w:p>
          <w:p w14:paraId="4A430958">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eastAsia" w:cs="Times New Roman"/>
                <w:b/>
                <w:bCs/>
                <w:color w:val="auto"/>
                <w:kern w:val="0"/>
                <w:highlight w:val="none"/>
                <w:u w:val="none" w:color="auto"/>
                <w:lang w:val="en-US" w:eastAsia="zh-CN"/>
              </w:rPr>
            </w:pPr>
            <w:r>
              <w:rPr>
                <w:rFonts w:hint="default" w:ascii="Times New Roman" w:hAnsi="Times New Roman" w:cs="Times New Roman"/>
                <w:color w:val="auto"/>
                <w:szCs w:val="20"/>
                <w:lang w:val="en-US" w:eastAsia="zh-CN"/>
              </w:rPr>
              <w:t>根据《国民经济分类管理名录》（GB/T4757-2017）（2019年修订版），本项目</w:t>
            </w:r>
            <w:r>
              <w:rPr>
                <w:rFonts w:hint="eastAsia" w:cs="Times New Roman"/>
                <w:color w:val="auto"/>
                <w:szCs w:val="20"/>
                <w:lang w:val="en-US" w:eastAsia="zh-CN"/>
              </w:rPr>
              <w:t>属于食品加工行业</w:t>
            </w:r>
            <w:r>
              <w:rPr>
                <w:rFonts w:hint="default" w:ascii="Times New Roman" w:hAnsi="Times New Roman" w:cs="Times New Roman"/>
                <w:color w:val="auto"/>
                <w:szCs w:val="20"/>
                <w:lang w:val="en-US" w:eastAsia="zh-CN"/>
              </w:rPr>
              <w:t>，结合《关于加强高耗能、高排放建设项目生态环境源头防控指导意见》（环环评[2021]45号）和《湖南省“两高”项目管理目录》，本项目不属于“高耗能、高排放”类项目</w:t>
            </w:r>
            <w:r>
              <w:rPr>
                <w:rFonts w:hint="eastAsia" w:cs="Times New Roman"/>
                <w:color w:val="auto"/>
                <w:szCs w:val="20"/>
                <w:lang w:val="en-US" w:eastAsia="zh-CN"/>
              </w:rPr>
              <w:t>。</w:t>
            </w:r>
          </w:p>
          <w:p w14:paraId="770C6461">
            <w:pPr>
              <w:keepNext w:val="0"/>
              <w:keepLines w:val="0"/>
              <w:pageBreakBefore w:val="0"/>
              <w:widowControl w:val="0"/>
              <w:kinsoku/>
              <w:wordWrap/>
              <w:overflowPunct/>
              <w:topLinePunct w:val="0"/>
              <w:autoSpaceDE w:val="0"/>
              <w:autoSpaceDN w:val="0"/>
              <w:bidi w:val="0"/>
              <w:adjustRightInd w:val="0"/>
              <w:snapToGrid w:val="0"/>
              <w:spacing w:line="360" w:lineRule="auto"/>
              <w:ind w:firstLine="0" w:firstLineChars="0"/>
              <w:jc w:val="center"/>
              <w:textAlignment w:val="auto"/>
              <w:rPr>
                <w:rFonts w:hint="default" w:cs="Times New Roman"/>
                <w:b w:val="0"/>
                <w:bCs w:val="0"/>
                <w:color w:val="auto"/>
                <w:kern w:val="0"/>
                <w:highlight w:val="none"/>
                <w:u w:val="none" w:color="auto"/>
                <w:lang w:val="en-US" w:eastAsia="zh-CN"/>
              </w:rPr>
            </w:pPr>
            <w:r>
              <w:rPr>
                <w:rFonts w:hint="default" w:ascii="Times New Roman" w:hAnsi="Times New Roman" w:eastAsia="宋体" w:cs="Times New Roman"/>
                <w:b/>
                <w:bCs/>
                <w:color w:val="auto"/>
                <w:kern w:val="0"/>
                <w:sz w:val="21"/>
                <w:szCs w:val="21"/>
                <w:highlight w:val="none"/>
                <w:u w:val="none" w:color="auto"/>
              </w:rPr>
              <w:t>表1-</w:t>
            </w:r>
            <w:r>
              <w:rPr>
                <w:rFonts w:hint="eastAsia" w:cs="Times New Roman"/>
                <w:b/>
                <w:bCs/>
                <w:color w:val="auto"/>
                <w:kern w:val="0"/>
                <w:sz w:val="21"/>
                <w:szCs w:val="21"/>
                <w:highlight w:val="none"/>
                <w:u w:val="none" w:color="auto"/>
                <w:lang w:val="en-US" w:eastAsia="zh-CN"/>
              </w:rPr>
              <w:t>3 湖南省“两高”项目管理目录</w:t>
            </w:r>
          </w:p>
          <w:tbl>
            <w:tblPr>
              <w:tblStyle w:val="43"/>
              <w:tblW w:w="7124" w:type="dxa"/>
              <w:tblInd w:w="-10" w:type="dxa"/>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Layout w:type="fixed"/>
              <w:tblCellMar>
                <w:top w:w="0" w:type="dxa"/>
                <w:left w:w="108" w:type="dxa"/>
                <w:bottom w:w="0" w:type="dxa"/>
                <w:right w:w="108" w:type="dxa"/>
              </w:tblCellMar>
            </w:tblPr>
            <w:tblGrid>
              <w:gridCol w:w="465"/>
              <w:gridCol w:w="716"/>
              <w:gridCol w:w="1956"/>
              <w:gridCol w:w="2325"/>
              <w:gridCol w:w="899"/>
              <w:gridCol w:w="763"/>
            </w:tblGrid>
            <w:tr w14:paraId="15959DB8">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465" w:type="dxa"/>
                  <w:vAlign w:val="center"/>
                </w:tcPr>
                <w:p w14:paraId="7586D77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序号</w:t>
                  </w:r>
                </w:p>
              </w:tc>
              <w:tc>
                <w:tcPr>
                  <w:tcW w:w="716" w:type="dxa"/>
                  <w:vAlign w:val="center"/>
                </w:tcPr>
                <w:p w14:paraId="2EEF02AC">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行业</w:t>
                  </w:r>
                </w:p>
              </w:tc>
              <w:tc>
                <w:tcPr>
                  <w:tcW w:w="1956" w:type="dxa"/>
                  <w:vAlign w:val="center"/>
                </w:tcPr>
                <w:p w14:paraId="024C296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主要内容</w:t>
                  </w:r>
                </w:p>
              </w:tc>
              <w:tc>
                <w:tcPr>
                  <w:tcW w:w="2325" w:type="dxa"/>
                  <w:vAlign w:val="center"/>
                </w:tcPr>
                <w:p w14:paraId="103063D6">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设计主要产品及工序</w:t>
                  </w:r>
                </w:p>
              </w:tc>
              <w:tc>
                <w:tcPr>
                  <w:tcW w:w="899" w:type="dxa"/>
                  <w:vAlign w:val="center"/>
                </w:tcPr>
                <w:p w14:paraId="1A465353">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备注</w:t>
                  </w:r>
                </w:p>
              </w:tc>
              <w:tc>
                <w:tcPr>
                  <w:tcW w:w="763" w:type="dxa"/>
                  <w:vAlign w:val="center"/>
                </w:tcPr>
                <w:p w14:paraId="2934AE2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本项目情况</w:t>
                  </w:r>
                </w:p>
              </w:tc>
            </w:tr>
            <w:tr w14:paraId="04BDA275">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465" w:type="dxa"/>
                  <w:vAlign w:val="center"/>
                </w:tcPr>
                <w:p w14:paraId="2C1BCD5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1</w:t>
                  </w:r>
                </w:p>
              </w:tc>
              <w:tc>
                <w:tcPr>
                  <w:tcW w:w="716" w:type="dxa"/>
                  <w:vAlign w:val="center"/>
                </w:tcPr>
                <w:p w14:paraId="32C921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bidi="ar-SA"/>
                    </w:rPr>
                    <w:t>石化</w:t>
                  </w:r>
                </w:p>
              </w:tc>
              <w:tc>
                <w:tcPr>
                  <w:tcW w:w="1956" w:type="dxa"/>
                  <w:vAlign w:val="center"/>
                </w:tcPr>
                <w:p w14:paraId="02066A42">
                  <w:pPr>
                    <w:pStyle w:val="285"/>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firstLine="0" w:firstLineChars="0"/>
                    <w:textAlignment w:val="auto"/>
                    <w:rPr>
                      <w:rFonts w:hint="eastAsia" w:ascii="Times New Roman" w:hAnsi="Times New Roman" w:eastAsia="宋体" w:cs="Times New Roman"/>
                      <w:color w:val="auto"/>
                      <w:kern w:val="0"/>
                      <w:sz w:val="21"/>
                      <w:szCs w:val="24"/>
                      <w:lang w:val="en-US" w:eastAsia="zh-CN" w:bidi="ar-SA"/>
                    </w:rPr>
                  </w:pPr>
                  <w:r>
                    <w:rPr>
                      <w:rFonts w:hint="default" w:ascii="Times New Roman" w:hAnsi="Times New Roman" w:cs="Times New Roman"/>
                      <w:color w:val="auto"/>
                      <w:lang w:val="en-US" w:eastAsia="zh-CN" w:bidi="ar-SA"/>
                    </w:rPr>
                    <w:t>原油加工及石油制品制造（2511）</w:t>
                  </w:r>
                </w:p>
              </w:tc>
              <w:tc>
                <w:tcPr>
                  <w:tcW w:w="2325" w:type="dxa"/>
                  <w:vAlign w:val="center"/>
                </w:tcPr>
                <w:p w14:paraId="590A30EA">
                  <w:pPr>
                    <w:pStyle w:val="285"/>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firstLine="0" w:firstLineChars="0"/>
                    <w:textAlignment w:val="auto"/>
                    <w:rPr>
                      <w:rFonts w:hint="eastAsia" w:ascii="Times New Roman" w:hAnsi="Times New Roman" w:eastAsia="宋体" w:cs="Times New Roman"/>
                      <w:color w:val="auto"/>
                      <w:kern w:val="0"/>
                      <w:sz w:val="21"/>
                      <w:szCs w:val="24"/>
                      <w:lang w:val="en-US" w:eastAsia="zh-CN" w:bidi="ar-SA"/>
                    </w:rPr>
                  </w:pPr>
                  <w:r>
                    <w:rPr>
                      <w:rFonts w:hint="default" w:ascii="Times New Roman" w:hAnsi="Times New Roman" w:cs="Times New Roman"/>
                      <w:color w:val="auto"/>
                      <w:lang w:val="en-US" w:eastAsia="zh-CN" w:bidi="ar-SA"/>
                    </w:rPr>
                    <w:t>炼油、乙烯</w:t>
                  </w:r>
                </w:p>
              </w:tc>
              <w:tc>
                <w:tcPr>
                  <w:tcW w:w="899" w:type="dxa"/>
                  <w:vAlign w:val="center"/>
                </w:tcPr>
                <w:p w14:paraId="008C95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p>
              </w:tc>
              <w:tc>
                <w:tcPr>
                  <w:tcW w:w="763" w:type="dxa"/>
                  <w:vAlign w:val="center"/>
                </w:tcPr>
                <w:p w14:paraId="052D69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不涉及</w:t>
                  </w:r>
                </w:p>
              </w:tc>
            </w:tr>
            <w:tr w14:paraId="7A2706BE">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465" w:type="dxa"/>
                  <w:vAlign w:val="center"/>
                </w:tcPr>
                <w:p w14:paraId="24FF379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2</w:t>
                  </w:r>
                </w:p>
              </w:tc>
              <w:tc>
                <w:tcPr>
                  <w:tcW w:w="716" w:type="dxa"/>
                  <w:vAlign w:val="center"/>
                </w:tcPr>
                <w:p w14:paraId="5B8E5441">
                  <w:pPr>
                    <w:pStyle w:val="285"/>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firstLine="0" w:firstLineChars="0"/>
                    <w:textAlignment w:val="auto"/>
                    <w:rPr>
                      <w:rFonts w:hint="eastAsia" w:ascii="Times New Roman" w:hAnsi="Times New Roman" w:eastAsia="宋体" w:cs="Times New Roman"/>
                      <w:color w:val="auto"/>
                      <w:kern w:val="0"/>
                      <w:sz w:val="21"/>
                      <w:szCs w:val="24"/>
                      <w:lang w:val="en-US" w:eastAsia="zh-CN" w:bidi="ar-SA"/>
                    </w:rPr>
                  </w:pPr>
                  <w:r>
                    <w:rPr>
                      <w:rFonts w:hint="default" w:ascii="Times New Roman" w:hAnsi="Times New Roman" w:cs="Times New Roman"/>
                      <w:color w:val="auto"/>
                      <w:lang w:val="en-US" w:eastAsia="zh-CN" w:bidi="ar-SA"/>
                    </w:rPr>
                    <w:t>化工</w:t>
                  </w:r>
                </w:p>
              </w:tc>
              <w:tc>
                <w:tcPr>
                  <w:tcW w:w="1956" w:type="dxa"/>
                  <w:vAlign w:val="center"/>
                </w:tcPr>
                <w:p w14:paraId="066D9063">
                  <w:pPr>
                    <w:pStyle w:val="285"/>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firstLine="0" w:firstLineChars="0"/>
                    <w:textAlignment w:val="auto"/>
                    <w:rPr>
                      <w:rFonts w:hint="eastAsia" w:ascii="Times New Roman" w:hAnsi="Times New Roman" w:eastAsia="宋体" w:cs="Times New Roman"/>
                      <w:color w:val="auto"/>
                      <w:kern w:val="0"/>
                      <w:sz w:val="21"/>
                      <w:szCs w:val="24"/>
                      <w:lang w:val="en-US" w:eastAsia="zh-CN" w:bidi="ar-SA"/>
                    </w:rPr>
                  </w:pPr>
                  <w:r>
                    <w:rPr>
                      <w:rFonts w:hint="default" w:ascii="Times New Roman" w:hAnsi="Times New Roman" w:cs="Times New Roman"/>
                      <w:color w:val="auto"/>
                      <w:lang w:val="en-US" w:eastAsia="zh-CN" w:bidi="ar-SA"/>
                    </w:rPr>
                    <w:t>无机酸制造（2611）、无机碱制造（2612）、无机盐制造（2613）</w:t>
                  </w:r>
                </w:p>
              </w:tc>
              <w:tc>
                <w:tcPr>
                  <w:tcW w:w="2325" w:type="dxa"/>
                  <w:vAlign w:val="center"/>
                </w:tcPr>
                <w:p w14:paraId="0429B5EE">
                  <w:pPr>
                    <w:pStyle w:val="285"/>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firstLine="0" w:firstLineChars="0"/>
                    <w:textAlignment w:val="auto"/>
                    <w:rPr>
                      <w:rFonts w:hint="eastAsia" w:ascii="Times New Roman" w:hAnsi="Times New Roman" w:eastAsia="宋体" w:cs="Times New Roman"/>
                      <w:color w:val="auto"/>
                      <w:kern w:val="0"/>
                      <w:sz w:val="21"/>
                      <w:szCs w:val="24"/>
                      <w:lang w:val="en-US" w:eastAsia="zh-CN" w:bidi="ar-SA"/>
                    </w:rPr>
                  </w:pPr>
                  <w:r>
                    <w:rPr>
                      <w:rFonts w:hint="default" w:ascii="Times New Roman" w:hAnsi="Times New Roman" w:cs="Times New Roman"/>
                      <w:color w:val="auto"/>
                      <w:lang w:val="en-US" w:eastAsia="zh-CN" w:bidi="ar-SA"/>
                    </w:rPr>
                    <w:t>烧碱、纯碱、工业硫酸、黄磷、合成氨、尿素、磷铵、电石、聚氯乙烯、聚丙烯、精对苯二甲酸、对二甲苯、苯乙烯、乙酸乙烯酯、二苯基甲烷二异氰酸酯、1,4-丁二醇</w:t>
                  </w:r>
                </w:p>
              </w:tc>
              <w:tc>
                <w:tcPr>
                  <w:tcW w:w="899" w:type="dxa"/>
                  <w:vAlign w:val="center"/>
                </w:tcPr>
                <w:p w14:paraId="7160B3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p>
              </w:tc>
              <w:tc>
                <w:tcPr>
                  <w:tcW w:w="763" w:type="dxa"/>
                  <w:vAlign w:val="center"/>
                </w:tcPr>
                <w:p w14:paraId="7A4334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不涉及</w:t>
                  </w:r>
                </w:p>
              </w:tc>
            </w:tr>
            <w:tr w14:paraId="592514A3">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465" w:type="dxa"/>
                  <w:vAlign w:val="center"/>
                </w:tcPr>
                <w:p w14:paraId="150A61E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3</w:t>
                  </w:r>
                </w:p>
              </w:tc>
              <w:tc>
                <w:tcPr>
                  <w:tcW w:w="716" w:type="dxa"/>
                  <w:vAlign w:val="center"/>
                </w:tcPr>
                <w:p w14:paraId="7B000095">
                  <w:pPr>
                    <w:pStyle w:val="285"/>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firstLine="0" w:firstLineChars="0"/>
                    <w:textAlignment w:val="auto"/>
                    <w:rPr>
                      <w:rFonts w:hint="eastAsia" w:ascii="Times New Roman" w:hAnsi="Times New Roman" w:eastAsia="宋体" w:cs="Times New Roman"/>
                      <w:color w:val="auto"/>
                      <w:kern w:val="0"/>
                      <w:sz w:val="21"/>
                      <w:szCs w:val="24"/>
                      <w:lang w:val="en-US" w:eastAsia="zh-CN" w:bidi="ar-SA"/>
                    </w:rPr>
                  </w:pPr>
                  <w:r>
                    <w:rPr>
                      <w:rFonts w:hint="default" w:ascii="Times New Roman" w:hAnsi="Times New Roman" w:cs="Times New Roman"/>
                      <w:color w:val="auto"/>
                      <w:lang w:val="en-US" w:eastAsia="zh-CN" w:bidi="ar-SA"/>
                    </w:rPr>
                    <w:t>煤化工</w:t>
                  </w:r>
                </w:p>
              </w:tc>
              <w:tc>
                <w:tcPr>
                  <w:tcW w:w="1956" w:type="dxa"/>
                  <w:vAlign w:val="center"/>
                </w:tcPr>
                <w:p w14:paraId="2E16FDA5">
                  <w:pPr>
                    <w:pStyle w:val="285"/>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firstLine="0" w:firstLineChars="0"/>
                    <w:textAlignment w:val="auto"/>
                    <w:rPr>
                      <w:rFonts w:hint="eastAsia" w:ascii="Times New Roman" w:hAnsi="Times New Roman" w:eastAsia="宋体" w:cs="Times New Roman"/>
                      <w:color w:val="auto"/>
                      <w:kern w:val="0"/>
                      <w:sz w:val="21"/>
                      <w:szCs w:val="24"/>
                      <w:lang w:val="en-US" w:eastAsia="zh-CN" w:bidi="ar-SA"/>
                    </w:rPr>
                  </w:pPr>
                  <w:r>
                    <w:rPr>
                      <w:rFonts w:hint="default" w:ascii="Times New Roman" w:hAnsi="Times New Roman" w:cs="Times New Roman"/>
                      <w:color w:val="auto"/>
                      <w:lang w:val="en-US" w:eastAsia="zh-CN" w:bidi="ar-SA"/>
                    </w:rPr>
                    <w:t>煤制合成气生产（2522）、煤制液体燃料生产（2523）</w:t>
                  </w:r>
                </w:p>
              </w:tc>
              <w:tc>
                <w:tcPr>
                  <w:tcW w:w="2325" w:type="dxa"/>
                  <w:vAlign w:val="center"/>
                </w:tcPr>
                <w:p w14:paraId="19D5DAF1">
                  <w:pPr>
                    <w:pStyle w:val="285"/>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firstLine="0" w:firstLineChars="0"/>
                    <w:textAlignment w:val="auto"/>
                    <w:rPr>
                      <w:rFonts w:hint="eastAsia" w:ascii="Times New Roman" w:hAnsi="Times New Roman" w:eastAsia="宋体" w:cs="Times New Roman"/>
                      <w:color w:val="auto"/>
                      <w:kern w:val="0"/>
                      <w:sz w:val="21"/>
                      <w:szCs w:val="24"/>
                      <w:lang w:val="en-US" w:eastAsia="zh-CN" w:bidi="ar-SA"/>
                    </w:rPr>
                  </w:pPr>
                  <w:r>
                    <w:rPr>
                      <w:rFonts w:hint="default" w:ascii="Times New Roman" w:hAnsi="Times New Roman" w:cs="Times New Roman"/>
                      <w:color w:val="auto"/>
                      <w:lang w:val="en-US" w:eastAsia="zh-CN" w:bidi="ar-SA"/>
                    </w:rPr>
                    <w:t>一氧化碳、氢气、甲烷及其他煤制合成气；甲醇、二甲醚、乙二醇、汽油、柴油和航空燃料及其他煤制液体燃料</w:t>
                  </w:r>
                </w:p>
              </w:tc>
              <w:tc>
                <w:tcPr>
                  <w:tcW w:w="899" w:type="dxa"/>
                  <w:vAlign w:val="center"/>
                </w:tcPr>
                <w:p w14:paraId="3C0380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p>
              </w:tc>
              <w:tc>
                <w:tcPr>
                  <w:tcW w:w="763" w:type="dxa"/>
                  <w:vAlign w:val="center"/>
                </w:tcPr>
                <w:p w14:paraId="1BC00F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不涉及</w:t>
                  </w:r>
                </w:p>
              </w:tc>
            </w:tr>
            <w:tr w14:paraId="5232F943">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465" w:type="dxa"/>
                  <w:vAlign w:val="center"/>
                </w:tcPr>
                <w:p w14:paraId="6D468495">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4</w:t>
                  </w:r>
                </w:p>
              </w:tc>
              <w:tc>
                <w:tcPr>
                  <w:tcW w:w="716" w:type="dxa"/>
                  <w:vAlign w:val="center"/>
                </w:tcPr>
                <w:p w14:paraId="6327F707">
                  <w:pPr>
                    <w:pStyle w:val="285"/>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firstLine="0" w:firstLineChars="0"/>
                    <w:textAlignment w:val="auto"/>
                    <w:rPr>
                      <w:rFonts w:hint="eastAsia" w:ascii="Times New Roman" w:hAnsi="Times New Roman" w:eastAsia="宋体" w:cs="Times New Roman"/>
                      <w:color w:val="auto"/>
                      <w:kern w:val="0"/>
                      <w:sz w:val="21"/>
                      <w:szCs w:val="24"/>
                      <w:lang w:val="en-US" w:eastAsia="zh-CN" w:bidi="ar-SA"/>
                    </w:rPr>
                  </w:pPr>
                  <w:r>
                    <w:rPr>
                      <w:rFonts w:hint="default" w:ascii="Times New Roman" w:hAnsi="Times New Roman" w:cs="Times New Roman"/>
                      <w:color w:val="auto"/>
                      <w:lang w:val="en-US" w:eastAsia="zh-CN" w:bidi="ar-SA"/>
                    </w:rPr>
                    <w:t>焦化</w:t>
                  </w:r>
                </w:p>
              </w:tc>
              <w:tc>
                <w:tcPr>
                  <w:tcW w:w="1956" w:type="dxa"/>
                  <w:vAlign w:val="center"/>
                </w:tcPr>
                <w:p w14:paraId="2E6D087E">
                  <w:pPr>
                    <w:pStyle w:val="285"/>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firstLine="0" w:firstLineChars="0"/>
                    <w:textAlignment w:val="auto"/>
                    <w:rPr>
                      <w:rFonts w:hint="eastAsia" w:ascii="Times New Roman" w:hAnsi="Times New Roman" w:eastAsia="宋体" w:cs="Times New Roman"/>
                      <w:color w:val="auto"/>
                      <w:kern w:val="0"/>
                      <w:sz w:val="21"/>
                      <w:szCs w:val="24"/>
                      <w:lang w:val="en-US" w:eastAsia="zh-CN" w:bidi="ar-SA"/>
                    </w:rPr>
                  </w:pPr>
                  <w:r>
                    <w:rPr>
                      <w:rFonts w:hint="default" w:ascii="Times New Roman" w:hAnsi="Times New Roman" w:cs="Times New Roman"/>
                      <w:color w:val="auto"/>
                      <w:lang w:val="en-US" w:eastAsia="zh-CN" w:bidi="ar-SA"/>
                    </w:rPr>
                    <w:t>炼焦（2521）</w:t>
                  </w:r>
                </w:p>
              </w:tc>
              <w:tc>
                <w:tcPr>
                  <w:tcW w:w="2325" w:type="dxa"/>
                  <w:vAlign w:val="center"/>
                </w:tcPr>
                <w:p w14:paraId="27C7DE36">
                  <w:pPr>
                    <w:pStyle w:val="285"/>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firstLine="0" w:firstLineChars="0"/>
                    <w:textAlignment w:val="auto"/>
                    <w:rPr>
                      <w:rFonts w:hint="eastAsia" w:ascii="Times New Roman" w:hAnsi="Times New Roman" w:eastAsia="宋体" w:cs="Times New Roman"/>
                      <w:color w:val="auto"/>
                      <w:kern w:val="0"/>
                      <w:sz w:val="21"/>
                      <w:szCs w:val="24"/>
                      <w:lang w:val="en-US" w:eastAsia="zh-CN" w:bidi="ar-SA"/>
                    </w:rPr>
                  </w:pPr>
                  <w:r>
                    <w:rPr>
                      <w:rFonts w:hint="default" w:ascii="Times New Roman" w:hAnsi="Times New Roman" w:cs="Times New Roman"/>
                      <w:color w:val="auto"/>
                      <w:lang w:val="en-US" w:eastAsia="zh-CN" w:bidi="ar-SA"/>
                    </w:rPr>
                    <w:t>焦炭、石油焦（焦炭类）、沥青焦、其他原料生产焦炭、机焦、型焦、土焦、半焦炭、针状焦、其他工艺生产焦炭、矿物油焦</w:t>
                  </w:r>
                </w:p>
              </w:tc>
              <w:tc>
                <w:tcPr>
                  <w:tcW w:w="899" w:type="dxa"/>
                  <w:vAlign w:val="center"/>
                </w:tcPr>
                <w:p w14:paraId="461899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p>
              </w:tc>
              <w:tc>
                <w:tcPr>
                  <w:tcW w:w="763" w:type="dxa"/>
                  <w:vAlign w:val="center"/>
                </w:tcPr>
                <w:p w14:paraId="0585A4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不涉及</w:t>
                  </w:r>
                </w:p>
              </w:tc>
            </w:tr>
            <w:tr w14:paraId="603B958D">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465" w:type="dxa"/>
                  <w:vAlign w:val="center"/>
                </w:tcPr>
                <w:p w14:paraId="326AE20B">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5</w:t>
                  </w:r>
                </w:p>
              </w:tc>
              <w:tc>
                <w:tcPr>
                  <w:tcW w:w="716" w:type="dxa"/>
                  <w:vAlign w:val="center"/>
                </w:tcPr>
                <w:p w14:paraId="1F123F0E">
                  <w:pPr>
                    <w:pStyle w:val="285"/>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firstLine="0" w:firstLineChars="0"/>
                    <w:textAlignment w:val="auto"/>
                    <w:rPr>
                      <w:rFonts w:hint="eastAsia" w:ascii="Times New Roman" w:hAnsi="Times New Roman" w:eastAsia="宋体" w:cs="Times New Roman"/>
                      <w:color w:val="auto"/>
                      <w:kern w:val="0"/>
                      <w:sz w:val="21"/>
                      <w:szCs w:val="24"/>
                      <w:lang w:val="en-US" w:eastAsia="zh-CN" w:bidi="ar-SA"/>
                    </w:rPr>
                  </w:pPr>
                  <w:r>
                    <w:rPr>
                      <w:rFonts w:hint="default" w:ascii="Times New Roman" w:hAnsi="Times New Roman" w:cs="Times New Roman"/>
                      <w:color w:val="auto"/>
                      <w:lang w:val="en-US" w:eastAsia="zh-CN" w:bidi="ar-SA"/>
                    </w:rPr>
                    <w:t>钢铁</w:t>
                  </w:r>
                </w:p>
              </w:tc>
              <w:tc>
                <w:tcPr>
                  <w:tcW w:w="1956" w:type="dxa"/>
                  <w:vAlign w:val="center"/>
                </w:tcPr>
                <w:p w14:paraId="5577A3B7">
                  <w:pPr>
                    <w:pStyle w:val="285"/>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firstLine="0" w:firstLineChars="0"/>
                    <w:textAlignment w:val="auto"/>
                    <w:rPr>
                      <w:rFonts w:hint="eastAsia" w:ascii="Times New Roman" w:hAnsi="Times New Roman" w:eastAsia="宋体" w:cs="Times New Roman"/>
                      <w:color w:val="auto"/>
                      <w:kern w:val="0"/>
                      <w:sz w:val="21"/>
                      <w:szCs w:val="24"/>
                      <w:lang w:val="en-US" w:eastAsia="zh-CN" w:bidi="ar-SA"/>
                    </w:rPr>
                  </w:pPr>
                  <w:r>
                    <w:rPr>
                      <w:rFonts w:hint="default" w:ascii="Times New Roman" w:hAnsi="Times New Roman" w:cs="Times New Roman"/>
                      <w:color w:val="auto"/>
                      <w:lang w:val="en-US" w:eastAsia="zh-CN" w:bidi="ar-SA"/>
                    </w:rPr>
                    <w:t>炼铁（3110）、炼钢（3120）、铁合金（3140）</w:t>
                  </w:r>
                </w:p>
              </w:tc>
              <w:tc>
                <w:tcPr>
                  <w:tcW w:w="2325" w:type="dxa"/>
                  <w:vAlign w:val="center"/>
                </w:tcPr>
                <w:p w14:paraId="4BCE62CD">
                  <w:pPr>
                    <w:pStyle w:val="285"/>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firstLine="0" w:firstLineChars="0"/>
                    <w:textAlignment w:val="auto"/>
                    <w:rPr>
                      <w:rFonts w:hint="eastAsia" w:ascii="Times New Roman" w:hAnsi="Times New Roman" w:eastAsia="宋体" w:cs="Times New Roman"/>
                      <w:color w:val="auto"/>
                      <w:kern w:val="0"/>
                      <w:sz w:val="21"/>
                      <w:szCs w:val="24"/>
                      <w:lang w:val="en-US" w:eastAsia="zh-CN" w:bidi="ar-SA"/>
                    </w:rPr>
                  </w:pPr>
                  <w:r>
                    <w:rPr>
                      <w:rFonts w:hint="default" w:ascii="Times New Roman" w:hAnsi="Times New Roman" w:cs="Times New Roman"/>
                      <w:color w:val="auto"/>
                      <w:lang w:val="en-US" w:eastAsia="zh-CN" w:bidi="ar-SA"/>
                    </w:rPr>
                    <w:t>炼钢用高炉生铁、直接还原铁、熔融还原铁、非合金钢粗钢、低合金钢粗钢、合金钢粗钢、铁合金、电解金属锰</w:t>
                  </w:r>
                </w:p>
              </w:tc>
              <w:tc>
                <w:tcPr>
                  <w:tcW w:w="899" w:type="dxa"/>
                  <w:vAlign w:val="center"/>
                </w:tcPr>
                <w:p w14:paraId="000583C3">
                  <w:pPr>
                    <w:pStyle w:val="285"/>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firstLine="0" w:firstLineChars="0"/>
                    <w:textAlignment w:val="auto"/>
                    <w:rPr>
                      <w:rFonts w:hint="eastAsia" w:ascii="Times New Roman" w:hAnsi="Times New Roman" w:eastAsia="宋体" w:cs="Times New Roman"/>
                      <w:color w:val="auto"/>
                      <w:kern w:val="0"/>
                      <w:sz w:val="21"/>
                      <w:szCs w:val="24"/>
                      <w:lang w:val="en-US" w:eastAsia="zh-CN" w:bidi="ar-SA"/>
                    </w:rPr>
                  </w:pPr>
                  <w:r>
                    <w:rPr>
                      <w:rFonts w:hint="default" w:ascii="Times New Roman" w:hAnsi="Times New Roman" w:cs="Times New Roman"/>
                      <w:color w:val="auto"/>
                      <w:lang w:val="en-US" w:eastAsia="zh-CN" w:bidi="ar-SA"/>
                    </w:rPr>
                    <w:t>不包括以含重金属固体废弃物为原料（≥85%）进行锰资源综合回收项目。</w:t>
                  </w:r>
                </w:p>
              </w:tc>
              <w:tc>
                <w:tcPr>
                  <w:tcW w:w="763" w:type="dxa"/>
                  <w:vAlign w:val="center"/>
                </w:tcPr>
                <w:p w14:paraId="6FC6D775">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cs="Times New Roman"/>
                      <w:color w:val="auto"/>
                      <w:lang w:val="en-US" w:eastAsia="zh-CN" w:bidi="ar-SA"/>
                    </w:rPr>
                  </w:pPr>
                  <w:r>
                    <w:rPr>
                      <w:rFonts w:hint="eastAsia" w:cs="Times New Roman"/>
                      <w:color w:val="auto"/>
                      <w:kern w:val="2"/>
                      <w:sz w:val="21"/>
                      <w:szCs w:val="21"/>
                      <w:vertAlign w:val="baseline"/>
                      <w:lang w:val="en-US" w:eastAsia="zh-CN" w:bidi="ar-SA"/>
                    </w:rPr>
                    <w:t>不涉及</w:t>
                  </w:r>
                </w:p>
              </w:tc>
            </w:tr>
            <w:tr w14:paraId="4C1CFD02">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465" w:type="dxa"/>
                  <w:vMerge w:val="restart"/>
                  <w:vAlign w:val="center"/>
                </w:tcPr>
                <w:p w14:paraId="044FF5B1">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6</w:t>
                  </w:r>
                </w:p>
              </w:tc>
              <w:tc>
                <w:tcPr>
                  <w:tcW w:w="716" w:type="dxa"/>
                  <w:vMerge w:val="restart"/>
                  <w:vAlign w:val="center"/>
                </w:tcPr>
                <w:p w14:paraId="03C9AF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bidi="ar-SA"/>
                    </w:rPr>
                    <w:t>建材</w:t>
                  </w:r>
                </w:p>
              </w:tc>
              <w:tc>
                <w:tcPr>
                  <w:tcW w:w="1956" w:type="dxa"/>
                  <w:vMerge w:val="restart"/>
                  <w:vAlign w:val="center"/>
                </w:tcPr>
                <w:p w14:paraId="2C76FD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bidi="ar-SA"/>
                    </w:rPr>
                    <w:t>水泥制造（3011）、石灰和石膏制造（3012）、粘土砖瓦及建筑砌块制造（3031）、平板玻璃制造（3041）、建筑陶瓷制品制造（3071）</w:t>
                  </w:r>
                </w:p>
              </w:tc>
              <w:tc>
                <w:tcPr>
                  <w:tcW w:w="2325" w:type="dxa"/>
                  <w:vAlign w:val="center"/>
                </w:tcPr>
                <w:p w14:paraId="4F0A8001">
                  <w:pPr>
                    <w:pStyle w:val="285"/>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firstLine="0" w:firstLineChars="0"/>
                    <w:textAlignment w:val="auto"/>
                    <w:rPr>
                      <w:rFonts w:hint="eastAsia" w:ascii="Times New Roman" w:hAnsi="Times New Roman" w:eastAsia="宋体" w:cs="Times New Roman"/>
                      <w:color w:val="auto"/>
                      <w:kern w:val="0"/>
                      <w:sz w:val="21"/>
                      <w:szCs w:val="24"/>
                      <w:lang w:val="en-US" w:eastAsia="zh-CN" w:bidi="ar-SA"/>
                    </w:rPr>
                  </w:pPr>
                  <w:r>
                    <w:rPr>
                      <w:rFonts w:hint="default" w:ascii="Times New Roman" w:hAnsi="Times New Roman" w:cs="Times New Roman"/>
                      <w:color w:val="auto"/>
                      <w:lang w:val="en-US" w:eastAsia="zh-CN" w:bidi="ar-SA"/>
                    </w:rPr>
                    <w:t>石灰、建筑陶瓷、耐火材料、烧结砖瓦</w:t>
                  </w:r>
                </w:p>
              </w:tc>
              <w:tc>
                <w:tcPr>
                  <w:tcW w:w="899" w:type="dxa"/>
                  <w:vAlign w:val="center"/>
                </w:tcPr>
                <w:p w14:paraId="1411A7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default" w:ascii="Times New Roman" w:hAnsi="Times New Roman" w:cs="Times New Roman"/>
                      <w:color w:val="auto"/>
                      <w:sz w:val="21"/>
                      <w:szCs w:val="21"/>
                      <w:vertAlign w:val="baseline"/>
                      <w:lang w:val="en-US" w:eastAsia="zh-CN" w:bidi="ar-SA"/>
                    </w:rPr>
                    <w:t>不包括资源利用项目</w:t>
                  </w:r>
                </w:p>
              </w:tc>
              <w:tc>
                <w:tcPr>
                  <w:tcW w:w="763" w:type="dxa"/>
                  <w:vAlign w:val="center"/>
                </w:tcPr>
                <w:p w14:paraId="3BD216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color w:val="auto"/>
                      <w:sz w:val="21"/>
                      <w:szCs w:val="21"/>
                      <w:vertAlign w:val="baseline"/>
                      <w:lang w:val="en-US" w:eastAsia="zh-CN" w:bidi="ar-SA"/>
                    </w:rPr>
                  </w:pPr>
                  <w:r>
                    <w:rPr>
                      <w:rFonts w:hint="eastAsia" w:cs="Times New Roman"/>
                      <w:color w:val="auto"/>
                      <w:kern w:val="2"/>
                      <w:sz w:val="21"/>
                      <w:szCs w:val="21"/>
                      <w:vertAlign w:val="baseline"/>
                      <w:lang w:val="en-US" w:eastAsia="zh-CN" w:bidi="ar-SA"/>
                    </w:rPr>
                    <w:t>不涉及</w:t>
                  </w:r>
                </w:p>
              </w:tc>
            </w:tr>
            <w:tr w14:paraId="3232E49D">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465" w:type="dxa"/>
                  <w:vMerge w:val="continue"/>
                  <w:vAlign w:val="center"/>
                </w:tcPr>
                <w:p w14:paraId="193E48C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 w:val="0"/>
                      <w:bCs w:val="0"/>
                      <w:color w:val="auto"/>
                      <w:kern w:val="0"/>
                      <w:sz w:val="21"/>
                      <w:szCs w:val="21"/>
                      <w:highlight w:val="none"/>
                      <w:u w:val="none" w:color="auto"/>
                      <w:vertAlign w:val="baseline"/>
                      <w:lang w:val="en-US" w:eastAsia="zh-CN"/>
                    </w:rPr>
                  </w:pPr>
                </w:p>
              </w:tc>
              <w:tc>
                <w:tcPr>
                  <w:tcW w:w="716" w:type="dxa"/>
                  <w:vMerge w:val="continue"/>
                  <w:vAlign w:val="center"/>
                </w:tcPr>
                <w:p w14:paraId="703EC9A9">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 w:val="0"/>
                      <w:bCs w:val="0"/>
                      <w:color w:val="auto"/>
                      <w:kern w:val="0"/>
                      <w:sz w:val="21"/>
                      <w:szCs w:val="21"/>
                      <w:highlight w:val="none"/>
                      <w:u w:val="none" w:color="auto"/>
                      <w:vertAlign w:val="baseline"/>
                      <w:lang w:val="en-US" w:eastAsia="zh-CN"/>
                    </w:rPr>
                  </w:pPr>
                </w:p>
              </w:tc>
              <w:tc>
                <w:tcPr>
                  <w:tcW w:w="1956" w:type="dxa"/>
                  <w:vMerge w:val="continue"/>
                  <w:vAlign w:val="center"/>
                </w:tcPr>
                <w:p w14:paraId="08719B1A">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 w:val="0"/>
                      <w:bCs w:val="0"/>
                      <w:color w:val="auto"/>
                      <w:kern w:val="0"/>
                      <w:sz w:val="21"/>
                      <w:szCs w:val="21"/>
                      <w:highlight w:val="none"/>
                      <w:u w:val="none" w:color="auto"/>
                      <w:vertAlign w:val="baseline"/>
                      <w:lang w:val="en-US" w:eastAsia="zh-CN"/>
                    </w:rPr>
                  </w:pPr>
                </w:p>
              </w:tc>
              <w:tc>
                <w:tcPr>
                  <w:tcW w:w="2325" w:type="dxa"/>
                  <w:vAlign w:val="center"/>
                </w:tcPr>
                <w:p w14:paraId="308618B7">
                  <w:pPr>
                    <w:pStyle w:val="285"/>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firstLine="0" w:firstLineChars="0"/>
                    <w:textAlignment w:val="auto"/>
                    <w:rPr>
                      <w:rFonts w:hint="eastAsia" w:ascii="Times New Roman" w:hAnsi="Times New Roman" w:eastAsia="宋体" w:cs="Times New Roman"/>
                      <w:color w:val="auto"/>
                      <w:kern w:val="0"/>
                      <w:sz w:val="21"/>
                      <w:szCs w:val="24"/>
                      <w:lang w:val="en-US" w:eastAsia="zh-CN" w:bidi="ar-SA"/>
                    </w:rPr>
                  </w:pPr>
                  <w:r>
                    <w:rPr>
                      <w:rFonts w:hint="default" w:ascii="Times New Roman" w:hAnsi="Times New Roman" w:cs="Times New Roman"/>
                      <w:color w:val="auto"/>
                      <w:lang w:val="en-US" w:eastAsia="zh-CN" w:bidi="ar-SA"/>
                    </w:rPr>
                    <w:t>水泥熟料、平板玻璃</w:t>
                  </w:r>
                </w:p>
              </w:tc>
              <w:tc>
                <w:tcPr>
                  <w:tcW w:w="899" w:type="dxa"/>
                  <w:vAlign w:val="center"/>
                </w:tcPr>
                <w:p w14:paraId="3D76CB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p>
              </w:tc>
              <w:tc>
                <w:tcPr>
                  <w:tcW w:w="763" w:type="dxa"/>
                  <w:vAlign w:val="center"/>
                </w:tcPr>
                <w:p w14:paraId="2D8551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不涉及</w:t>
                  </w:r>
                </w:p>
              </w:tc>
            </w:tr>
            <w:tr w14:paraId="48A59390">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465" w:type="dxa"/>
                  <w:vAlign w:val="center"/>
                </w:tcPr>
                <w:p w14:paraId="24295D2E">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7</w:t>
                  </w:r>
                </w:p>
              </w:tc>
              <w:tc>
                <w:tcPr>
                  <w:tcW w:w="716" w:type="dxa"/>
                  <w:vAlign w:val="center"/>
                </w:tcPr>
                <w:p w14:paraId="7876073B">
                  <w:pPr>
                    <w:pStyle w:val="285"/>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firstLine="0" w:firstLineChars="0"/>
                    <w:textAlignment w:val="auto"/>
                    <w:rPr>
                      <w:rFonts w:hint="eastAsia" w:ascii="Times New Roman" w:hAnsi="Times New Roman" w:eastAsia="宋体" w:cs="Times New Roman"/>
                      <w:color w:val="auto"/>
                      <w:kern w:val="0"/>
                      <w:sz w:val="21"/>
                      <w:szCs w:val="24"/>
                      <w:lang w:val="en-US" w:eastAsia="zh-CN" w:bidi="ar-SA"/>
                    </w:rPr>
                  </w:pPr>
                  <w:r>
                    <w:rPr>
                      <w:rFonts w:hint="default" w:ascii="Times New Roman" w:hAnsi="Times New Roman" w:cs="Times New Roman"/>
                      <w:color w:val="auto"/>
                      <w:lang w:val="en-US" w:eastAsia="zh-CN" w:bidi="ar-SA"/>
                    </w:rPr>
                    <w:t>有色</w:t>
                  </w:r>
                </w:p>
              </w:tc>
              <w:tc>
                <w:tcPr>
                  <w:tcW w:w="1956" w:type="dxa"/>
                  <w:vAlign w:val="center"/>
                </w:tcPr>
                <w:p w14:paraId="72D3A694">
                  <w:pPr>
                    <w:pStyle w:val="285"/>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firstLine="0" w:firstLineChars="0"/>
                    <w:textAlignment w:val="auto"/>
                    <w:rPr>
                      <w:rFonts w:hint="eastAsia" w:ascii="Times New Roman" w:hAnsi="Times New Roman" w:eastAsia="宋体" w:cs="Times New Roman"/>
                      <w:color w:val="auto"/>
                      <w:kern w:val="0"/>
                      <w:sz w:val="21"/>
                      <w:szCs w:val="24"/>
                      <w:lang w:val="en-US" w:eastAsia="zh-CN" w:bidi="ar-SA"/>
                    </w:rPr>
                  </w:pPr>
                  <w:r>
                    <w:rPr>
                      <w:rFonts w:hint="default" w:ascii="Times New Roman" w:hAnsi="Times New Roman" w:cs="Times New Roman"/>
                      <w:color w:val="auto"/>
                      <w:lang w:val="en-US" w:eastAsia="zh-CN" w:bidi="ar-SA"/>
                    </w:rPr>
                    <w:t>铜冶炼（3211）、铅锌冶炼（3212）、锑冶炼（3215）、铝冶炼（3216）、硅冶炼（3218）</w:t>
                  </w:r>
                </w:p>
              </w:tc>
              <w:tc>
                <w:tcPr>
                  <w:tcW w:w="2325" w:type="dxa"/>
                  <w:vAlign w:val="center"/>
                </w:tcPr>
                <w:p w14:paraId="3235E4E8">
                  <w:pPr>
                    <w:pStyle w:val="285"/>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firstLine="0" w:firstLineChars="0"/>
                    <w:textAlignment w:val="auto"/>
                    <w:rPr>
                      <w:rFonts w:hint="eastAsia" w:ascii="Times New Roman" w:hAnsi="Times New Roman" w:eastAsia="宋体" w:cs="Times New Roman"/>
                      <w:color w:val="auto"/>
                      <w:kern w:val="0"/>
                      <w:sz w:val="21"/>
                      <w:szCs w:val="24"/>
                      <w:lang w:val="en-US" w:eastAsia="zh-CN" w:bidi="ar-SA"/>
                    </w:rPr>
                  </w:pPr>
                  <w:r>
                    <w:rPr>
                      <w:rFonts w:hint="default" w:ascii="Times New Roman" w:hAnsi="Times New Roman" w:cs="Times New Roman"/>
                      <w:color w:val="auto"/>
                      <w:lang w:val="en-US" w:eastAsia="zh-CN" w:bidi="ar-SA"/>
                    </w:rPr>
                    <w:t>铜、铅锌、锑、铝、硅冶炼</w:t>
                  </w:r>
                </w:p>
              </w:tc>
              <w:tc>
                <w:tcPr>
                  <w:tcW w:w="899" w:type="dxa"/>
                  <w:vAlign w:val="center"/>
                </w:tcPr>
                <w:p w14:paraId="24E3E9F5">
                  <w:pPr>
                    <w:pStyle w:val="285"/>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firstLine="0" w:firstLineChars="0"/>
                    <w:textAlignment w:val="auto"/>
                    <w:rPr>
                      <w:rFonts w:hint="eastAsia" w:ascii="Times New Roman" w:hAnsi="Times New Roman" w:eastAsia="宋体" w:cs="Times New Roman"/>
                      <w:color w:val="auto"/>
                      <w:kern w:val="0"/>
                      <w:sz w:val="21"/>
                      <w:szCs w:val="24"/>
                      <w:lang w:val="en-US" w:eastAsia="zh-CN" w:bidi="ar-SA"/>
                    </w:rPr>
                  </w:pPr>
                  <w:r>
                    <w:rPr>
                      <w:rFonts w:hint="default" w:ascii="Times New Roman" w:hAnsi="Times New Roman" w:cs="Times New Roman"/>
                      <w:color w:val="auto"/>
                      <w:lang w:val="en-US" w:eastAsia="zh-CN" w:bidi="ar-SA"/>
                    </w:rPr>
                    <w:t>不包括再生有色资源冶炼项目。</w:t>
                  </w:r>
                </w:p>
              </w:tc>
              <w:tc>
                <w:tcPr>
                  <w:tcW w:w="763" w:type="dxa"/>
                  <w:vAlign w:val="center"/>
                </w:tcPr>
                <w:p w14:paraId="16F66257">
                  <w:pPr>
                    <w:keepNext w:val="0"/>
                    <w:keepLines w:val="0"/>
                    <w:pageBreakBefore w:val="0"/>
                    <w:widowControl w:val="0"/>
                    <w:suppressLineNumbers w:val="0"/>
                    <w:kinsoku/>
                    <w:wordWrap/>
                    <w:overflowPunct/>
                    <w:topLinePunct w:val="0"/>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cs="Times New Roman"/>
                      <w:color w:val="auto"/>
                      <w:lang w:val="en-US" w:eastAsia="zh-CN" w:bidi="ar-SA"/>
                    </w:rPr>
                  </w:pPr>
                  <w:r>
                    <w:rPr>
                      <w:rFonts w:hint="eastAsia" w:cs="Times New Roman"/>
                      <w:color w:val="auto"/>
                      <w:kern w:val="2"/>
                      <w:sz w:val="21"/>
                      <w:szCs w:val="21"/>
                      <w:vertAlign w:val="baseline"/>
                      <w:lang w:val="en-US" w:eastAsia="zh-CN" w:bidi="ar-SA"/>
                    </w:rPr>
                    <w:t>不涉及</w:t>
                  </w:r>
                </w:p>
              </w:tc>
            </w:tr>
            <w:tr w14:paraId="65B56815">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465" w:type="dxa"/>
                  <w:vAlign w:val="center"/>
                </w:tcPr>
                <w:p w14:paraId="6FB0F602">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8</w:t>
                  </w:r>
                </w:p>
              </w:tc>
              <w:tc>
                <w:tcPr>
                  <w:tcW w:w="716" w:type="dxa"/>
                  <w:vAlign w:val="center"/>
                </w:tcPr>
                <w:p w14:paraId="4BF74AB0">
                  <w:pPr>
                    <w:pStyle w:val="285"/>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firstLine="0" w:firstLineChars="0"/>
                    <w:textAlignment w:val="auto"/>
                    <w:rPr>
                      <w:rFonts w:hint="eastAsia" w:ascii="Times New Roman" w:hAnsi="Times New Roman" w:eastAsia="宋体" w:cs="Times New Roman"/>
                      <w:color w:val="auto"/>
                      <w:kern w:val="0"/>
                      <w:sz w:val="21"/>
                      <w:szCs w:val="24"/>
                      <w:lang w:val="en-US" w:eastAsia="zh-CN" w:bidi="ar-SA"/>
                    </w:rPr>
                  </w:pPr>
                  <w:r>
                    <w:rPr>
                      <w:rFonts w:hint="default" w:ascii="Times New Roman" w:hAnsi="Times New Roman" w:cs="Times New Roman"/>
                      <w:color w:val="auto"/>
                      <w:lang w:val="en-US" w:eastAsia="zh-CN" w:bidi="ar-SA"/>
                    </w:rPr>
                    <w:t>煤电</w:t>
                  </w:r>
                </w:p>
              </w:tc>
              <w:tc>
                <w:tcPr>
                  <w:tcW w:w="1956" w:type="dxa"/>
                  <w:vAlign w:val="center"/>
                </w:tcPr>
                <w:p w14:paraId="78ABD705">
                  <w:pPr>
                    <w:pStyle w:val="285"/>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firstLine="0" w:firstLineChars="0"/>
                    <w:textAlignment w:val="auto"/>
                    <w:rPr>
                      <w:rFonts w:hint="eastAsia" w:ascii="Times New Roman" w:hAnsi="Times New Roman" w:eastAsia="宋体" w:cs="Times New Roman"/>
                      <w:color w:val="auto"/>
                      <w:kern w:val="0"/>
                      <w:sz w:val="21"/>
                      <w:szCs w:val="24"/>
                      <w:lang w:val="en-US" w:eastAsia="zh-CN" w:bidi="ar-SA"/>
                    </w:rPr>
                  </w:pPr>
                  <w:r>
                    <w:rPr>
                      <w:rFonts w:hint="default" w:ascii="Times New Roman" w:hAnsi="Times New Roman" w:cs="Times New Roman"/>
                      <w:color w:val="auto"/>
                      <w:lang w:val="en-US" w:eastAsia="zh-CN" w:bidi="ar-SA"/>
                    </w:rPr>
                    <w:t>火力发电（4411）、热电联产（4412）</w:t>
                  </w:r>
                </w:p>
              </w:tc>
              <w:tc>
                <w:tcPr>
                  <w:tcW w:w="2325" w:type="dxa"/>
                  <w:vAlign w:val="center"/>
                </w:tcPr>
                <w:p w14:paraId="26D65913">
                  <w:pPr>
                    <w:pStyle w:val="285"/>
                    <w:keepNext w:val="0"/>
                    <w:keepLines w:val="0"/>
                    <w:pageBreakBefore w:val="0"/>
                    <w:widowControl w:val="0"/>
                    <w:suppressLineNumbers w:val="0"/>
                    <w:kinsoku/>
                    <w:wordWrap/>
                    <w:overflowPunct/>
                    <w:topLinePunct w:val="0"/>
                    <w:bidi w:val="0"/>
                    <w:spacing w:before="0" w:beforeAutospacing="0" w:after="0" w:afterAutospacing="0"/>
                    <w:ind w:left="0" w:leftChars="0" w:right="0" w:rightChars="0" w:firstLine="0" w:firstLineChars="0"/>
                    <w:textAlignment w:val="auto"/>
                    <w:rPr>
                      <w:rFonts w:hint="eastAsia" w:ascii="Times New Roman" w:hAnsi="Times New Roman" w:eastAsia="宋体" w:cs="Times New Roman"/>
                      <w:color w:val="auto"/>
                      <w:kern w:val="0"/>
                      <w:sz w:val="21"/>
                      <w:szCs w:val="24"/>
                      <w:lang w:val="en-US" w:eastAsia="zh-CN" w:bidi="ar-SA"/>
                    </w:rPr>
                  </w:pPr>
                  <w:r>
                    <w:rPr>
                      <w:rFonts w:hint="default" w:ascii="Times New Roman" w:hAnsi="Times New Roman" w:cs="Times New Roman"/>
                      <w:color w:val="auto"/>
                      <w:lang w:val="en-US" w:eastAsia="zh-CN" w:bidi="ar-SA"/>
                    </w:rPr>
                    <w:t>燃煤发电、燃煤热电联产</w:t>
                  </w:r>
                </w:p>
              </w:tc>
              <w:tc>
                <w:tcPr>
                  <w:tcW w:w="899" w:type="dxa"/>
                  <w:vAlign w:val="center"/>
                </w:tcPr>
                <w:p w14:paraId="6EC50A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p>
              </w:tc>
              <w:tc>
                <w:tcPr>
                  <w:tcW w:w="763" w:type="dxa"/>
                  <w:vAlign w:val="center"/>
                </w:tcPr>
                <w:p w14:paraId="12E465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vertAlign w:val="baseline"/>
                      <w:lang w:val="en-US" w:eastAsia="zh-CN" w:bidi="ar-SA"/>
                    </w:rPr>
                  </w:pPr>
                  <w:r>
                    <w:rPr>
                      <w:rFonts w:hint="eastAsia" w:cs="Times New Roman"/>
                      <w:color w:val="auto"/>
                      <w:kern w:val="2"/>
                      <w:sz w:val="21"/>
                      <w:szCs w:val="21"/>
                      <w:vertAlign w:val="baseline"/>
                      <w:lang w:val="en-US" w:eastAsia="zh-CN" w:bidi="ar-SA"/>
                    </w:rPr>
                    <w:t>不涉及</w:t>
                  </w:r>
                </w:p>
              </w:tc>
            </w:tr>
            <w:tr w14:paraId="6687A402">
              <w:tblPrEx>
                <w:tblBorders>
                  <w:top w:val="single" w:color="000000" w:sz="12" w:space="0"/>
                  <w:left w:val="single" w:color="000000" w:sz="12" w:space="0"/>
                  <w:bottom w:val="single" w:color="000000" w:sz="12" w:space="0"/>
                  <w:right w:val="single" w:color="000000" w:sz="12" w:space="0"/>
                  <w:insideH w:val="single" w:color="auto" w:sz="4" w:space="0"/>
                  <w:insideV w:val="single" w:color="auto" w:sz="4" w:space="0"/>
                </w:tblBorders>
                <w:tblCellMar>
                  <w:top w:w="0" w:type="dxa"/>
                  <w:left w:w="108" w:type="dxa"/>
                  <w:bottom w:w="0" w:type="dxa"/>
                  <w:right w:w="108" w:type="dxa"/>
                </w:tblCellMar>
              </w:tblPrEx>
              <w:tc>
                <w:tcPr>
                  <w:tcW w:w="465" w:type="dxa"/>
                  <w:vAlign w:val="center"/>
                </w:tcPr>
                <w:p w14:paraId="2DFA12FD">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default"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9</w:t>
                  </w:r>
                </w:p>
              </w:tc>
              <w:tc>
                <w:tcPr>
                  <w:tcW w:w="6659" w:type="dxa"/>
                  <w:gridSpan w:val="5"/>
                  <w:vAlign w:val="center"/>
                </w:tcPr>
                <w:p w14:paraId="2BF06777">
                  <w:pPr>
                    <w:keepNext w:val="0"/>
                    <w:keepLines w:val="0"/>
                    <w:pageBreakBefore w:val="0"/>
                    <w:widowControl w:val="0"/>
                    <w:kinsoku/>
                    <w:wordWrap/>
                    <w:overflowPunct/>
                    <w:topLinePunct w:val="0"/>
                    <w:autoSpaceDE w:val="0"/>
                    <w:autoSpaceDN w:val="0"/>
                    <w:bidi w:val="0"/>
                    <w:adjustRightInd w:val="0"/>
                    <w:snapToGrid w:val="0"/>
                    <w:spacing w:line="240" w:lineRule="auto"/>
                    <w:jc w:val="center"/>
                    <w:textAlignment w:val="auto"/>
                    <w:rPr>
                      <w:rFonts w:hint="eastAsia" w:cs="Times New Roman"/>
                      <w:b w:val="0"/>
                      <w:bCs w:val="0"/>
                      <w:color w:val="auto"/>
                      <w:kern w:val="0"/>
                      <w:sz w:val="21"/>
                      <w:szCs w:val="21"/>
                      <w:highlight w:val="none"/>
                      <w:u w:val="none" w:color="auto"/>
                      <w:vertAlign w:val="baseline"/>
                      <w:lang w:val="en-US" w:eastAsia="zh-CN"/>
                    </w:rPr>
                  </w:pPr>
                  <w:r>
                    <w:rPr>
                      <w:rFonts w:hint="default" w:ascii="Times New Roman" w:hAnsi="Times New Roman" w:cs="Times New Roman"/>
                      <w:color w:val="auto"/>
                      <w:sz w:val="21"/>
                      <w:szCs w:val="21"/>
                      <w:vertAlign w:val="baseline"/>
                      <w:lang w:val="en-US" w:eastAsia="zh-CN" w:bidi="ar-SA"/>
                    </w:rPr>
                    <w:t>涉煤及煤制品、石油焦、渣油、重油等高污染燃料使用工业炉窑、锅炉的项目</w:t>
                  </w:r>
                </w:p>
              </w:tc>
            </w:tr>
          </w:tbl>
          <w:p w14:paraId="36C870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textAlignment w:val="auto"/>
              <w:rPr>
                <w:rFonts w:hint="default" w:ascii="Times New Roman" w:hAnsi="Times New Roman" w:eastAsia="宋体" w:cs="Times New Roman"/>
                <w:b/>
                <w:bCs/>
                <w:color w:val="auto"/>
                <w:sz w:val="24"/>
                <w:szCs w:val="24"/>
                <w:highlight w:val="none"/>
                <w:u w:val="none"/>
                <w:lang w:val="en-US" w:eastAsia="zh-CN"/>
              </w:rPr>
            </w:pPr>
            <w:r>
              <w:rPr>
                <w:rFonts w:hint="eastAsia" w:cs="Times New Roman"/>
                <w:b/>
                <w:bCs/>
                <w:color w:val="auto"/>
                <w:sz w:val="24"/>
                <w:szCs w:val="24"/>
                <w:highlight w:val="none"/>
                <w:u w:val="none"/>
                <w:lang w:val="en-US" w:eastAsia="zh-CN"/>
              </w:rPr>
              <w:t>5</w:t>
            </w:r>
            <w:r>
              <w:rPr>
                <w:rFonts w:hint="default" w:ascii="Times New Roman" w:hAnsi="Times New Roman" w:eastAsia="宋体" w:cs="Times New Roman"/>
                <w:b/>
                <w:bCs/>
                <w:color w:val="auto"/>
                <w:sz w:val="24"/>
                <w:szCs w:val="24"/>
                <w:highlight w:val="none"/>
                <w:u w:val="none"/>
                <w:lang w:val="en-US" w:eastAsia="zh-CN"/>
              </w:rPr>
              <w:t>、与“汨罗市人民政府办公室关于印发《汨罗市高污染燃料禁燃区划定工作方案》的通知”符合性分析</w:t>
            </w:r>
          </w:p>
          <w:p w14:paraId="531499C8">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0" w:firstLineChars="200"/>
              <w:textAlignment w:val="auto"/>
              <w:rPr>
                <w:rFonts w:hint="default" w:ascii="Times New Roman" w:hAnsi="Times New Roman" w:cs="Times New Roman"/>
                <w:color w:val="auto"/>
                <w:szCs w:val="21"/>
              </w:rPr>
            </w:pPr>
            <w:r>
              <w:rPr>
                <w:rFonts w:hint="default" w:ascii="Times New Roman" w:hAnsi="Times New Roman" w:cs="Times New Roman"/>
                <w:color w:val="auto"/>
                <w:sz w:val="24"/>
                <w:szCs w:val="24"/>
                <w:u w:val="none"/>
                <w:lang w:val="en-US" w:eastAsia="zh-CN"/>
              </w:rPr>
              <w:t>《汨罗市高污染燃料禁燃区划定工作方案》中，对燃料组合的管控要求及符合情况分析如下：</w:t>
            </w:r>
          </w:p>
          <w:p w14:paraId="2FBA88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Cs w:val="21"/>
                <w:lang w:val="en-US" w:eastAsia="zh-CN"/>
              </w:rPr>
            </w:pPr>
            <w:r>
              <w:rPr>
                <w:rFonts w:hint="default" w:ascii="Times New Roman" w:hAnsi="Times New Roman" w:cs="Times New Roman"/>
                <w:b/>
                <w:bCs/>
                <w:color w:val="auto"/>
                <w:sz w:val="21"/>
                <w:szCs w:val="21"/>
                <w:lang w:val="en-US" w:eastAsia="zh-CN"/>
              </w:rPr>
              <w:t>表1-</w:t>
            </w:r>
            <w:r>
              <w:rPr>
                <w:rFonts w:hint="eastAsia" w:cs="Times New Roman"/>
                <w:b/>
                <w:bCs/>
                <w:color w:val="auto"/>
                <w:sz w:val="21"/>
                <w:szCs w:val="21"/>
                <w:lang w:val="en-US" w:eastAsia="zh-CN"/>
              </w:rPr>
              <w:t>4</w:t>
            </w:r>
            <w:r>
              <w:rPr>
                <w:rFonts w:hint="default" w:ascii="Times New Roman" w:hAnsi="Times New Roman" w:cs="Times New Roman"/>
                <w:b/>
                <w:bCs/>
                <w:color w:val="auto"/>
                <w:sz w:val="21"/>
                <w:szCs w:val="21"/>
                <w:lang w:val="en-US" w:eastAsia="zh-CN"/>
              </w:rPr>
              <w:t xml:space="preserve"> 与《汨罗市高污染燃料禁燃区划定工作方案》符合性分析</w:t>
            </w:r>
            <w:r>
              <w:rPr>
                <w:rFonts w:hint="eastAsia" w:ascii="Times New Roman" w:hAnsi="Times New Roman" w:cs="Times New Roman"/>
                <w:b/>
                <w:bCs/>
                <w:color w:val="auto"/>
                <w:sz w:val="21"/>
                <w:szCs w:val="21"/>
                <w:lang w:val="en-US" w:eastAsia="zh-CN"/>
              </w:rPr>
              <w:t>一览表</w:t>
            </w:r>
          </w:p>
          <w:tbl>
            <w:tblPr>
              <w:tblStyle w:val="42"/>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83"/>
              <w:gridCol w:w="1724"/>
              <w:gridCol w:w="1783"/>
              <w:gridCol w:w="1783"/>
              <w:gridCol w:w="918"/>
            </w:tblGrid>
            <w:tr w14:paraId="5BAE4C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3" w:type="dxa"/>
                  <w:tcBorders>
                    <w:tl2br w:val="nil"/>
                    <w:tr2bl w:val="nil"/>
                  </w:tcBorders>
                  <w:noWrap w:val="0"/>
                  <w:vAlign w:val="center"/>
                </w:tcPr>
                <w:p w14:paraId="0DD75D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燃料组合</w:t>
                  </w:r>
                </w:p>
              </w:tc>
              <w:tc>
                <w:tcPr>
                  <w:tcW w:w="1724" w:type="dxa"/>
                  <w:tcBorders>
                    <w:tl2br w:val="nil"/>
                    <w:tr2bl w:val="nil"/>
                  </w:tcBorders>
                  <w:noWrap w:val="0"/>
                  <w:vAlign w:val="center"/>
                </w:tcPr>
                <w:p w14:paraId="19ACDD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管控要求</w:t>
                  </w:r>
                </w:p>
              </w:tc>
              <w:tc>
                <w:tcPr>
                  <w:tcW w:w="1783" w:type="dxa"/>
                  <w:tcBorders>
                    <w:tl2br w:val="nil"/>
                    <w:tr2bl w:val="nil"/>
                  </w:tcBorders>
                  <w:noWrap w:val="0"/>
                  <w:vAlign w:val="center"/>
                </w:tcPr>
                <w:p w14:paraId="7FC4B0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禁燃区范围</w:t>
                  </w:r>
                </w:p>
              </w:tc>
              <w:tc>
                <w:tcPr>
                  <w:tcW w:w="1783" w:type="dxa"/>
                  <w:tcBorders>
                    <w:tl2br w:val="nil"/>
                    <w:tr2bl w:val="nil"/>
                  </w:tcBorders>
                  <w:noWrap w:val="0"/>
                  <w:vAlign w:val="center"/>
                </w:tcPr>
                <w:p w14:paraId="236A90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本项目情况</w:t>
                  </w:r>
                </w:p>
              </w:tc>
              <w:tc>
                <w:tcPr>
                  <w:tcW w:w="918" w:type="dxa"/>
                  <w:tcBorders>
                    <w:tl2br w:val="nil"/>
                    <w:tr2bl w:val="nil"/>
                  </w:tcBorders>
                  <w:noWrap w:val="0"/>
                  <w:vAlign w:val="center"/>
                </w:tcPr>
                <w:p w14:paraId="22CC73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符合性</w:t>
                  </w:r>
                </w:p>
              </w:tc>
            </w:tr>
            <w:tr w14:paraId="4AE5EC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83" w:type="dxa"/>
                  <w:tcBorders>
                    <w:tl2br w:val="nil"/>
                    <w:tr2bl w:val="nil"/>
                  </w:tcBorders>
                  <w:noWrap w:val="0"/>
                  <w:vAlign w:val="center"/>
                </w:tcPr>
                <w:p w14:paraId="101AB1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kern w:val="2"/>
                      <w:sz w:val="21"/>
                      <w:szCs w:val="21"/>
                      <w:highlight w:val="none"/>
                      <w:u w:val="none"/>
                      <w:lang w:val="en-US" w:eastAsia="zh-CN" w:bidi="ar-SA"/>
                    </w:rPr>
                  </w:pPr>
                  <w:r>
                    <w:rPr>
                      <w:rFonts w:hint="default" w:ascii="Times New Roman" w:hAnsi="Times New Roman" w:eastAsia="宋体" w:cs="Times New Roman"/>
                      <w:b/>
                      <w:bCs/>
                      <w:color w:val="auto"/>
                      <w:kern w:val="2"/>
                      <w:sz w:val="21"/>
                      <w:szCs w:val="21"/>
                      <w:highlight w:val="none"/>
                      <w:u w:val="none"/>
                      <w:lang w:val="en-US" w:eastAsia="zh-CN" w:bidi="ar-SA"/>
                    </w:rPr>
                    <w:t>I</w:t>
                  </w:r>
                </w:p>
              </w:tc>
              <w:tc>
                <w:tcPr>
                  <w:tcW w:w="1724" w:type="dxa"/>
                  <w:tcBorders>
                    <w:tl2br w:val="nil"/>
                    <w:tr2bl w:val="nil"/>
                  </w:tcBorders>
                  <w:noWrap w:val="0"/>
                  <w:vAlign w:val="center"/>
                </w:tcPr>
                <w:p w14:paraId="4190BE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default" w:ascii="Times New Roman" w:hAnsi="Times New Roman" w:eastAsia="宋体" w:cs="Times New Roman"/>
                      <w:b w:val="0"/>
                      <w:bCs w:val="0"/>
                      <w:color w:val="auto"/>
                      <w:kern w:val="2"/>
                      <w:sz w:val="21"/>
                      <w:szCs w:val="21"/>
                      <w:highlight w:val="none"/>
                      <w:u w:val="none"/>
                      <w:lang w:val="en-US" w:eastAsia="zh-CN" w:bidi="ar-SA"/>
                    </w:rPr>
                    <w:t>单台出力小于20蒸吨/小时的锅炉和民用燃煤设备燃用的含硫量大于0.5%、灰分大于10%的煤炭及其制品(其中型煤、焦炭、兰炭的组分含量大于表1中规定的限值);石油焦、油页岩、原油、重油、渣油、煤焦油。</w:t>
                  </w:r>
                </w:p>
              </w:tc>
              <w:tc>
                <w:tcPr>
                  <w:tcW w:w="1783" w:type="dxa"/>
                  <w:tcBorders>
                    <w:tl2br w:val="nil"/>
                    <w:tr2bl w:val="nil"/>
                  </w:tcBorders>
                  <w:noWrap w:val="0"/>
                  <w:vAlign w:val="center"/>
                </w:tcPr>
                <w:p w14:paraId="1C9E9D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default" w:ascii="Times New Roman" w:hAnsi="Times New Roman" w:eastAsia="宋体" w:cs="Times New Roman"/>
                      <w:b w:val="0"/>
                      <w:bCs w:val="0"/>
                      <w:color w:val="auto"/>
                      <w:kern w:val="2"/>
                      <w:sz w:val="21"/>
                      <w:szCs w:val="21"/>
                      <w:highlight w:val="none"/>
                      <w:u w:val="none"/>
                      <w:lang w:val="en-US" w:eastAsia="zh-CN" w:bidi="ar-SA"/>
                    </w:rPr>
                    <w:t>湖南汨罗循环经济产业园区新市片区。1类高污染燃料禁燃区总面积约为 5.64km</w:t>
                  </w:r>
                  <w:r>
                    <w:rPr>
                      <w:rFonts w:hint="default" w:ascii="Times New Roman" w:hAnsi="Times New Roman" w:eastAsia="宋体" w:cs="Times New Roman"/>
                      <w:b w:val="0"/>
                      <w:bCs w:val="0"/>
                      <w:color w:val="auto"/>
                      <w:kern w:val="2"/>
                      <w:sz w:val="21"/>
                      <w:szCs w:val="21"/>
                      <w:highlight w:val="none"/>
                      <w:u w:val="none"/>
                      <w:vertAlign w:val="superscript"/>
                      <w:lang w:val="en-US" w:eastAsia="zh-CN" w:bidi="ar-SA"/>
                    </w:rPr>
                    <w:t>2</w:t>
                  </w:r>
                </w:p>
              </w:tc>
              <w:tc>
                <w:tcPr>
                  <w:tcW w:w="1783" w:type="dxa"/>
                  <w:vMerge w:val="restart"/>
                  <w:tcBorders>
                    <w:tl2br w:val="nil"/>
                    <w:tr2bl w:val="nil"/>
                  </w:tcBorders>
                  <w:noWrap w:val="0"/>
                  <w:vAlign w:val="center"/>
                </w:tcPr>
                <w:p w14:paraId="1DC029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default" w:ascii="Times New Roman" w:hAnsi="Times New Roman" w:eastAsia="宋体" w:cs="Times New Roman"/>
                      <w:b w:val="0"/>
                      <w:bCs w:val="0"/>
                      <w:color w:val="auto"/>
                      <w:kern w:val="2"/>
                      <w:sz w:val="21"/>
                      <w:szCs w:val="21"/>
                      <w:highlight w:val="none"/>
                      <w:u w:val="none"/>
                      <w:lang w:val="en-US" w:eastAsia="zh-CN" w:bidi="ar-SA"/>
                    </w:rPr>
                    <w:t>本项目位于湖南省汨罗市</w:t>
                  </w:r>
                  <w:r>
                    <w:rPr>
                      <w:rFonts w:hint="eastAsia" w:ascii="Times New Roman" w:hAnsi="Times New Roman" w:eastAsia="宋体" w:cs="Times New Roman"/>
                      <w:b w:val="0"/>
                      <w:bCs w:val="0"/>
                      <w:color w:val="auto"/>
                      <w:kern w:val="2"/>
                      <w:sz w:val="21"/>
                      <w:szCs w:val="21"/>
                      <w:highlight w:val="none"/>
                      <w:u w:val="none"/>
                      <w:lang w:val="en-US" w:eastAsia="zh-CN" w:bidi="ar-SA"/>
                    </w:rPr>
                    <w:t>大荆</w:t>
                  </w:r>
                  <w:r>
                    <w:rPr>
                      <w:rFonts w:hint="default" w:ascii="Times New Roman" w:hAnsi="Times New Roman" w:eastAsia="宋体" w:cs="Times New Roman"/>
                      <w:b w:val="0"/>
                      <w:bCs w:val="0"/>
                      <w:color w:val="auto"/>
                      <w:kern w:val="2"/>
                      <w:sz w:val="21"/>
                      <w:szCs w:val="21"/>
                      <w:highlight w:val="none"/>
                      <w:u w:val="none"/>
                      <w:lang w:val="en-US" w:eastAsia="zh-CN" w:bidi="ar-SA"/>
                    </w:rPr>
                    <w:t>镇</w:t>
                  </w:r>
                  <w:r>
                    <w:rPr>
                      <w:rFonts w:hint="eastAsia" w:ascii="Times New Roman" w:hAnsi="Times New Roman" w:eastAsia="宋体" w:cs="Times New Roman"/>
                      <w:b w:val="0"/>
                      <w:bCs w:val="0"/>
                      <w:color w:val="auto"/>
                      <w:kern w:val="2"/>
                      <w:sz w:val="21"/>
                      <w:szCs w:val="21"/>
                      <w:highlight w:val="none"/>
                      <w:u w:val="none"/>
                      <w:lang w:val="en-US" w:eastAsia="zh-CN" w:bidi="ar-SA"/>
                    </w:rPr>
                    <w:t>古仑村</w:t>
                  </w:r>
                  <w:r>
                    <w:rPr>
                      <w:rFonts w:hint="default" w:ascii="Times New Roman" w:hAnsi="Times New Roman" w:eastAsia="宋体" w:cs="Times New Roman"/>
                      <w:b w:val="0"/>
                      <w:bCs w:val="0"/>
                      <w:color w:val="auto"/>
                      <w:kern w:val="2"/>
                      <w:sz w:val="21"/>
                      <w:szCs w:val="21"/>
                      <w:highlight w:val="none"/>
                      <w:u w:val="none"/>
                      <w:lang w:val="en-US" w:eastAsia="zh-CN" w:bidi="ar-SA"/>
                    </w:rPr>
                    <w:t>，</w:t>
                  </w:r>
                  <w:r>
                    <w:rPr>
                      <w:rFonts w:hint="eastAsia" w:ascii="Times New Roman" w:hAnsi="Times New Roman" w:eastAsia="宋体" w:cs="Times New Roman"/>
                      <w:b w:val="0"/>
                      <w:bCs w:val="0"/>
                      <w:color w:val="auto"/>
                      <w:kern w:val="2"/>
                      <w:sz w:val="21"/>
                      <w:szCs w:val="21"/>
                      <w:highlight w:val="none"/>
                      <w:u w:val="none"/>
                      <w:lang w:val="en-US" w:eastAsia="zh-CN" w:bidi="ar-SA"/>
                    </w:rPr>
                    <w:t>不属于禁燃区，</w:t>
                  </w:r>
                  <w:r>
                    <w:rPr>
                      <w:rFonts w:hint="default" w:ascii="Times New Roman" w:hAnsi="Times New Roman" w:eastAsia="宋体" w:cs="Times New Roman"/>
                      <w:b w:val="0"/>
                      <w:bCs w:val="0"/>
                      <w:color w:val="auto"/>
                      <w:kern w:val="2"/>
                      <w:sz w:val="21"/>
                      <w:szCs w:val="21"/>
                      <w:highlight w:val="none"/>
                      <w:u w:val="none"/>
                      <w:lang w:val="en-US" w:eastAsia="zh-CN" w:bidi="ar-SA"/>
                    </w:rPr>
                    <w:t>建设一台2.2t/h、一台2.5t/h的生物质蒸汽发生器，不使用煤炭及其制品、石油焦、油页岩、原油、重油、渣油、煤焦油</w:t>
                  </w:r>
                  <w:r>
                    <w:rPr>
                      <w:rFonts w:hint="eastAsia" w:ascii="Times New Roman" w:hAnsi="Times New Roman" w:eastAsia="宋体" w:cs="Times New Roman"/>
                      <w:b w:val="0"/>
                      <w:bCs w:val="0"/>
                      <w:color w:val="auto"/>
                      <w:kern w:val="2"/>
                      <w:sz w:val="21"/>
                      <w:szCs w:val="21"/>
                      <w:highlight w:val="none"/>
                      <w:u w:val="none"/>
                      <w:lang w:val="en-US" w:eastAsia="zh-CN" w:bidi="ar-SA"/>
                    </w:rPr>
                    <w:t>，</w:t>
                  </w:r>
                  <w:r>
                    <w:rPr>
                      <w:rFonts w:hint="eastAsia" w:cs="Times New Roman"/>
                      <w:b w:val="0"/>
                      <w:bCs w:val="0"/>
                      <w:color w:val="auto"/>
                      <w:kern w:val="2"/>
                      <w:sz w:val="21"/>
                      <w:szCs w:val="21"/>
                      <w:highlight w:val="none"/>
                      <w:u w:val="none"/>
                      <w:lang w:val="en-US" w:eastAsia="zh-CN" w:bidi="ar-SA"/>
                    </w:rPr>
                    <w:t>蒸汽发生器</w:t>
                  </w:r>
                  <w:r>
                    <w:rPr>
                      <w:rFonts w:hint="eastAsia" w:ascii="Times New Roman" w:hAnsi="Times New Roman" w:eastAsia="宋体" w:cs="Times New Roman"/>
                      <w:b w:val="0"/>
                      <w:bCs w:val="0"/>
                      <w:color w:val="auto"/>
                      <w:kern w:val="2"/>
                      <w:sz w:val="21"/>
                      <w:szCs w:val="21"/>
                      <w:highlight w:val="none"/>
                      <w:u w:val="none"/>
                      <w:lang w:val="en-US" w:eastAsia="zh-CN" w:bidi="ar-SA"/>
                    </w:rPr>
                    <w:t>配置</w:t>
                  </w:r>
                  <w:r>
                    <w:rPr>
                      <w:rFonts w:hint="eastAsia" w:cs="Times New Roman"/>
                      <w:b w:val="0"/>
                      <w:bCs w:val="0"/>
                      <w:color w:val="auto"/>
                      <w:kern w:val="2"/>
                      <w:sz w:val="21"/>
                      <w:szCs w:val="21"/>
                      <w:highlight w:val="none"/>
                      <w:u w:val="none"/>
                      <w:lang w:val="en-US" w:eastAsia="zh-CN" w:bidi="ar-SA"/>
                    </w:rPr>
                    <w:t>高效布袋</w:t>
                  </w:r>
                  <w:r>
                    <w:rPr>
                      <w:rFonts w:hint="eastAsia" w:ascii="Times New Roman" w:hAnsi="Times New Roman" w:eastAsia="宋体" w:cs="Times New Roman"/>
                      <w:b w:val="0"/>
                      <w:bCs w:val="0"/>
                      <w:color w:val="auto"/>
                      <w:kern w:val="2"/>
                      <w:sz w:val="21"/>
                      <w:szCs w:val="21"/>
                      <w:highlight w:val="none"/>
                      <w:u w:val="none"/>
                      <w:lang w:val="en-US" w:eastAsia="zh-CN" w:bidi="ar-SA"/>
                    </w:rPr>
                    <w:t>除尘设施。</w:t>
                  </w:r>
                </w:p>
              </w:tc>
              <w:tc>
                <w:tcPr>
                  <w:tcW w:w="918" w:type="dxa"/>
                  <w:tcBorders>
                    <w:tl2br w:val="nil"/>
                    <w:tr2bl w:val="nil"/>
                  </w:tcBorders>
                  <w:noWrap w:val="0"/>
                  <w:vAlign w:val="center"/>
                </w:tcPr>
                <w:p w14:paraId="05AEC0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2"/>
                      <w:sz w:val="21"/>
                      <w:szCs w:val="21"/>
                      <w:highlight w:val="none"/>
                      <w:u w:val="none"/>
                      <w:lang w:val="en-US" w:eastAsia="zh-CN" w:bidi="ar-SA"/>
                    </w:rPr>
                  </w:pPr>
                  <w:r>
                    <w:rPr>
                      <w:rFonts w:hint="default" w:ascii="Times New Roman" w:hAnsi="Times New Roman" w:eastAsia="宋体" w:cs="Times New Roman"/>
                      <w:b w:val="0"/>
                      <w:bCs w:val="0"/>
                      <w:color w:val="auto"/>
                      <w:kern w:val="2"/>
                      <w:sz w:val="21"/>
                      <w:szCs w:val="21"/>
                      <w:highlight w:val="none"/>
                      <w:u w:val="none"/>
                      <w:lang w:val="en-US" w:eastAsia="zh-CN" w:bidi="ar-SA"/>
                    </w:rPr>
                    <w:t>不属于</w:t>
                  </w:r>
                </w:p>
              </w:tc>
            </w:tr>
            <w:tr w14:paraId="406F6C9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83" w:type="dxa"/>
                  <w:tcBorders>
                    <w:tl2br w:val="nil"/>
                    <w:tr2bl w:val="nil"/>
                  </w:tcBorders>
                  <w:noWrap w:val="0"/>
                  <w:vAlign w:val="center"/>
                </w:tcPr>
                <w:p w14:paraId="708B16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II</w:t>
                  </w:r>
                </w:p>
              </w:tc>
              <w:tc>
                <w:tcPr>
                  <w:tcW w:w="1724" w:type="dxa"/>
                  <w:tcBorders>
                    <w:tl2br w:val="nil"/>
                    <w:tr2bl w:val="nil"/>
                  </w:tcBorders>
                  <w:noWrap w:val="0"/>
                  <w:vAlign w:val="center"/>
                </w:tcPr>
                <w:p w14:paraId="168BE8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除单合出力大于等于20蒸吨/小时锅炉以外燃用的煤炭及其制品；石油焦、油页岩、原油、重油、渣油、煤焦油。</w:t>
                  </w:r>
                </w:p>
              </w:tc>
              <w:tc>
                <w:tcPr>
                  <w:tcW w:w="1783" w:type="dxa"/>
                  <w:tcBorders>
                    <w:tl2br w:val="nil"/>
                    <w:tr2bl w:val="nil"/>
                  </w:tcBorders>
                  <w:noWrap w:val="0"/>
                  <w:vAlign w:val="center"/>
                </w:tcPr>
                <w:p w14:paraId="03F558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汨罗市中心城区规划区。东至竞渡路(规划中)、南至鲁师坝路-相思塘路(规划中)、西至G240、北至S201绕城线(规划中)-江南路(规划中)-汨罗江大道(I类禁燃区除外)，Ⅱ类高污染燃料禁燃区总面积约为11.18km</w:t>
                  </w:r>
                  <w:r>
                    <w:rPr>
                      <w:rFonts w:hint="default" w:ascii="Times New Roman" w:hAnsi="Times New Roman" w:eastAsia="宋体" w:cs="Times New Roman"/>
                      <w:color w:val="auto"/>
                      <w:kern w:val="2"/>
                      <w:sz w:val="21"/>
                      <w:szCs w:val="21"/>
                      <w:highlight w:val="none"/>
                      <w:u w:val="none"/>
                      <w:vertAlign w:val="superscript"/>
                      <w:lang w:val="en-US" w:eastAsia="zh-CN" w:bidi="ar-SA"/>
                    </w:rPr>
                    <w:t>2</w:t>
                  </w:r>
                </w:p>
              </w:tc>
              <w:tc>
                <w:tcPr>
                  <w:tcW w:w="1783" w:type="dxa"/>
                  <w:vMerge w:val="continue"/>
                  <w:tcBorders>
                    <w:tl2br w:val="nil"/>
                    <w:tr2bl w:val="nil"/>
                  </w:tcBorders>
                  <w:noWrap w:val="0"/>
                  <w:vAlign w:val="center"/>
                </w:tcPr>
                <w:p w14:paraId="7E39C9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u w:val="none"/>
                      <w:lang w:val="en-US" w:eastAsia="zh-CN" w:bidi="ar-SA"/>
                    </w:rPr>
                  </w:pPr>
                </w:p>
              </w:tc>
              <w:tc>
                <w:tcPr>
                  <w:tcW w:w="918" w:type="dxa"/>
                  <w:tcBorders>
                    <w:tl2br w:val="nil"/>
                    <w:tr2bl w:val="nil"/>
                  </w:tcBorders>
                  <w:noWrap w:val="0"/>
                  <w:vAlign w:val="center"/>
                </w:tcPr>
                <w:p w14:paraId="7F96D8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不属于</w:t>
                  </w:r>
                </w:p>
              </w:tc>
            </w:tr>
            <w:tr w14:paraId="7056E0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883" w:type="dxa"/>
                  <w:tcBorders>
                    <w:tl2br w:val="nil"/>
                    <w:tr2bl w:val="nil"/>
                  </w:tcBorders>
                  <w:noWrap w:val="0"/>
                  <w:vAlign w:val="center"/>
                </w:tcPr>
                <w:p w14:paraId="68D49DC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III</w:t>
                  </w:r>
                </w:p>
              </w:tc>
              <w:tc>
                <w:tcPr>
                  <w:tcW w:w="1724" w:type="dxa"/>
                  <w:tcBorders>
                    <w:tl2br w:val="nil"/>
                    <w:tr2bl w:val="nil"/>
                  </w:tcBorders>
                  <w:noWrap w:val="0"/>
                  <w:vAlign w:val="center"/>
                </w:tcPr>
                <w:p w14:paraId="0D388F0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煤炭及其制品;石油焦、油页岩、原油、重油、渣油、煤焦油;非专用锅炉或未配置高效除尘设施的专用锅炉燃用的生物质成型燃料。</w:t>
                  </w:r>
                </w:p>
              </w:tc>
              <w:tc>
                <w:tcPr>
                  <w:tcW w:w="1783" w:type="dxa"/>
                  <w:tcBorders>
                    <w:tl2br w:val="nil"/>
                    <w:tr2bl w:val="nil"/>
                  </w:tcBorders>
                  <w:noWrap w:val="0"/>
                  <w:vAlign w:val="center"/>
                </w:tcPr>
                <w:p w14:paraId="036AFDC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汨罗市中心城区建成区。东至通江路、南至罗城大道、西至高阳路-沿湖北路-屈原大道、北至汨罗江大道，Ш类高污染燃料禁燃区总面积约为 9.8km</w:t>
                  </w:r>
                  <w:r>
                    <w:rPr>
                      <w:rFonts w:hint="default" w:ascii="Times New Roman" w:hAnsi="Times New Roman" w:eastAsia="宋体" w:cs="Times New Roman"/>
                      <w:color w:val="auto"/>
                      <w:kern w:val="2"/>
                      <w:sz w:val="21"/>
                      <w:szCs w:val="21"/>
                      <w:highlight w:val="none"/>
                      <w:u w:val="none"/>
                      <w:vertAlign w:val="superscript"/>
                      <w:lang w:val="en-US" w:eastAsia="zh-CN" w:bidi="ar-SA"/>
                    </w:rPr>
                    <w:t>2</w:t>
                  </w:r>
                </w:p>
              </w:tc>
              <w:tc>
                <w:tcPr>
                  <w:tcW w:w="1783" w:type="dxa"/>
                  <w:vMerge w:val="continue"/>
                  <w:tcBorders>
                    <w:tl2br w:val="nil"/>
                    <w:tr2bl w:val="nil"/>
                  </w:tcBorders>
                  <w:noWrap w:val="0"/>
                  <w:vAlign w:val="center"/>
                </w:tcPr>
                <w:p w14:paraId="0C37F1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u w:val="none"/>
                      <w:lang w:val="en-US" w:eastAsia="zh-CN" w:bidi="ar-SA"/>
                    </w:rPr>
                  </w:pPr>
                </w:p>
              </w:tc>
              <w:tc>
                <w:tcPr>
                  <w:tcW w:w="918" w:type="dxa"/>
                  <w:tcBorders>
                    <w:tl2br w:val="nil"/>
                    <w:tr2bl w:val="nil"/>
                  </w:tcBorders>
                  <w:noWrap w:val="0"/>
                  <w:vAlign w:val="center"/>
                </w:tcPr>
                <w:p w14:paraId="515525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2"/>
                      <w:sz w:val="21"/>
                      <w:szCs w:val="21"/>
                      <w:highlight w:val="none"/>
                      <w:u w:val="none"/>
                      <w:lang w:val="en-US" w:eastAsia="zh-CN" w:bidi="ar-SA"/>
                    </w:rPr>
                  </w:pPr>
                  <w:r>
                    <w:rPr>
                      <w:rFonts w:hint="default" w:ascii="Times New Roman" w:hAnsi="Times New Roman" w:eastAsia="宋体" w:cs="Times New Roman"/>
                      <w:color w:val="auto"/>
                      <w:kern w:val="2"/>
                      <w:sz w:val="21"/>
                      <w:szCs w:val="21"/>
                      <w:highlight w:val="none"/>
                      <w:u w:val="none"/>
                      <w:lang w:val="en-US" w:eastAsia="zh-CN" w:bidi="ar-SA"/>
                    </w:rPr>
                    <w:t>不属于</w:t>
                  </w:r>
                </w:p>
              </w:tc>
            </w:tr>
          </w:tbl>
          <w:p w14:paraId="4FEE4AD8">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u w:val="none"/>
                <w:lang w:val="en-US" w:eastAsia="zh-CN"/>
              </w:rPr>
            </w:pPr>
            <w:r>
              <w:rPr>
                <w:rFonts w:hint="default" w:ascii="Times New Roman" w:hAnsi="Times New Roman" w:cs="Times New Roman"/>
                <w:color w:val="auto"/>
                <w:sz w:val="24"/>
                <w:szCs w:val="24"/>
                <w:u w:val="none"/>
                <w:lang w:val="en-US" w:eastAsia="zh-CN"/>
              </w:rPr>
              <w:t>综上，本项目</w:t>
            </w:r>
            <w:r>
              <w:rPr>
                <w:rFonts w:hint="eastAsia" w:cs="Times New Roman"/>
                <w:color w:val="auto"/>
                <w:sz w:val="24"/>
                <w:szCs w:val="24"/>
                <w:u w:val="none"/>
                <w:lang w:val="en-US" w:eastAsia="zh-CN"/>
              </w:rPr>
              <w:t>不位于禁燃区</w:t>
            </w:r>
            <w:r>
              <w:rPr>
                <w:rFonts w:hint="default" w:ascii="Times New Roman" w:hAnsi="Times New Roman" w:cs="Times New Roman"/>
                <w:color w:val="auto"/>
                <w:sz w:val="24"/>
                <w:szCs w:val="24"/>
                <w:u w:val="none"/>
                <w:lang w:val="en-US" w:eastAsia="zh-CN"/>
              </w:rPr>
              <w:t>，</w:t>
            </w:r>
            <w:r>
              <w:rPr>
                <w:rFonts w:hint="eastAsia" w:cs="Times New Roman"/>
                <w:color w:val="auto"/>
                <w:sz w:val="24"/>
                <w:szCs w:val="24"/>
                <w:u w:val="none"/>
                <w:lang w:val="en-US" w:eastAsia="zh-CN"/>
              </w:rPr>
              <w:t>使用生物质成型燃料的蒸汽发生器配置高效布袋除尘设施</w:t>
            </w:r>
            <w:r>
              <w:rPr>
                <w:rFonts w:hint="default" w:ascii="Times New Roman" w:hAnsi="Times New Roman" w:cs="Times New Roman"/>
                <w:color w:val="auto"/>
                <w:sz w:val="24"/>
                <w:szCs w:val="24"/>
                <w:u w:val="none"/>
                <w:lang w:val="en-US" w:eastAsia="zh-CN"/>
              </w:rPr>
              <w:t>，因此本项目符合相关要求。</w:t>
            </w:r>
          </w:p>
          <w:p w14:paraId="3F760D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textAlignment w:val="auto"/>
              <w:rPr>
                <w:rFonts w:hint="default" w:ascii="Times New Roman" w:hAnsi="Times New Roman" w:eastAsia="宋体" w:cs="Times New Roman"/>
                <w:b/>
                <w:bCs/>
                <w:color w:val="auto"/>
                <w:sz w:val="24"/>
                <w:szCs w:val="24"/>
                <w:highlight w:val="none"/>
                <w:u w:val="none"/>
                <w:lang w:val="en-US" w:eastAsia="zh-CN"/>
              </w:rPr>
            </w:pPr>
            <w:r>
              <w:rPr>
                <w:rFonts w:hint="eastAsia" w:cs="Times New Roman"/>
                <w:b/>
                <w:bCs/>
                <w:color w:val="auto"/>
                <w:sz w:val="24"/>
                <w:szCs w:val="24"/>
                <w:highlight w:val="none"/>
                <w:u w:val="none"/>
                <w:lang w:val="en-US" w:eastAsia="zh-CN"/>
              </w:rPr>
              <w:t>6</w:t>
            </w:r>
            <w:r>
              <w:rPr>
                <w:rFonts w:hint="default" w:ascii="Times New Roman" w:hAnsi="Times New Roman" w:eastAsia="宋体" w:cs="Times New Roman"/>
                <w:b/>
                <w:bCs/>
                <w:color w:val="auto"/>
                <w:sz w:val="24"/>
                <w:szCs w:val="24"/>
                <w:highlight w:val="none"/>
                <w:u w:val="none"/>
                <w:lang w:val="en-US" w:eastAsia="zh-CN"/>
              </w:rPr>
              <w:t>、与《湖南省大气污染防治“守护蓝天”攻坚行动计划（2023—2025年）》相符性分析</w:t>
            </w:r>
          </w:p>
          <w:p w14:paraId="6B392C13">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u w:val="none"/>
                <w:lang w:val="en-US" w:eastAsia="zh-CN"/>
              </w:rPr>
            </w:pPr>
            <w:r>
              <w:rPr>
                <w:rFonts w:hint="default" w:ascii="Times New Roman" w:hAnsi="Times New Roman" w:eastAsia="宋体" w:cs="Times New Roman"/>
                <w:color w:val="auto"/>
                <w:sz w:val="24"/>
                <w:szCs w:val="24"/>
                <w:u w:val="none"/>
                <w:lang w:val="en-US" w:eastAsia="zh-CN"/>
              </w:rPr>
              <w:t>本项目与《湖南省大气污染防治“守护蓝天”攻坚行动计划（2023—2025年）》的相符性如下：</w:t>
            </w:r>
          </w:p>
          <w:p w14:paraId="49852CDD">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sz w:val="21"/>
                <w:szCs w:val="24"/>
                <w:u w:val="none"/>
                <w:lang w:val="en-US" w:eastAsia="zh-CN"/>
              </w:rPr>
            </w:pPr>
            <w:r>
              <w:rPr>
                <w:rFonts w:hint="default" w:ascii="Times New Roman" w:hAnsi="Times New Roman" w:eastAsia="宋体" w:cs="Times New Roman"/>
                <w:b/>
                <w:color w:val="auto"/>
                <w:kern w:val="0"/>
                <w:sz w:val="21"/>
                <w:szCs w:val="21"/>
                <w:u w:val="none"/>
                <w:lang w:bidi="ar"/>
              </w:rPr>
              <w:t>表</w:t>
            </w:r>
            <w:r>
              <w:rPr>
                <w:rFonts w:hint="default" w:ascii="Times New Roman" w:hAnsi="Times New Roman" w:eastAsia="宋体" w:cs="Times New Roman"/>
                <w:b/>
                <w:color w:val="auto"/>
                <w:sz w:val="21"/>
                <w:szCs w:val="21"/>
                <w:u w:val="none"/>
              </w:rPr>
              <w:t>1-</w:t>
            </w:r>
            <w:r>
              <w:rPr>
                <w:rFonts w:hint="eastAsia" w:cs="Times New Roman"/>
                <w:b/>
                <w:color w:val="auto"/>
                <w:sz w:val="21"/>
                <w:szCs w:val="21"/>
                <w:u w:val="none"/>
                <w:lang w:val="en-US" w:eastAsia="zh-CN"/>
              </w:rPr>
              <w:t>5</w:t>
            </w:r>
            <w:r>
              <w:rPr>
                <w:rFonts w:hint="default" w:ascii="Times New Roman" w:hAnsi="Times New Roman" w:eastAsia="宋体" w:cs="Times New Roman"/>
                <w:b/>
                <w:color w:val="auto"/>
                <w:sz w:val="21"/>
                <w:szCs w:val="21"/>
                <w:u w:val="none"/>
              </w:rPr>
              <w:t xml:space="preserve"> </w:t>
            </w:r>
            <w:r>
              <w:rPr>
                <w:rFonts w:hint="eastAsia" w:ascii="Times New Roman" w:hAnsi="Times New Roman" w:cs="Times New Roman"/>
                <w:b/>
                <w:color w:val="auto"/>
                <w:sz w:val="21"/>
                <w:szCs w:val="21"/>
                <w:u w:val="none"/>
                <w:lang w:val="en-US" w:eastAsia="zh-CN"/>
              </w:rPr>
              <w:t>与</w:t>
            </w:r>
            <w:r>
              <w:rPr>
                <w:rFonts w:hint="default" w:ascii="Times New Roman" w:hAnsi="Times New Roman" w:eastAsia="宋体" w:cs="Times New Roman"/>
                <w:b/>
                <w:color w:val="auto"/>
                <w:kern w:val="0"/>
                <w:sz w:val="21"/>
                <w:szCs w:val="21"/>
                <w:u w:val="none"/>
                <w:lang w:bidi="ar"/>
              </w:rPr>
              <w:t>《湖南省大气污染防治“守护蓝天”攻坚行动计划（2023—2025年）》</w:t>
            </w:r>
            <w:r>
              <w:rPr>
                <w:rFonts w:hint="eastAsia" w:ascii="Times New Roman" w:hAnsi="Times New Roman" w:cs="Times New Roman"/>
                <w:b/>
                <w:color w:val="auto"/>
                <w:kern w:val="0"/>
                <w:sz w:val="21"/>
                <w:szCs w:val="21"/>
                <w:u w:val="none"/>
                <w:lang w:val="en-US" w:eastAsia="zh-CN" w:bidi="ar"/>
              </w:rPr>
              <w:t>符合性分析一览表</w:t>
            </w:r>
          </w:p>
          <w:tbl>
            <w:tblPr>
              <w:tblStyle w:val="42"/>
              <w:tblW w:w="7021"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64"/>
              <w:gridCol w:w="2982"/>
              <w:gridCol w:w="2525"/>
              <w:gridCol w:w="850"/>
            </w:tblGrid>
            <w:tr w14:paraId="6819B2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64" w:type="dxa"/>
                  <w:tcBorders>
                    <w:bottom w:val="single" w:color="auto" w:sz="4" w:space="0"/>
                    <w:right w:val="single" w:color="auto" w:sz="4" w:space="0"/>
                    <w:tl2br w:val="nil"/>
                    <w:tr2bl w:val="nil"/>
                  </w:tcBorders>
                  <w:noWrap w:val="0"/>
                  <w:vAlign w:val="center"/>
                </w:tcPr>
                <w:p w14:paraId="496BD994">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lang w:bidi="ar"/>
                    </w:rPr>
                  </w:pPr>
                  <w:r>
                    <w:rPr>
                      <w:rFonts w:hint="default" w:ascii="Times New Roman" w:hAnsi="Times New Roman" w:eastAsia="宋体" w:cs="Times New Roman"/>
                      <w:color w:val="auto"/>
                      <w:kern w:val="0"/>
                      <w:sz w:val="21"/>
                      <w:szCs w:val="21"/>
                      <w:u w:val="none"/>
                      <w:lang w:bidi="ar"/>
                    </w:rPr>
                    <w:t>序号</w:t>
                  </w:r>
                </w:p>
              </w:tc>
              <w:tc>
                <w:tcPr>
                  <w:tcW w:w="2982" w:type="dxa"/>
                  <w:tcBorders>
                    <w:left w:val="single" w:color="auto" w:sz="4" w:space="0"/>
                    <w:bottom w:val="single" w:color="auto" w:sz="4" w:space="0"/>
                    <w:right w:val="single" w:color="auto" w:sz="4" w:space="0"/>
                    <w:tl2br w:val="nil"/>
                    <w:tr2bl w:val="nil"/>
                  </w:tcBorders>
                  <w:noWrap w:val="0"/>
                  <w:vAlign w:val="center"/>
                </w:tcPr>
                <w:p w14:paraId="56C6F2D4">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lang w:bidi="ar"/>
                    </w:rPr>
                  </w:pPr>
                  <w:r>
                    <w:rPr>
                      <w:rFonts w:hint="default" w:ascii="Times New Roman" w:hAnsi="Times New Roman" w:eastAsia="宋体" w:cs="Times New Roman"/>
                      <w:color w:val="auto"/>
                      <w:kern w:val="0"/>
                      <w:sz w:val="21"/>
                      <w:szCs w:val="21"/>
                      <w:u w:val="none"/>
                      <w:lang w:bidi="ar"/>
                    </w:rPr>
                    <w:t>相关要求</w:t>
                  </w:r>
                </w:p>
              </w:tc>
              <w:tc>
                <w:tcPr>
                  <w:tcW w:w="2525" w:type="dxa"/>
                  <w:tcBorders>
                    <w:left w:val="single" w:color="auto" w:sz="4" w:space="0"/>
                    <w:bottom w:val="single" w:color="auto" w:sz="4" w:space="0"/>
                    <w:right w:val="single" w:color="auto" w:sz="4" w:space="0"/>
                    <w:tl2br w:val="nil"/>
                    <w:tr2bl w:val="nil"/>
                  </w:tcBorders>
                  <w:noWrap w:val="0"/>
                  <w:vAlign w:val="center"/>
                </w:tcPr>
                <w:p w14:paraId="4F3C18A3">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lang w:bidi="ar"/>
                    </w:rPr>
                  </w:pPr>
                  <w:r>
                    <w:rPr>
                      <w:rFonts w:hint="default" w:ascii="Times New Roman" w:hAnsi="Times New Roman" w:eastAsia="宋体" w:cs="Times New Roman"/>
                      <w:color w:val="auto"/>
                      <w:kern w:val="0"/>
                      <w:sz w:val="21"/>
                      <w:szCs w:val="21"/>
                      <w:u w:val="none"/>
                      <w:lang w:bidi="ar"/>
                    </w:rPr>
                    <w:t>项目情况</w:t>
                  </w:r>
                </w:p>
              </w:tc>
              <w:tc>
                <w:tcPr>
                  <w:tcW w:w="850" w:type="dxa"/>
                  <w:tcBorders>
                    <w:left w:val="single" w:color="auto" w:sz="4" w:space="0"/>
                    <w:bottom w:val="single" w:color="auto" w:sz="4" w:space="0"/>
                    <w:tl2br w:val="nil"/>
                    <w:tr2bl w:val="nil"/>
                  </w:tcBorders>
                  <w:noWrap w:val="0"/>
                  <w:vAlign w:val="center"/>
                </w:tcPr>
                <w:p w14:paraId="7080A60C">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lang w:bidi="ar"/>
                    </w:rPr>
                  </w:pPr>
                  <w:r>
                    <w:rPr>
                      <w:rFonts w:hint="default" w:ascii="Times New Roman" w:hAnsi="Times New Roman" w:eastAsia="宋体" w:cs="Times New Roman"/>
                      <w:color w:val="auto"/>
                      <w:kern w:val="0"/>
                      <w:sz w:val="21"/>
                      <w:szCs w:val="21"/>
                      <w:u w:val="none"/>
                      <w:lang w:bidi="ar"/>
                    </w:rPr>
                    <w:t>符合性分析</w:t>
                  </w:r>
                </w:p>
              </w:tc>
            </w:tr>
            <w:tr w14:paraId="564F19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64" w:type="dxa"/>
                  <w:tcBorders>
                    <w:bottom w:val="single" w:color="auto" w:sz="4" w:space="0"/>
                    <w:right w:val="single" w:color="auto" w:sz="4" w:space="0"/>
                    <w:tl2br w:val="nil"/>
                    <w:tr2bl w:val="nil"/>
                  </w:tcBorders>
                  <w:noWrap w:val="0"/>
                  <w:vAlign w:val="center"/>
                </w:tcPr>
                <w:p w14:paraId="777A4172">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lang w:val="en-US" w:eastAsia="zh-CN" w:bidi="ar"/>
                    </w:rPr>
                  </w:pPr>
                  <w:r>
                    <w:rPr>
                      <w:rFonts w:hint="default" w:ascii="Times New Roman" w:hAnsi="Times New Roman" w:eastAsia="宋体" w:cs="Times New Roman"/>
                      <w:color w:val="auto"/>
                      <w:kern w:val="0"/>
                      <w:sz w:val="21"/>
                      <w:szCs w:val="21"/>
                      <w:u w:val="none"/>
                      <w:lang w:val="en-US" w:eastAsia="zh-CN" w:bidi="ar"/>
                    </w:rPr>
                    <w:t>1</w:t>
                  </w:r>
                </w:p>
              </w:tc>
              <w:tc>
                <w:tcPr>
                  <w:tcW w:w="2982" w:type="dxa"/>
                  <w:tcBorders>
                    <w:left w:val="single" w:color="auto" w:sz="4" w:space="0"/>
                    <w:bottom w:val="single" w:color="auto" w:sz="4" w:space="0"/>
                    <w:right w:val="single" w:color="auto" w:sz="4" w:space="0"/>
                    <w:tl2br w:val="nil"/>
                    <w:tr2bl w:val="nil"/>
                  </w:tcBorders>
                  <w:noWrap w:val="0"/>
                  <w:vAlign w:val="center"/>
                </w:tcPr>
                <w:p w14:paraId="3DF10624">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lang w:bidi="ar"/>
                    </w:rPr>
                  </w:pPr>
                  <w:r>
                    <w:rPr>
                      <w:rFonts w:hint="default" w:ascii="Times New Roman" w:hAnsi="Times New Roman" w:eastAsia="宋体" w:cs="Times New Roman"/>
                      <w:color w:val="auto"/>
                      <w:kern w:val="0"/>
                      <w:sz w:val="21"/>
                      <w:szCs w:val="21"/>
                      <w:u w:val="none"/>
                      <w:lang w:bidi="ar"/>
                    </w:rPr>
                    <w:t>推动能源绿色低碳转型。严格落实煤炭等量、减量替代</w:t>
                  </w:r>
                  <w:r>
                    <w:rPr>
                      <w:rFonts w:hint="default" w:ascii="Times New Roman" w:hAnsi="Times New Roman" w:eastAsia="宋体" w:cs="Times New Roman"/>
                      <w:color w:val="auto"/>
                      <w:kern w:val="0"/>
                      <w:sz w:val="21"/>
                      <w:szCs w:val="21"/>
                      <w:u w:val="none"/>
                      <w:lang w:eastAsia="zh-CN" w:bidi="ar"/>
                    </w:rPr>
                    <w:t>，</w:t>
                  </w:r>
                  <w:r>
                    <w:rPr>
                      <w:rFonts w:hint="default" w:ascii="Times New Roman" w:hAnsi="Times New Roman" w:eastAsia="宋体" w:cs="Times New Roman"/>
                      <w:color w:val="auto"/>
                      <w:kern w:val="0"/>
                      <w:sz w:val="21"/>
                      <w:szCs w:val="21"/>
                      <w:u w:val="none"/>
                      <w:lang w:bidi="ar"/>
                    </w:rPr>
                    <w:t>提高电煤消费占比。多渠道扩展天然气气源,扩大外受电比重,持续推进“煤改气”"煤改电”工程，大力推进使用清洁能源或电厂热力、工业余热等替代锅炉、炉窑燃料用煤</w:t>
                  </w:r>
                  <w:r>
                    <w:rPr>
                      <w:rFonts w:hint="default" w:ascii="Times New Roman" w:hAnsi="Times New Roman" w:eastAsia="宋体" w:cs="Times New Roman"/>
                      <w:color w:val="auto"/>
                      <w:kern w:val="0"/>
                      <w:sz w:val="21"/>
                      <w:szCs w:val="21"/>
                      <w:u w:val="none"/>
                      <w:lang w:eastAsia="zh-CN" w:bidi="ar"/>
                    </w:rPr>
                    <w:t>，</w:t>
                  </w:r>
                  <w:r>
                    <w:rPr>
                      <w:rFonts w:hint="default" w:ascii="Times New Roman" w:hAnsi="Times New Roman" w:eastAsia="宋体" w:cs="Times New Roman"/>
                      <w:color w:val="auto"/>
                      <w:kern w:val="0"/>
                      <w:sz w:val="21"/>
                      <w:szCs w:val="21"/>
                      <w:u w:val="none"/>
                      <w:lang w:bidi="ar"/>
                    </w:rPr>
                    <w:t>加快推动玻璃、地板砖等建材行业企业以及有色治炼行业鼓风炉、反射炉等“煤改气”,依法依规推进煤气发生炉有序退出,推动非化石能源发展。到2025年,煤炭消费占一次能源消费比重下降至51%左右</w:t>
                  </w:r>
                  <w:r>
                    <w:rPr>
                      <w:rFonts w:hint="eastAsia" w:cs="Times New Roman"/>
                      <w:color w:val="auto"/>
                      <w:kern w:val="0"/>
                      <w:sz w:val="21"/>
                      <w:szCs w:val="21"/>
                      <w:u w:val="none"/>
                      <w:lang w:eastAsia="zh-CN" w:bidi="ar"/>
                    </w:rPr>
                    <w:t>，</w:t>
                  </w:r>
                  <w:r>
                    <w:rPr>
                      <w:rFonts w:hint="default" w:ascii="Times New Roman" w:hAnsi="Times New Roman" w:eastAsia="宋体" w:cs="Times New Roman"/>
                      <w:color w:val="auto"/>
                      <w:kern w:val="0"/>
                      <w:sz w:val="21"/>
                      <w:szCs w:val="21"/>
                      <w:u w:val="none"/>
                      <w:lang w:bidi="ar"/>
                    </w:rPr>
                    <w:t>电煤消费占比达到55%以上。</w:t>
                  </w:r>
                </w:p>
              </w:tc>
              <w:tc>
                <w:tcPr>
                  <w:tcW w:w="2525" w:type="dxa"/>
                  <w:tcBorders>
                    <w:left w:val="single" w:color="auto" w:sz="4" w:space="0"/>
                    <w:bottom w:val="single" w:color="auto" w:sz="4" w:space="0"/>
                    <w:right w:val="single" w:color="auto" w:sz="4" w:space="0"/>
                    <w:tl2br w:val="nil"/>
                    <w:tr2bl w:val="nil"/>
                  </w:tcBorders>
                  <w:noWrap w:val="0"/>
                  <w:vAlign w:val="center"/>
                </w:tcPr>
                <w:p w14:paraId="1936D8ED">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lang w:eastAsia="zh-CN" w:bidi="ar"/>
                    </w:rPr>
                  </w:pPr>
                  <w:r>
                    <w:rPr>
                      <w:rFonts w:hint="default" w:ascii="Times New Roman" w:hAnsi="Times New Roman" w:eastAsia="宋体" w:cs="Times New Roman"/>
                      <w:color w:val="auto"/>
                      <w:kern w:val="0"/>
                      <w:sz w:val="21"/>
                      <w:szCs w:val="21"/>
                      <w:u w:val="none"/>
                      <w:lang w:eastAsia="zh-CN" w:bidi="ar"/>
                    </w:rPr>
                    <w:t>本项目使用燃料为</w:t>
                  </w:r>
                  <w:r>
                    <w:rPr>
                      <w:rFonts w:hint="eastAsia" w:cs="Times New Roman"/>
                      <w:color w:val="auto"/>
                      <w:kern w:val="0"/>
                      <w:sz w:val="21"/>
                      <w:szCs w:val="21"/>
                      <w:u w:val="none"/>
                      <w:lang w:val="en-US" w:eastAsia="zh-CN" w:bidi="ar"/>
                    </w:rPr>
                    <w:t>生物质</w:t>
                  </w:r>
                  <w:r>
                    <w:rPr>
                      <w:rFonts w:hint="default" w:ascii="Times New Roman" w:hAnsi="Times New Roman" w:eastAsia="宋体" w:cs="Times New Roman"/>
                      <w:color w:val="auto"/>
                      <w:kern w:val="0"/>
                      <w:sz w:val="21"/>
                      <w:szCs w:val="21"/>
                      <w:u w:val="none"/>
                      <w:lang w:eastAsia="zh-CN" w:bidi="ar"/>
                    </w:rPr>
                    <w:t>，不使用燃煤</w:t>
                  </w:r>
                </w:p>
              </w:tc>
              <w:tc>
                <w:tcPr>
                  <w:tcW w:w="850" w:type="dxa"/>
                  <w:tcBorders>
                    <w:left w:val="single" w:color="auto" w:sz="4" w:space="0"/>
                    <w:bottom w:val="single" w:color="auto" w:sz="4" w:space="0"/>
                    <w:tl2br w:val="nil"/>
                    <w:tr2bl w:val="nil"/>
                  </w:tcBorders>
                  <w:noWrap w:val="0"/>
                  <w:vAlign w:val="center"/>
                </w:tcPr>
                <w:p w14:paraId="54AA31CD">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lang w:eastAsia="zh-CN" w:bidi="ar"/>
                    </w:rPr>
                  </w:pPr>
                  <w:r>
                    <w:rPr>
                      <w:rFonts w:hint="default" w:ascii="Times New Roman" w:hAnsi="Times New Roman" w:eastAsia="宋体" w:cs="Times New Roman"/>
                      <w:color w:val="auto"/>
                      <w:kern w:val="0"/>
                      <w:sz w:val="21"/>
                      <w:szCs w:val="21"/>
                      <w:u w:val="none"/>
                      <w:lang w:eastAsia="zh-CN" w:bidi="ar"/>
                    </w:rPr>
                    <w:t>符合</w:t>
                  </w:r>
                </w:p>
              </w:tc>
            </w:tr>
            <w:tr w14:paraId="6D003E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64" w:type="dxa"/>
                  <w:tcBorders>
                    <w:bottom w:val="single" w:color="auto" w:sz="4" w:space="0"/>
                    <w:right w:val="single" w:color="auto" w:sz="4" w:space="0"/>
                    <w:tl2br w:val="nil"/>
                    <w:tr2bl w:val="nil"/>
                  </w:tcBorders>
                  <w:noWrap w:val="0"/>
                  <w:vAlign w:val="center"/>
                </w:tcPr>
                <w:p w14:paraId="2F738205">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lang w:val="en-US" w:eastAsia="zh-CN" w:bidi="ar"/>
                    </w:rPr>
                  </w:pPr>
                  <w:r>
                    <w:rPr>
                      <w:rFonts w:hint="default" w:ascii="Times New Roman" w:hAnsi="Times New Roman" w:eastAsia="宋体" w:cs="Times New Roman"/>
                      <w:color w:val="auto"/>
                      <w:kern w:val="0"/>
                      <w:sz w:val="21"/>
                      <w:szCs w:val="21"/>
                      <w:u w:val="none"/>
                      <w:lang w:val="en-US" w:eastAsia="zh-CN" w:bidi="ar"/>
                    </w:rPr>
                    <w:t>2</w:t>
                  </w:r>
                </w:p>
              </w:tc>
              <w:tc>
                <w:tcPr>
                  <w:tcW w:w="2982" w:type="dxa"/>
                  <w:tcBorders>
                    <w:left w:val="single" w:color="auto" w:sz="4" w:space="0"/>
                    <w:bottom w:val="single" w:color="auto" w:sz="4" w:space="0"/>
                    <w:right w:val="single" w:color="auto" w:sz="4" w:space="0"/>
                    <w:tl2br w:val="nil"/>
                    <w:tr2bl w:val="nil"/>
                  </w:tcBorders>
                  <w:noWrap w:val="0"/>
                  <w:vAlign w:val="center"/>
                </w:tcPr>
                <w:p w14:paraId="260571D8">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lang w:bidi="ar"/>
                    </w:rPr>
                  </w:pPr>
                  <w:r>
                    <w:rPr>
                      <w:rFonts w:hint="default" w:ascii="Times New Roman" w:hAnsi="Times New Roman" w:eastAsia="宋体" w:cs="Times New Roman"/>
                      <w:color w:val="auto"/>
                      <w:kern w:val="0"/>
                      <w:sz w:val="21"/>
                      <w:szCs w:val="21"/>
                      <w:u w:val="none"/>
                      <w:lang w:bidi="ar"/>
                    </w:rPr>
                    <w:t>强化禁燃区管控，推进散煤替代。加强煤炭生产、销售和使用监管。优化调整高污染燃料禁燃区范围，严厉查处禁燃区内煤炭燃用行为。推进农村用能低碳化转型,加快农业种植、养殖、农产品加工等散煤替代。</w:t>
                  </w:r>
                </w:p>
              </w:tc>
              <w:tc>
                <w:tcPr>
                  <w:tcW w:w="2525" w:type="dxa"/>
                  <w:tcBorders>
                    <w:left w:val="single" w:color="auto" w:sz="4" w:space="0"/>
                    <w:bottom w:val="single" w:color="auto" w:sz="4" w:space="0"/>
                    <w:right w:val="single" w:color="auto" w:sz="4" w:space="0"/>
                    <w:tl2br w:val="nil"/>
                    <w:tr2bl w:val="nil"/>
                  </w:tcBorders>
                  <w:noWrap w:val="0"/>
                  <w:vAlign w:val="center"/>
                </w:tcPr>
                <w:p w14:paraId="3589B822">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lang w:val="en-US" w:eastAsia="zh-CN" w:bidi="ar"/>
                    </w:rPr>
                  </w:pPr>
                  <w:r>
                    <w:rPr>
                      <w:rFonts w:hint="default" w:ascii="Times New Roman" w:hAnsi="Times New Roman" w:eastAsia="宋体" w:cs="Times New Roman"/>
                      <w:color w:val="auto"/>
                      <w:kern w:val="0"/>
                      <w:sz w:val="21"/>
                      <w:szCs w:val="21"/>
                      <w:u w:val="none"/>
                      <w:lang w:val="en-US" w:eastAsia="zh-CN" w:bidi="ar"/>
                    </w:rPr>
                    <w:t>本项目</w:t>
                  </w:r>
                  <w:r>
                    <w:rPr>
                      <w:rFonts w:hint="eastAsia" w:cs="Times New Roman"/>
                      <w:color w:val="auto"/>
                      <w:kern w:val="0"/>
                      <w:sz w:val="21"/>
                      <w:szCs w:val="21"/>
                      <w:u w:val="none"/>
                      <w:lang w:val="en-US" w:eastAsia="zh-CN" w:bidi="ar"/>
                    </w:rPr>
                    <w:t>不在禁燃区，不使用煤炭</w:t>
                  </w:r>
                </w:p>
              </w:tc>
              <w:tc>
                <w:tcPr>
                  <w:tcW w:w="850" w:type="dxa"/>
                  <w:tcBorders>
                    <w:left w:val="single" w:color="auto" w:sz="4" w:space="0"/>
                    <w:bottom w:val="single" w:color="auto" w:sz="4" w:space="0"/>
                    <w:tl2br w:val="nil"/>
                    <w:tr2bl w:val="nil"/>
                  </w:tcBorders>
                  <w:noWrap w:val="0"/>
                  <w:vAlign w:val="center"/>
                </w:tcPr>
                <w:p w14:paraId="5143CF77">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lang w:eastAsia="zh-CN" w:bidi="ar"/>
                    </w:rPr>
                  </w:pPr>
                  <w:r>
                    <w:rPr>
                      <w:rFonts w:hint="default" w:ascii="Times New Roman" w:hAnsi="Times New Roman" w:eastAsia="宋体" w:cs="Times New Roman"/>
                      <w:color w:val="auto"/>
                      <w:kern w:val="0"/>
                      <w:sz w:val="21"/>
                      <w:szCs w:val="21"/>
                      <w:u w:val="none"/>
                      <w:lang w:eastAsia="zh-CN" w:bidi="ar"/>
                    </w:rPr>
                    <w:t>符合</w:t>
                  </w:r>
                </w:p>
              </w:tc>
            </w:tr>
            <w:tr w14:paraId="70B9D0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64" w:type="dxa"/>
                  <w:tcBorders>
                    <w:bottom w:val="single" w:color="auto" w:sz="4" w:space="0"/>
                    <w:right w:val="single" w:color="auto" w:sz="4" w:space="0"/>
                    <w:tl2br w:val="nil"/>
                    <w:tr2bl w:val="nil"/>
                  </w:tcBorders>
                  <w:noWrap w:val="0"/>
                  <w:vAlign w:val="center"/>
                </w:tcPr>
                <w:p w14:paraId="5859DA11">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lang w:val="en-US" w:eastAsia="zh-CN" w:bidi="ar"/>
                    </w:rPr>
                  </w:pPr>
                  <w:r>
                    <w:rPr>
                      <w:rFonts w:hint="default" w:ascii="Times New Roman" w:hAnsi="Times New Roman" w:eastAsia="宋体" w:cs="Times New Roman"/>
                      <w:color w:val="auto"/>
                      <w:kern w:val="0"/>
                      <w:sz w:val="21"/>
                      <w:szCs w:val="21"/>
                      <w:u w:val="none"/>
                      <w:lang w:val="en-US" w:eastAsia="zh-CN" w:bidi="ar"/>
                    </w:rPr>
                    <w:t>3</w:t>
                  </w:r>
                </w:p>
              </w:tc>
              <w:tc>
                <w:tcPr>
                  <w:tcW w:w="2982" w:type="dxa"/>
                  <w:tcBorders>
                    <w:left w:val="single" w:color="auto" w:sz="4" w:space="0"/>
                    <w:bottom w:val="single" w:color="auto" w:sz="4" w:space="0"/>
                    <w:right w:val="single" w:color="auto" w:sz="4" w:space="0"/>
                    <w:tl2br w:val="nil"/>
                    <w:tr2bl w:val="nil"/>
                  </w:tcBorders>
                  <w:noWrap w:val="0"/>
                  <w:vAlign w:val="center"/>
                </w:tcPr>
                <w:p w14:paraId="666CEFA5">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lang w:bidi="ar"/>
                    </w:rPr>
                  </w:pPr>
                  <w:r>
                    <w:rPr>
                      <w:rFonts w:hint="default" w:ascii="Times New Roman" w:hAnsi="Times New Roman" w:eastAsia="宋体" w:cs="Times New Roman"/>
                      <w:color w:val="auto"/>
                      <w:kern w:val="0"/>
                      <w:sz w:val="21"/>
                      <w:szCs w:val="21"/>
                      <w:u w:val="none"/>
                      <w:lang w:bidi="ar"/>
                    </w:rPr>
                    <w:t>提升重点行业能效水平。开展重点行业节能降碳改造</w:t>
                  </w:r>
                  <w:r>
                    <w:rPr>
                      <w:rFonts w:hint="default" w:ascii="Times New Roman" w:hAnsi="Times New Roman" w:eastAsia="宋体" w:cs="Times New Roman"/>
                      <w:color w:val="auto"/>
                      <w:kern w:val="0"/>
                      <w:sz w:val="21"/>
                      <w:szCs w:val="21"/>
                      <w:u w:val="none"/>
                      <w:lang w:eastAsia="zh-CN" w:bidi="ar"/>
                    </w:rPr>
                    <w:t>，</w:t>
                  </w:r>
                  <w:r>
                    <w:rPr>
                      <w:rFonts w:hint="default" w:ascii="Times New Roman" w:hAnsi="Times New Roman" w:eastAsia="宋体" w:cs="Times New Roman"/>
                      <w:color w:val="auto"/>
                      <w:kern w:val="0"/>
                      <w:sz w:val="21"/>
                      <w:szCs w:val="21"/>
                      <w:u w:val="none"/>
                      <w:lang w:bidi="ar"/>
                    </w:rPr>
                    <w:t>全省低于能效基准水平的存量项目全面实施节能技改,在建、拟建项目按照国家行业能效标杆水平建设。到2025年，钢铁、建材、化工等重点行业企业全部达到能效基准水平以上，达到能效标杆水平的比例超过30%;全省煤电机组平均供电煤耗降至300克标煤/千瓦时以下。</w:t>
                  </w:r>
                </w:p>
              </w:tc>
              <w:tc>
                <w:tcPr>
                  <w:tcW w:w="2525" w:type="dxa"/>
                  <w:tcBorders>
                    <w:left w:val="single" w:color="auto" w:sz="4" w:space="0"/>
                    <w:bottom w:val="single" w:color="auto" w:sz="4" w:space="0"/>
                    <w:right w:val="single" w:color="auto" w:sz="4" w:space="0"/>
                    <w:tl2br w:val="nil"/>
                    <w:tr2bl w:val="nil"/>
                  </w:tcBorders>
                  <w:noWrap w:val="0"/>
                  <w:vAlign w:val="center"/>
                </w:tcPr>
                <w:p w14:paraId="5246C3AA">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lang w:eastAsia="zh-CN" w:bidi="ar"/>
                    </w:rPr>
                  </w:pPr>
                  <w:r>
                    <w:rPr>
                      <w:rFonts w:hint="default" w:ascii="Times New Roman" w:hAnsi="Times New Roman" w:eastAsia="宋体" w:cs="Times New Roman"/>
                      <w:color w:val="auto"/>
                      <w:kern w:val="0"/>
                      <w:sz w:val="21"/>
                      <w:szCs w:val="21"/>
                      <w:u w:val="none"/>
                      <w:lang w:eastAsia="zh-CN" w:bidi="ar"/>
                    </w:rPr>
                    <w:t>本项目属于新建</w:t>
                  </w:r>
                  <w:r>
                    <w:rPr>
                      <w:rFonts w:hint="default" w:ascii="Times New Roman" w:hAnsi="Times New Roman" w:eastAsia="宋体" w:cs="Times New Roman"/>
                      <w:color w:val="auto"/>
                      <w:kern w:val="0"/>
                      <w:sz w:val="21"/>
                      <w:szCs w:val="21"/>
                      <w:u w:val="none"/>
                      <w:lang w:val="en-US" w:eastAsia="zh-CN" w:bidi="ar"/>
                    </w:rPr>
                    <w:t>食品</w:t>
                  </w:r>
                  <w:r>
                    <w:rPr>
                      <w:rFonts w:hint="eastAsia" w:cs="Times New Roman"/>
                      <w:color w:val="auto"/>
                      <w:kern w:val="0"/>
                      <w:sz w:val="21"/>
                      <w:szCs w:val="21"/>
                      <w:u w:val="none"/>
                      <w:lang w:val="en-US" w:eastAsia="zh-CN" w:bidi="ar"/>
                    </w:rPr>
                    <w:t>加工</w:t>
                  </w:r>
                  <w:r>
                    <w:rPr>
                      <w:rFonts w:hint="default" w:ascii="Times New Roman" w:hAnsi="Times New Roman" w:eastAsia="宋体" w:cs="Times New Roman"/>
                      <w:color w:val="auto"/>
                      <w:kern w:val="0"/>
                      <w:sz w:val="21"/>
                      <w:szCs w:val="21"/>
                      <w:u w:val="none"/>
                      <w:lang w:eastAsia="zh-CN" w:bidi="ar"/>
                    </w:rPr>
                    <w:t>项目，不属于钢铁、建材、化工等重点企业</w:t>
                  </w:r>
                </w:p>
              </w:tc>
              <w:tc>
                <w:tcPr>
                  <w:tcW w:w="850" w:type="dxa"/>
                  <w:tcBorders>
                    <w:left w:val="single" w:color="auto" w:sz="4" w:space="0"/>
                    <w:bottom w:val="single" w:color="auto" w:sz="4" w:space="0"/>
                    <w:tl2br w:val="nil"/>
                    <w:tr2bl w:val="nil"/>
                  </w:tcBorders>
                  <w:noWrap w:val="0"/>
                  <w:vAlign w:val="center"/>
                </w:tcPr>
                <w:p w14:paraId="08EDB935">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lang w:eastAsia="zh-CN" w:bidi="ar"/>
                    </w:rPr>
                  </w:pPr>
                </w:p>
              </w:tc>
            </w:tr>
            <w:tr w14:paraId="12AD9F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64" w:type="dxa"/>
                  <w:tcBorders>
                    <w:top w:val="single" w:color="auto" w:sz="4" w:space="0"/>
                    <w:bottom w:val="single" w:color="auto" w:sz="4" w:space="0"/>
                    <w:right w:val="single" w:color="auto" w:sz="4" w:space="0"/>
                    <w:tl2br w:val="nil"/>
                    <w:tr2bl w:val="nil"/>
                  </w:tcBorders>
                  <w:noWrap w:val="0"/>
                  <w:vAlign w:val="center"/>
                </w:tcPr>
                <w:p w14:paraId="5C560751">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lang w:eastAsia="zh-CN" w:bidi="ar"/>
                    </w:rPr>
                  </w:pPr>
                  <w:r>
                    <w:rPr>
                      <w:rFonts w:hint="default" w:ascii="Times New Roman" w:hAnsi="Times New Roman" w:eastAsia="宋体" w:cs="Times New Roman"/>
                      <w:color w:val="auto"/>
                      <w:kern w:val="0"/>
                      <w:sz w:val="21"/>
                      <w:szCs w:val="21"/>
                      <w:u w:val="none"/>
                      <w:lang w:val="en-US" w:eastAsia="zh-CN" w:bidi="ar"/>
                    </w:rPr>
                    <w:t>4</w:t>
                  </w:r>
                </w:p>
              </w:tc>
              <w:tc>
                <w:tcPr>
                  <w:tcW w:w="298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C61A117">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lang w:bidi="ar"/>
                    </w:rPr>
                  </w:pPr>
                  <w:r>
                    <w:rPr>
                      <w:rFonts w:hint="default" w:ascii="Times New Roman" w:hAnsi="Times New Roman" w:eastAsia="宋体" w:cs="Times New Roman"/>
                      <w:color w:val="auto"/>
                      <w:kern w:val="0"/>
                      <w:sz w:val="21"/>
                      <w:szCs w:val="21"/>
                      <w:u w:val="none"/>
                      <w:lang w:bidi="ar"/>
                    </w:rPr>
                    <w:t>优化产业结构和布局。严格项目准入，遏制“两高一低”项目盲目发展。落实产业规划及产业政策，严格执行重点行业产能置换办法，依法依规淘汰落后产能。优化产业链布局，开展传统产业集群排查整治，推进重点涉气企业入区入园。到2025年，按照相关政策和环保标准整合关停环境绩效水平低的砖瓦企业。</w:t>
                  </w:r>
                </w:p>
              </w:tc>
              <w:tc>
                <w:tcPr>
                  <w:tcW w:w="252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2341912">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lang w:bidi="ar"/>
                    </w:rPr>
                  </w:pPr>
                  <w:r>
                    <w:rPr>
                      <w:rFonts w:hint="default" w:ascii="Times New Roman" w:hAnsi="Times New Roman" w:eastAsia="宋体" w:cs="Times New Roman"/>
                      <w:color w:val="auto"/>
                      <w:sz w:val="21"/>
                      <w:szCs w:val="21"/>
                      <w:u w:val="none"/>
                    </w:rPr>
                    <w:t>本项目为</w:t>
                  </w:r>
                  <w:r>
                    <w:rPr>
                      <w:rFonts w:hint="default" w:ascii="Times New Roman" w:hAnsi="Times New Roman" w:eastAsia="宋体" w:cs="Times New Roman"/>
                      <w:color w:val="auto"/>
                      <w:sz w:val="21"/>
                      <w:szCs w:val="21"/>
                      <w:u w:val="none"/>
                      <w:lang w:val="en-US" w:eastAsia="zh-CN"/>
                    </w:rPr>
                    <w:t>食品</w:t>
                  </w:r>
                  <w:r>
                    <w:rPr>
                      <w:rFonts w:hint="eastAsia" w:cs="Times New Roman"/>
                      <w:color w:val="auto"/>
                      <w:sz w:val="21"/>
                      <w:szCs w:val="21"/>
                      <w:u w:val="none"/>
                      <w:lang w:val="en-US" w:eastAsia="zh-CN"/>
                    </w:rPr>
                    <w:t>加工</w:t>
                  </w:r>
                  <w:r>
                    <w:rPr>
                      <w:rFonts w:hint="default" w:ascii="Times New Roman" w:hAnsi="Times New Roman" w:eastAsia="宋体" w:cs="Times New Roman"/>
                      <w:color w:val="auto"/>
                      <w:sz w:val="21"/>
                      <w:szCs w:val="21"/>
                      <w:u w:val="none"/>
                      <w:lang w:val="en-US" w:eastAsia="zh-CN"/>
                    </w:rPr>
                    <w:t>项目</w:t>
                  </w:r>
                  <w:r>
                    <w:rPr>
                      <w:rFonts w:hint="default" w:ascii="Times New Roman" w:hAnsi="Times New Roman" w:eastAsia="宋体" w:cs="Times New Roman"/>
                      <w:color w:val="auto"/>
                      <w:sz w:val="21"/>
                      <w:szCs w:val="21"/>
                      <w:u w:val="none"/>
                    </w:rPr>
                    <w:t>，</w:t>
                  </w:r>
                  <w:r>
                    <w:rPr>
                      <w:rFonts w:hint="default" w:ascii="Times New Roman" w:hAnsi="Times New Roman" w:eastAsia="宋体" w:cs="Times New Roman"/>
                      <w:color w:val="auto"/>
                      <w:kern w:val="0"/>
                      <w:sz w:val="21"/>
                      <w:szCs w:val="21"/>
                      <w:u w:val="none"/>
                      <w:lang w:bidi="ar"/>
                    </w:rPr>
                    <w:t>符合国家相关产业政策，不属于重点涉气企业和砖瓦企业</w:t>
                  </w:r>
                </w:p>
              </w:tc>
              <w:tc>
                <w:tcPr>
                  <w:tcW w:w="850" w:type="dxa"/>
                  <w:tcBorders>
                    <w:top w:val="single" w:color="auto" w:sz="4" w:space="0"/>
                    <w:left w:val="single" w:color="auto" w:sz="4" w:space="0"/>
                    <w:bottom w:val="single" w:color="auto" w:sz="4" w:space="0"/>
                    <w:tl2br w:val="nil"/>
                    <w:tr2bl w:val="nil"/>
                  </w:tcBorders>
                  <w:noWrap w:val="0"/>
                  <w:vAlign w:val="center"/>
                </w:tcPr>
                <w:p w14:paraId="5116CD6E">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lang w:bidi="ar"/>
                    </w:rPr>
                  </w:pPr>
                  <w:r>
                    <w:rPr>
                      <w:rFonts w:hint="default" w:ascii="Times New Roman" w:hAnsi="Times New Roman" w:eastAsia="宋体" w:cs="Times New Roman"/>
                      <w:color w:val="auto"/>
                      <w:kern w:val="0"/>
                      <w:sz w:val="21"/>
                      <w:szCs w:val="21"/>
                      <w:u w:val="none"/>
                      <w:lang w:bidi="ar"/>
                    </w:rPr>
                    <w:t>符合</w:t>
                  </w:r>
                </w:p>
              </w:tc>
            </w:tr>
            <w:tr w14:paraId="31383C7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64" w:type="dxa"/>
                  <w:tcBorders>
                    <w:top w:val="single" w:color="auto" w:sz="4" w:space="0"/>
                    <w:bottom w:val="single" w:color="auto" w:sz="4" w:space="0"/>
                    <w:right w:val="single" w:color="auto" w:sz="4" w:space="0"/>
                    <w:tl2br w:val="nil"/>
                    <w:tr2bl w:val="nil"/>
                  </w:tcBorders>
                  <w:noWrap w:val="0"/>
                  <w:vAlign w:val="center"/>
                </w:tcPr>
                <w:p w14:paraId="234CE5FA">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lang w:eastAsia="zh-CN" w:bidi="ar"/>
                    </w:rPr>
                  </w:pPr>
                  <w:r>
                    <w:rPr>
                      <w:rFonts w:hint="default" w:ascii="Times New Roman" w:hAnsi="Times New Roman" w:eastAsia="宋体" w:cs="Times New Roman"/>
                      <w:color w:val="auto"/>
                      <w:kern w:val="0"/>
                      <w:sz w:val="21"/>
                      <w:szCs w:val="21"/>
                      <w:u w:val="none"/>
                      <w:lang w:val="en-US" w:eastAsia="zh-CN" w:bidi="ar"/>
                    </w:rPr>
                    <w:t>5</w:t>
                  </w:r>
                </w:p>
              </w:tc>
              <w:tc>
                <w:tcPr>
                  <w:tcW w:w="298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BED2039">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lang w:bidi="ar"/>
                    </w:rPr>
                  </w:pPr>
                  <w:r>
                    <w:rPr>
                      <w:rFonts w:hint="default" w:ascii="Times New Roman" w:hAnsi="Times New Roman" w:eastAsia="宋体" w:cs="Times New Roman"/>
                      <w:color w:val="auto"/>
                      <w:kern w:val="0"/>
                      <w:sz w:val="21"/>
                      <w:szCs w:val="21"/>
                      <w:u w:val="none"/>
                      <w:lang w:bidi="ar"/>
                    </w:rPr>
                    <w:t>推动产业绿色低碳发展。健全节能标准体系，深入开展重点行业强制性清洁生产审核。大力推行绿色制造，推进绿色工厂、绿色园区建设。到2025年，规模以上工业单位增加值能耗降低14%，重点行业主要污染物排放强度降低10%；建成50家省级及以上绿色园区、500家绿色工厂，各市州重点行业企业全面完成一轮清洁生产审核、全省自愿性清洁生产审核通过企业1500家以上。</w:t>
                  </w:r>
                </w:p>
              </w:tc>
              <w:tc>
                <w:tcPr>
                  <w:tcW w:w="252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D1BDEE9">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lang w:bidi="ar"/>
                    </w:rPr>
                  </w:pPr>
                  <w:r>
                    <w:rPr>
                      <w:rFonts w:hint="default" w:ascii="Times New Roman" w:hAnsi="Times New Roman" w:eastAsia="宋体" w:cs="Times New Roman"/>
                      <w:color w:val="auto"/>
                      <w:kern w:val="0"/>
                      <w:sz w:val="21"/>
                      <w:szCs w:val="21"/>
                      <w:u w:val="none"/>
                      <w:lang w:bidi="ar"/>
                    </w:rPr>
                    <w:t>本项目能源主要为电能和</w:t>
                  </w:r>
                  <w:r>
                    <w:rPr>
                      <w:rFonts w:hint="eastAsia" w:cs="Times New Roman"/>
                      <w:color w:val="auto"/>
                      <w:kern w:val="0"/>
                      <w:sz w:val="21"/>
                      <w:szCs w:val="21"/>
                      <w:u w:val="none"/>
                      <w:lang w:val="en-US" w:eastAsia="zh-CN" w:bidi="ar"/>
                    </w:rPr>
                    <w:t>生物质燃料</w:t>
                  </w:r>
                  <w:r>
                    <w:rPr>
                      <w:rFonts w:hint="default" w:ascii="Times New Roman" w:hAnsi="Times New Roman" w:eastAsia="宋体" w:cs="Times New Roman"/>
                      <w:color w:val="auto"/>
                      <w:kern w:val="0"/>
                      <w:sz w:val="21"/>
                      <w:szCs w:val="21"/>
                      <w:u w:val="none"/>
                      <w:lang w:bidi="ar"/>
                    </w:rPr>
                    <w:t>。</w:t>
                  </w:r>
                </w:p>
              </w:tc>
              <w:tc>
                <w:tcPr>
                  <w:tcW w:w="850" w:type="dxa"/>
                  <w:tcBorders>
                    <w:top w:val="single" w:color="auto" w:sz="4" w:space="0"/>
                    <w:left w:val="single" w:color="auto" w:sz="4" w:space="0"/>
                    <w:bottom w:val="single" w:color="auto" w:sz="4" w:space="0"/>
                    <w:tl2br w:val="nil"/>
                    <w:tr2bl w:val="nil"/>
                  </w:tcBorders>
                  <w:noWrap w:val="0"/>
                  <w:vAlign w:val="center"/>
                </w:tcPr>
                <w:p w14:paraId="14139E52">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lang w:bidi="ar"/>
                    </w:rPr>
                  </w:pPr>
                  <w:r>
                    <w:rPr>
                      <w:rFonts w:hint="default" w:ascii="Times New Roman" w:hAnsi="Times New Roman" w:eastAsia="宋体" w:cs="Times New Roman"/>
                      <w:color w:val="auto"/>
                      <w:kern w:val="0"/>
                      <w:sz w:val="21"/>
                      <w:szCs w:val="21"/>
                      <w:u w:val="none"/>
                      <w:lang w:bidi="ar"/>
                    </w:rPr>
                    <w:t>符合</w:t>
                  </w:r>
                </w:p>
              </w:tc>
            </w:tr>
            <w:tr w14:paraId="4FDD852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64" w:type="dxa"/>
                  <w:tcBorders>
                    <w:top w:val="single" w:color="auto" w:sz="4" w:space="0"/>
                    <w:bottom w:val="single" w:color="auto" w:sz="4" w:space="0"/>
                    <w:right w:val="single" w:color="auto" w:sz="4" w:space="0"/>
                    <w:tl2br w:val="nil"/>
                    <w:tr2bl w:val="nil"/>
                  </w:tcBorders>
                  <w:noWrap w:val="0"/>
                  <w:vAlign w:val="center"/>
                </w:tcPr>
                <w:p w14:paraId="569D1E11">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lang w:eastAsia="zh-CN" w:bidi="ar"/>
                    </w:rPr>
                  </w:pPr>
                  <w:r>
                    <w:rPr>
                      <w:rFonts w:hint="default" w:ascii="Times New Roman" w:hAnsi="Times New Roman" w:eastAsia="宋体" w:cs="Times New Roman"/>
                      <w:color w:val="auto"/>
                      <w:kern w:val="0"/>
                      <w:sz w:val="21"/>
                      <w:szCs w:val="21"/>
                      <w:u w:val="none"/>
                      <w:lang w:val="en-US" w:eastAsia="zh-CN" w:bidi="ar"/>
                    </w:rPr>
                    <w:t>6</w:t>
                  </w:r>
                </w:p>
              </w:tc>
              <w:tc>
                <w:tcPr>
                  <w:tcW w:w="298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984B3C2">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lang w:bidi="ar"/>
                    </w:rPr>
                  </w:pPr>
                  <w:r>
                    <w:rPr>
                      <w:rFonts w:hint="default" w:ascii="Times New Roman" w:hAnsi="Times New Roman" w:eastAsia="宋体" w:cs="Times New Roman"/>
                      <w:color w:val="auto"/>
                      <w:kern w:val="0"/>
                      <w:sz w:val="21"/>
                      <w:szCs w:val="21"/>
                      <w:u w:val="none"/>
                      <w:lang w:bidi="ar"/>
                    </w:rPr>
                    <w:t>加大低VOCs原辅材料替代力度。建立多部门联合执法机制，加大监督检查力度，确保生产、销售、使用符合VOCs含量限值标准的产品。以工业涂装、包装印刷和胶粘剂使用等为重点，在企业清洁生产审核中明确提出低VOCs原辅材料替代要求。</w:t>
                  </w:r>
                </w:p>
              </w:tc>
              <w:tc>
                <w:tcPr>
                  <w:tcW w:w="252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ECE4367">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lang w:bidi="ar"/>
                    </w:rPr>
                  </w:pPr>
                  <w:r>
                    <w:rPr>
                      <w:rFonts w:hint="default" w:ascii="Times New Roman" w:hAnsi="Times New Roman" w:eastAsia="宋体" w:cs="Times New Roman"/>
                      <w:color w:val="auto"/>
                      <w:kern w:val="0"/>
                      <w:sz w:val="21"/>
                      <w:szCs w:val="21"/>
                      <w:u w:val="none"/>
                      <w:lang w:bidi="ar"/>
                    </w:rPr>
                    <w:t>本项目不涉及</w:t>
                  </w:r>
                  <w:r>
                    <w:rPr>
                      <w:rFonts w:hint="default" w:ascii="Times New Roman" w:hAnsi="Times New Roman" w:eastAsia="宋体" w:cs="Times New Roman"/>
                      <w:color w:val="auto"/>
                      <w:kern w:val="0"/>
                      <w:sz w:val="21"/>
                      <w:szCs w:val="21"/>
                      <w:u w:val="none"/>
                      <w:lang w:val="en-US" w:eastAsia="zh-CN" w:bidi="ar"/>
                    </w:rPr>
                    <w:t>VOCs、</w:t>
                  </w:r>
                  <w:r>
                    <w:rPr>
                      <w:rFonts w:hint="default" w:ascii="Times New Roman" w:hAnsi="Times New Roman" w:eastAsia="宋体" w:cs="Times New Roman"/>
                      <w:color w:val="auto"/>
                      <w:kern w:val="0"/>
                      <w:sz w:val="21"/>
                      <w:szCs w:val="21"/>
                      <w:u w:val="none"/>
                      <w:lang w:bidi="ar"/>
                    </w:rPr>
                    <w:t>工业涂装、包装印刷和胶粘剂使用。</w:t>
                  </w:r>
                </w:p>
              </w:tc>
              <w:tc>
                <w:tcPr>
                  <w:tcW w:w="850" w:type="dxa"/>
                  <w:tcBorders>
                    <w:top w:val="single" w:color="auto" w:sz="4" w:space="0"/>
                    <w:left w:val="single" w:color="auto" w:sz="4" w:space="0"/>
                    <w:bottom w:val="single" w:color="auto" w:sz="4" w:space="0"/>
                    <w:tl2br w:val="nil"/>
                    <w:tr2bl w:val="nil"/>
                  </w:tcBorders>
                  <w:noWrap w:val="0"/>
                  <w:vAlign w:val="center"/>
                </w:tcPr>
                <w:p w14:paraId="6CEA5714">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lang w:bidi="ar"/>
                    </w:rPr>
                  </w:pPr>
                  <w:r>
                    <w:rPr>
                      <w:rFonts w:hint="default" w:ascii="Times New Roman" w:hAnsi="Times New Roman" w:eastAsia="宋体" w:cs="Times New Roman"/>
                      <w:color w:val="auto"/>
                      <w:kern w:val="0"/>
                      <w:sz w:val="21"/>
                      <w:szCs w:val="21"/>
                      <w:u w:val="none"/>
                      <w:lang w:bidi="ar"/>
                    </w:rPr>
                    <w:t>符合</w:t>
                  </w:r>
                </w:p>
              </w:tc>
            </w:tr>
            <w:tr w14:paraId="3D1D0A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64" w:type="dxa"/>
                  <w:tcBorders>
                    <w:top w:val="single" w:color="auto" w:sz="4" w:space="0"/>
                    <w:bottom w:val="single" w:color="auto" w:sz="4" w:space="0"/>
                    <w:right w:val="single" w:color="auto" w:sz="4" w:space="0"/>
                    <w:tl2br w:val="nil"/>
                    <w:tr2bl w:val="nil"/>
                  </w:tcBorders>
                  <w:noWrap w:val="0"/>
                  <w:vAlign w:val="center"/>
                </w:tcPr>
                <w:p w14:paraId="54129010">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eastAsia" w:ascii="Times New Roman" w:hAnsi="Times New Roman" w:eastAsia="宋体" w:cs="Times New Roman"/>
                      <w:color w:val="auto"/>
                      <w:kern w:val="0"/>
                      <w:sz w:val="21"/>
                      <w:szCs w:val="21"/>
                      <w:u w:val="none"/>
                      <w:lang w:eastAsia="zh-CN" w:bidi="ar"/>
                    </w:rPr>
                  </w:pPr>
                  <w:r>
                    <w:rPr>
                      <w:rFonts w:hint="eastAsia" w:cs="Times New Roman"/>
                      <w:color w:val="auto"/>
                      <w:kern w:val="0"/>
                      <w:sz w:val="21"/>
                      <w:szCs w:val="21"/>
                      <w:u w:val="none"/>
                      <w:lang w:val="en-US" w:eastAsia="zh-CN" w:bidi="ar"/>
                    </w:rPr>
                    <w:t>7</w:t>
                  </w:r>
                </w:p>
              </w:tc>
              <w:tc>
                <w:tcPr>
                  <w:tcW w:w="298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F817160">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lang w:bidi="ar"/>
                    </w:rPr>
                  </w:pPr>
                  <w:r>
                    <w:rPr>
                      <w:rFonts w:hint="default" w:ascii="Times New Roman" w:hAnsi="Times New Roman" w:eastAsia="宋体" w:cs="Times New Roman"/>
                      <w:b/>
                      <w:color w:val="auto"/>
                      <w:sz w:val="21"/>
                      <w:szCs w:val="21"/>
                      <w:u w:val="none"/>
                    </w:rPr>
                    <w:t>推进锅窑炉超低排放与深度治理。</w:t>
                  </w:r>
                  <w:r>
                    <w:rPr>
                      <w:rFonts w:hint="default" w:ascii="Times New Roman" w:hAnsi="Times New Roman" w:eastAsia="宋体" w:cs="Times New Roman"/>
                      <w:color w:val="auto"/>
                      <w:sz w:val="21"/>
                      <w:szCs w:val="21"/>
                      <w:u w:val="none"/>
                      <w:shd w:val="clear" w:color="auto" w:fill="FFFFFF"/>
                    </w:rPr>
                    <w:t>全面开展钢铁、水泥行业超低排放改造，深入开展锅炉窑炉深度治理和简易低效处理设施排查，对高排放重点行业开展专项整治。生物质锅炉使用专用炉具和成型燃料并配套高效治理设施，推动城市建成区生物质锅炉安装烟气在线监测设施。到2025年，全面完成钢铁和重点城市水泥企业超低排放改造。</w:t>
                  </w:r>
                </w:p>
              </w:tc>
              <w:tc>
                <w:tcPr>
                  <w:tcW w:w="252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23429731">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lang w:bidi="ar"/>
                    </w:rPr>
                  </w:pPr>
                  <w:r>
                    <w:rPr>
                      <w:rFonts w:hint="default" w:ascii="Times New Roman" w:hAnsi="Times New Roman" w:eastAsia="宋体" w:cs="Times New Roman"/>
                      <w:color w:val="auto"/>
                      <w:kern w:val="0"/>
                      <w:sz w:val="21"/>
                      <w:szCs w:val="21"/>
                      <w:u w:val="none"/>
                      <w:lang w:bidi="ar"/>
                    </w:rPr>
                    <w:t>项目</w:t>
                  </w:r>
                  <w:r>
                    <w:rPr>
                      <w:rFonts w:hint="eastAsia" w:cs="Times New Roman"/>
                      <w:color w:val="auto"/>
                      <w:kern w:val="0"/>
                      <w:sz w:val="21"/>
                      <w:szCs w:val="21"/>
                      <w:u w:val="none"/>
                      <w:lang w:val="en-US" w:eastAsia="zh-CN" w:bidi="ar"/>
                    </w:rPr>
                    <w:t>使用</w:t>
                  </w:r>
                  <w:r>
                    <w:rPr>
                      <w:rFonts w:hint="default" w:ascii="Times New Roman" w:hAnsi="Times New Roman" w:eastAsia="宋体" w:cs="Times New Roman"/>
                      <w:color w:val="auto"/>
                      <w:kern w:val="0"/>
                      <w:sz w:val="21"/>
                      <w:szCs w:val="21"/>
                      <w:u w:val="none"/>
                      <w:lang w:bidi="ar"/>
                    </w:rPr>
                    <w:t>一台2.2t/h、一台2.5t/h的生物质蒸汽发生器</w:t>
                  </w:r>
                  <w:r>
                    <w:rPr>
                      <w:rFonts w:hint="default" w:ascii="Times New Roman" w:hAnsi="Times New Roman" w:eastAsia="宋体" w:cs="Times New Roman"/>
                      <w:color w:val="auto"/>
                      <w:kern w:val="0"/>
                      <w:sz w:val="21"/>
                      <w:szCs w:val="21"/>
                      <w:u w:val="none"/>
                      <w:lang w:eastAsia="zh-CN" w:bidi="ar"/>
                    </w:rPr>
                    <w:t>不属于散煤炉具，</w:t>
                  </w:r>
                  <w:r>
                    <w:rPr>
                      <w:rFonts w:hint="eastAsia" w:cs="Times New Roman"/>
                      <w:color w:val="auto"/>
                      <w:kern w:val="0"/>
                      <w:sz w:val="21"/>
                      <w:szCs w:val="21"/>
                      <w:u w:val="none"/>
                      <w:lang w:val="en-US" w:eastAsia="zh-CN" w:bidi="ar"/>
                    </w:rPr>
                    <w:t>废气经布袋除尘器处理</w:t>
                  </w:r>
                  <w:r>
                    <w:rPr>
                      <w:rFonts w:hint="default" w:ascii="Times New Roman" w:hAnsi="Times New Roman" w:cs="Times New Roman"/>
                      <w:color w:val="auto"/>
                      <w:kern w:val="0"/>
                      <w:sz w:val="21"/>
                      <w:szCs w:val="21"/>
                      <w:u w:val="none"/>
                      <w:lang w:val="en-US" w:eastAsia="zh-CN" w:bidi="ar"/>
                    </w:rPr>
                    <w:t>后</w:t>
                  </w:r>
                  <w:r>
                    <w:rPr>
                      <w:rFonts w:hint="eastAsia" w:cs="Times New Roman"/>
                      <w:color w:val="auto"/>
                      <w:kern w:val="0"/>
                      <w:sz w:val="21"/>
                      <w:szCs w:val="21"/>
                      <w:u w:val="none"/>
                      <w:lang w:val="en-US" w:eastAsia="zh-CN" w:bidi="ar"/>
                    </w:rPr>
                    <w:t>分别</w:t>
                  </w:r>
                  <w:r>
                    <w:rPr>
                      <w:rFonts w:hint="default" w:ascii="Times New Roman" w:hAnsi="Times New Roman" w:cs="Times New Roman"/>
                      <w:color w:val="auto"/>
                      <w:kern w:val="0"/>
                      <w:sz w:val="21"/>
                      <w:szCs w:val="21"/>
                      <w:u w:val="none"/>
                      <w:lang w:val="en-US" w:eastAsia="zh-CN" w:bidi="ar"/>
                    </w:rPr>
                    <w:t>通过</w:t>
                  </w:r>
                  <w:r>
                    <w:rPr>
                      <w:rFonts w:hint="eastAsia" w:cs="Times New Roman"/>
                      <w:color w:val="auto"/>
                      <w:kern w:val="0"/>
                      <w:sz w:val="21"/>
                      <w:szCs w:val="21"/>
                      <w:u w:val="none"/>
                      <w:lang w:val="en-US" w:eastAsia="zh-CN" w:bidi="ar"/>
                    </w:rPr>
                    <w:t>30</w:t>
                  </w:r>
                  <w:r>
                    <w:rPr>
                      <w:rFonts w:hint="default" w:ascii="Times New Roman" w:hAnsi="Times New Roman" w:cs="Times New Roman"/>
                      <w:color w:val="auto"/>
                      <w:kern w:val="0"/>
                      <w:sz w:val="21"/>
                      <w:szCs w:val="21"/>
                      <w:u w:val="none"/>
                      <w:lang w:val="en-US" w:eastAsia="zh-CN" w:bidi="ar"/>
                    </w:rPr>
                    <w:t>m高排气筒（DA001</w:t>
                  </w:r>
                  <w:r>
                    <w:rPr>
                      <w:rFonts w:hint="eastAsia" w:cs="Times New Roman"/>
                      <w:color w:val="auto"/>
                      <w:kern w:val="0"/>
                      <w:sz w:val="21"/>
                      <w:szCs w:val="21"/>
                      <w:u w:val="none"/>
                      <w:lang w:val="en-US" w:eastAsia="zh-CN" w:bidi="ar"/>
                    </w:rPr>
                    <w:t>、DA002</w:t>
                  </w:r>
                  <w:r>
                    <w:rPr>
                      <w:rFonts w:hint="default" w:ascii="Times New Roman" w:hAnsi="Times New Roman" w:cs="Times New Roman"/>
                      <w:color w:val="auto"/>
                      <w:kern w:val="0"/>
                      <w:sz w:val="21"/>
                      <w:szCs w:val="21"/>
                      <w:u w:val="none"/>
                      <w:lang w:val="en-US" w:eastAsia="zh-CN" w:bidi="ar"/>
                    </w:rPr>
                    <w:t>）排放</w:t>
                  </w:r>
                  <w:r>
                    <w:rPr>
                      <w:rFonts w:hint="default" w:ascii="Times New Roman" w:hAnsi="Times New Roman" w:eastAsia="宋体" w:cs="Times New Roman"/>
                      <w:color w:val="auto"/>
                      <w:kern w:val="0"/>
                      <w:sz w:val="21"/>
                      <w:szCs w:val="21"/>
                      <w:u w:val="none"/>
                      <w:lang w:bidi="ar"/>
                    </w:rPr>
                    <w:t>。项目不属于钢铁和水泥企业。</w:t>
                  </w:r>
                </w:p>
              </w:tc>
              <w:tc>
                <w:tcPr>
                  <w:tcW w:w="850" w:type="dxa"/>
                  <w:tcBorders>
                    <w:top w:val="single" w:color="auto" w:sz="4" w:space="0"/>
                    <w:left w:val="single" w:color="auto" w:sz="4" w:space="0"/>
                    <w:bottom w:val="single" w:color="auto" w:sz="4" w:space="0"/>
                    <w:tl2br w:val="nil"/>
                    <w:tr2bl w:val="nil"/>
                  </w:tcBorders>
                  <w:noWrap w:val="0"/>
                  <w:vAlign w:val="center"/>
                </w:tcPr>
                <w:p w14:paraId="6ECA3830">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lang w:bidi="ar"/>
                    </w:rPr>
                  </w:pPr>
                  <w:r>
                    <w:rPr>
                      <w:rFonts w:hint="default" w:ascii="Times New Roman" w:hAnsi="Times New Roman" w:eastAsia="宋体" w:cs="Times New Roman"/>
                      <w:color w:val="auto"/>
                      <w:kern w:val="0"/>
                      <w:sz w:val="21"/>
                      <w:szCs w:val="21"/>
                      <w:u w:val="none"/>
                      <w:lang w:bidi="ar"/>
                    </w:rPr>
                    <w:t>符合</w:t>
                  </w:r>
                </w:p>
              </w:tc>
            </w:tr>
            <w:tr w14:paraId="20BED80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64" w:type="dxa"/>
                  <w:tcBorders>
                    <w:top w:val="single" w:color="auto" w:sz="4" w:space="0"/>
                    <w:bottom w:val="single" w:color="auto" w:sz="4" w:space="0"/>
                    <w:right w:val="single" w:color="auto" w:sz="4" w:space="0"/>
                    <w:tl2br w:val="nil"/>
                    <w:tr2bl w:val="nil"/>
                  </w:tcBorders>
                  <w:noWrap w:val="0"/>
                  <w:vAlign w:val="center"/>
                </w:tcPr>
                <w:p w14:paraId="69140CB4">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eastAsia" w:ascii="Times New Roman" w:hAnsi="Times New Roman" w:eastAsia="宋体" w:cs="Times New Roman"/>
                      <w:color w:val="auto"/>
                      <w:kern w:val="0"/>
                      <w:sz w:val="21"/>
                      <w:szCs w:val="21"/>
                      <w:u w:val="none"/>
                      <w:lang w:eastAsia="zh-CN" w:bidi="ar"/>
                    </w:rPr>
                  </w:pPr>
                  <w:r>
                    <w:rPr>
                      <w:rFonts w:hint="eastAsia" w:cs="Times New Roman"/>
                      <w:color w:val="auto"/>
                      <w:kern w:val="0"/>
                      <w:sz w:val="21"/>
                      <w:szCs w:val="21"/>
                      <w:u w:val="none"/>
                      <w:lang w:val="en-US" w:eastAsia="zh-CN" w:bidi="ar"/>
                    </w:rPr>
                    <w:t>8</w:t>
                  </w:r>
                </w:p>
              </w:tc>
              <w:tc>
                <w:tcPr>
                  <w:tcW w:w="2982" w:type="dxa"/>
                  <w:tcBorders>
                    <w:top w:val="single" w:color="auto" w:sz="4" w:space="0"/>
                    <w:left w:val="single" w:color="auto" w:sz="4" w:space="0"/>
                    <w:bottom w:val="single" w:color="auto" w:sz="4" w:space="0"/>
                    <w:right w:val="single" w:color="auto" w:sz="4" w:space="0"/>
                    <w:tl2br w:val="nil"/>
                    <w:tr2bl w:val="nil"/>
                  </w:tcBorders>
                  <w:noWrap w:val="0"/>
                  <w:vAlign w:val="center"/>
                </w:tcPr>
                <w:p w14:paraId="69083A19">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lang w:bidi="ar"/>
                    </w:rPr>
                  </w:pPr>
                  <w:r>
                    <w:rPr>
                      <w:rFonts w:hint="default" w:ascii="Times New Roman" w:hAnsi="Times New Roman" w:eastAsia="宋体" w:cs="Times New Roman"/>
                      <w:b/>
                      <w:color w:val="auto"/>
                      <w:sz w:val="21"/>
                      <w:szCs w:val="21"/>
                      <w:u w:val="none"/>
                    </w:rPr>
                    <w:t>开展涉VOCs重点行业全流程整治。</w:t>
                  </w:r>
                  <w:r>
                    <w:rPr>
                      <w:rFonts w:hint="default" w:ascii="Times New Roman" w:hAnsi="Times New Roman" w:eastAsia="宋体" w:cs="Times New Roman"/>
                      <w:color w:val="auto"/>
                      <w:sz w:val="21"/>
                      <w:szCs w:val="21"/>
                      <w:u w:val="none"/>
                      <w:shd w:val="clear" w:color="auto" w:fill="FFFFFF"/>
                    </w:rPr>
                    <w:t>持续开展VOCs治理突出问题排查，清理整顿简易低效、不合规定治理设施，强化无组织和非正常工况废气排放管控。规范开展泄漏检测与修复。推动各市州分别新建1—3个涉VOCs“绿岛”项目。</w:t>
                  </w:r>
                </w:p>
              </w:tc>
              <w:tc>
                <w:tcPr>
                  <w:tcW w:w="252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443A08C">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lang w:val="en-US" w:eastAsia="zh-CN" w:bidi="ar"/>
                    </w:rPr>
                  </w:pPr>
                  <w:r>
                    <w:rPr>
                      <w:rFonts w:hint="default" w:ascii="Times New Roman" w:hAnsi="Times New Roman" w:eastAsia="宋体" w:cs="Times New Roman"/>
                      <w:color w:val="auto"/>
                      <w:kern w:val="0"/>
                      <w:sz w:val="21"/>
                      <w:szCs w:val="21"/>
                      <w:u w:val="none"/>
                      <w:lang w:bidi="ar"/>
                    </w:rPr>
                    <w:t>本项目</w:t>
                  </w:r>
                  <w:r>
                    <w:rPr>
                      <w:rFonts w:hint="default" w:ascii="Times New Roman" w:hAnsi="Times New Roman" w:eastAsia="宋体" w:cs="Times New Roman"/>
                      <w:color w:val="auto"/>
                      <w:kern w:val="0"/>
                      <w:sz w:val="21"/>
                      <w:szCs w:val="21"/>
                      <w:u w:val="none"/>
                      <w:lang w:eastAsia="zh-CN" w:bidi="ar"/>
                    </w:rPr>
                    <w:t>不涉及</w:t>
                  </w:r>
                  <w:r>
                    <w:rPr>
                      <w:rFonts w:hint="default" w:ascii="Times New Roman" w:hAnsi="Times New Roman" w:eastAsia="宋体" w:cs="Times New Roman"/>
                      <w:color w:val="auto"/>
                      <w:kern w:val="0"/>
                      <w:sz w:val="21"/>
                      <w:szCs w:val="21"/>
                      <w:u w:val="none"/>
                      <w:lang w:val="en-US" w:eastAsia="zh-CN" w:bidi="ar"/>
                    </w:rPr>
                    <w:t>VOCs</w:t>
                  </w:r>
                </w:p>
              </w:tc>
              <w:tc>
                <w:tcPr>
                  <w:tcW w:w="850" w:type="dxa"/>
                  <w:tcBorders>
                    <w:top w:val="single" w:color="auto" w:sz="4" w:space="0"/>
                    <w:left w:val="single" w:color="auto" w:sz="4" w:space="0"/>
                    <w:bottom w:val="single" w:color="auto" w:sz="4" w:space="0"/>
                    <w:tl2br w:val="nil"/>
                    <w:tr2bl w:val="nil"/>
                  </w:tcBorders>
                  <w:noWrap w:val="0"/>
                  <w:vAlign w:val="center"/>
                </w:tcPr>
                <w:p w14:paraId="6C929A60">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lang w:bidi="ar"/>
                    </w:rPr>
                  </w:pPr>
                  <w:r>
                    <w:rPr>
                      <w:rFonts w:hint="default" w:ascii="Times New Roman" w:hAnsi="Times New Roman" w:eastAsia="宋体" w:cs="Times New Roman"/>
                      <w:color w:val="auto"/>
                      <w:kern w:val="0"/>
                      <w:sz w:val="21"/>
                      <w:szCs w:val="21"/>
                      <w:u w:val="none"/>
                      <w:lang w:bidi="ar"/>
                    </w:rPr>
                    <w:t>符合</w:t>
                  </w:r>
                </w:p>
              </w:tc>
            </w:tr>
            <w:tr w14:paraId="796A7A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64" w:type="dxa"/>
                  <w:tcBorders>
                    <w:top w:val="single" w:color="auto" w:sz="4" w:space="0"/>
                    <w:right w:val="single" w:color="auto" w:sz="4" w:space="0"/>
                    <w:tl2br w:val="nil"/>
                    <w:tr2bl w:val="nil"/>
                  </w:tcBorders>
                  <w:noWrap w:val="0"/>
                  <w:vAlign w:val="center"/>
                </w:tcPr>
                <w:p w14:paraId="3D928269">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eastAsia" w:ascii="Times New Roman" w:hAnsi="Times New Roman" w:eastAsia="宋体" w:cs="Times New Roman"/>
                      <w:color w:val="auto"/>
                      <w:kern w:val="0"/>
                      <w:sz w:val="21"/>
                      <w:szCs w:val="21"/>
                      <w:u w:val="none"/>
                      <w:lang w:eastAsia="zh-CN" w:bidi="ar"/>
                    </w:rPr>
                  </w:pPr>
                  <w:r>
                    <w:rPr>
                      <w:rFonts w:hint="eastAsia" w:cs="Times New Roman"/>
                      <w:color w:val="auto"/>
                      <w:kern w:val="0"/>
                      <w:sz w:val="21"/>
                      <w:szCs w:val="21"/>
                      <w:u w:val="none"/>
                      <w:lang w:val="en-US" w:eastAsia="zh-CN" w:bidi="ar"/>
                    </w:rPr>
                    <w:t>9</w:t>
                  </w:r>
                </w:p>
              </w:tc>
              <w:tc>
                <w:tcPr>
                  <w:tcW w:w="2982" w:type="dxa"/>
                  <w:tcBorders>
                    <w:top w:val="single" w:color="auto" w:sz="4" w:space="0"/>
                    <w:left w:val="single" w:color="auto" w:sz="4" w:space="0"/>
                    <w:right w:val="single" w:color="auto" w:sz="4" w:space="0"/>
                    <w:tl2br w:val="nil"/>
                    <w:tr2bl w:val="nil"/>
                  </w:tcBorders>
                  <w:noWrap w:val="0"/>
                  <w:vAlign w:val="center"/>
                </w:tcPr>
                <w:p w14:paraId="218C62EA">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lang w:bidi="ar"/>
                    </w:rPr>
                  </w:pPr>
                  <w:r>
                    <w:rPr>
                      <w:rFonts w:hint="default" w:ascii="Times New Roman" w:hAnsi="Times New Roman" w:eastAsia="宋体" w:cs="Times New Roman"/>
                      <w:b/>
                      <w:color w:val="auto"/>
                      <w:sz w:val="21"/>
                      <w:szCs w:val="21"/>
                      <w:u w:val="none"/>
                    </w:rPr>
                    <w:t>加强工业源重污染天气应对。</w:t>
                  </w:r>
                  <w:r>
                    <w:rPr>
                      <w:rFonts w:hint="default" w:ascii="Times New Roman" w:hAnsi="Times New Roman" w:eastAsia="宋体" w:cs="Times New Roman"/>
                      <w:color w:val="auto"/>
                      <w:sz w:val="21"/>
                      <w:szCs w:val="21"/>
                      <w:u w:val="none"/>
                      <w:shd w:val="clear" w:color="auto" w:fill="FFFFFF"/>
                    </w:rPr>
                    <w:t>完善应急减排清单，确保涉气企业全覆盖。将应急减排措施纳入排污许可证管理。严厉打击在线监控运维及手工监测报告弄虚作假、治理设施不正常运行和重污染应急减排措施未落实等违法行为。积极提升应急减排重点行业企业环境绩效水平。到2025年，全省非最低等级绩效水平企业占比力争达到10%，钢铁、水泥企业全部达到B（含B-）级及以上。</w:t>
                  </w:r>
                </w:p>
              </w:tc>
              <w:tc>
                <w:tcPr>
                  <w:tcW w:w="2525" w:type="dxa"/>
                  <w:tcBorders>
                    <w:top w:val="single" w:color="auto" w:sz="4" w:space="0"/>
                    <w:left w:val="single" w:color="auto" w:sz="4" w:space="0"/>
                    <w:right w:val="single" w:color="auto" w:sz="4" w:space="0"/>
                    <w:tl2br w:val="nil"/>
                    <w:tr2bl w:val="nil"/>
                  </w:tcBorders>
                  <w:noWrap w:val="0"/>
                  <w:vAlign w:val="center"/>
                </w:tcPr>
                <w:p w14:paraId="39BF4FE4">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lang w:bidi="ar"/>
                    </w:rPr>
                  </w:pPr>
                  <w:r>
                    <w:rPr>
                      <w:rFonts w:hint="default" w:ascii="Times New Roman" w:hAnsi="Times New Roman" w:eastAsia="宋体" w:cs="Times New Roman"/>
                      <w:color w:val="auto"/>
                      <w:kern w:val="0"/>
                      <w:sz w:val="21"/>
                      <w:szCs w:val="21"/>
                      <w:u w:val="none"/>
                      <w:lang w:bidi="ar"/>
                    </w:rPr>
                    <w:t>本项目将按要求实施重污染天气应对，及时申报排污许可相关手续，本项目为</w:t>
                  </w:r>
                  <w:r>
                    <w:rPr>
                      <w:rFonts w:hint="default" w:ascii="Times New Roman" w:hAnsi="Times New Roman" w:eastAsia="宋体" w:cs="Times New Roman"/>
                      <w:color w:val="auto"/>
                      <w:kern w:val="0"/>
                      <w:sz w:val="21"/>
                      <w:szCs w:val="21"/>
                      <w:u w:val="none"/>
                      <w:lang w:val="en-US" w:eastAsia="zh-CN" w:bidi="ar"/>
                    </w:rPr>
                    <w:t>食品制造</w:t>
                  </w:r>
                  <w:r>
                    <w:rPr>
                      <w:rFonts w:hint="default" w:ascii="Times New Roman" w:hAnsi="Times New Roman" w:eastAsia="宋体" w:cs="Times New Roman"/>
                      <w:color w:val="auto"/>
                      <w:kern w:val="0"/>
                      <w:sz w:val="21"/>
                      <w:szCs w:val="21"/>
                      <w:u w:val="none"/>
                      <w:lang w:bidi="ar"/>
                    </w:rPr>
                    <w:t>项目，不属于重点行业。</w:t>
                  </w:r>
                </w:p>
              </w:tc>
              <w:tc>
                <w:tcPr>
                  <w:tcW w:w="850" w:type="dxa"/>
                  <w:tcBorders>
                    <w:top w:val="single" w:color="auto" w:sz="4" w:space="0"/>
                    <w:left w:val="single" w:color="auto" w:sz="4" w:space="0"/>
                    <w:tl2br w:val="nil"/>
                    <w:tr2bl w:val="nil"/>
                  </w:tcBorders>
                  <w:noWrap w:val="0"/>
                  <w:vAlign w:val="center"/>
                </w:tcPr>
                <w:p w14:paraId="54735035">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lang w:bidi="ar"/>
                    </w:rPr>
                  </w:pPr>
                  <w:r>
                    <w:rPr>
                      <w:rFonts w:hint="default" w:ascii="Times New Roman" w:hAnsi="Times New Roman" w:eastAsia="宋体" w:cs="Times New Roman"/>
                      <w:color w:val="auto"/>
                      <w:kern w:val="0"/>
                      <w:sz w:val="21"/>
                      <w:szCs w:val="21"/>
                      <w:u w:val="none"/>
                      <w:lang w:bidi="ar"/>
                    </w:rPr>
                    <w:t>符合</w:t>
                  </w:r>
                </w:p>
              </w:tc>
            </w:tr>
          </w:tbl>
          <w:p w14:paraId="4687967A">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4"/>
                <w:highlight w:val="none"/>
                <w:u w:val="none"/>
                <w:lang w:val="en-US" w:eastAsia="zh-CN" w:bidi="ar-SA"/>
              </w:rPr>
            </w:pPr>
            <w:r>
              <w:rPr>
                <w:rFonts w:hint="default" w:ascii="Times New Roman" w:hAnsi="Times New Roman" w:eastAsia="宋体" w:cs="Times New Roman"/>
                <w:color w:val="auto"/>
                <w:kern w:val="0"/>
                <w:sz w:val="24"/>
                <w:szCs w:val="24"/>
                <w:highlight w:val="none"/>
                <w:u w:val="none"/>
                <w:lang w:val="en-US" w:eastAsia="zh-CN" w:bidi="ar-SA"/>
              </w:rPr>
              <w:t>综上所述，本项目符合《湖南省大气污染防治“守护蓝天”攻坚行动计划（2023—2025年）》中的相关要求。</w:t>
            </w:r>
          </w:p>
          <w:p w14:paraId="46D2BE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textAlignment w:val="auto"/>
              <w:rPr>
                <w:rFonts w:hint="default" w:ascii="Times New Roman" w:hAnsi="Times New Roman" w:cs="Times New Roman"/>
                <w:b/>
                <w:bCs/>
                <w:color w:val="auto"/>
                <w:sz w:val="24"/>
                <w:szCs w:val="24"/>
                <w:highlight w:val="none"/>
                <w:lang w:val="en-US" w:eastAsia="zh-CN"/>
              </w:rPr>
            </w:pPr>
            <w:r>
              <w:rPr>
                <w:rFonts w:hint="eastAsia" w:cs="Times New Roman"/>
                <w:b/>
                <w:bCs/>
                <w:color w:val="auto"/>
                <w:sz w:val="24"/>
                <w:szCs w:val="24"/>
                <w:highlight w:val="none"/>
                <w:lang w:val="en-US" w:eastAsia="zh-CN"/>
              </w:rPr>
              <w:t>7</w:t>
            </w:r>
            <w:r>
              <w:rPr>
                <w:rFonts w:hint="eastAsia" w:ascii="Times New Roman" w:hAnsi="Times New Roman" w:cs="Times New Roman"/>
                <w:b/>
                <w:bCs/>
                <w:color w:val="auto"/>
                <w:sz w:val="24"/>
                <w:szCs w:val="24"/>
                <w:highlight w:val="none"/>
                <w:lang w:val="en-US" w:eastAsia="zh-CN"/>
              </w:rPr>
              <w:t>、与《食品安全国家标准 食品生产通用卫生规范》（GB14811-2013）相符性分析</w:t>
            </w:r>
          </w:p>
          <w:p w14:paraId="41DD8E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cs="Times New Roman"/>
                <w:b w:val="0"/>
                <w:bCs w:val="0"/>
                <w:color w:val="auto"/>
                <w:sz w:val="24"/>
                <w:szCs w:val="24"/>
                <w:highlight w:val="none"/>
                <w:lang w:val="en-US" w:eastAsia="zh-CN"/>
              </w:rPr>
            </w:pPr>
            <w:r>
              <w:rPr>
                <w:rFonts w:hint="eastAsia" w:ascii="Times New Roman" w:hAnsi="Times New Roman" w:cs="Times New Roman"/>
                <w:b w:val="0"/>
                <w:bCs w:val="0"/>
                <w:color w:val="auto"/>
                <w:sz w:val="24"/>
                <w:szCs w:val="24"/>
                <w:highlight w:val="none"/>
                <w:lang w:val="en-US" w:eastAsia="zh-CN"/>
              </w:rPr>
              <w:t>本项目与《食品安全国家标准 食品生产通用卫生规范》（GB14811-2013）的相符性如下：</w:t>
            </w:r>
          </w:p>
          <w:p w14:paraId="4B2074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22" w:firstLineChars="200"/>
              <w:jc w:val="center"/>
              <w:textAlignment w:val="auto"/>
              <w:rPr>
                <w:rFonts w:hint="eastAsia" w:ascii="Times New Roman" w:hAnsi="Times New Roman" w:eastAsia="宋体" w:cs="Times New Roman"/>
                <w:b/>
                <w:color w:val="auto"/>
                <w:sz w:val="21"/>
                <w:szCs w:val="21"/>
                <w:u w:val="none"/>
                <w:lang w:val="en-US" w:eastAsia="zh-CN"/>
              </w:rPr>
            </w:pPr>
            <w:r>
              <w:rPr>
                <w:rFonts w:hint="default" w:ascii="Times New Roman" w:hAnsi="Times New Roman" w:eastAsia="宋体" w:cs="Times New Roman"/>
                <w:b/>
                <w:color w:val="auto"/>
                <w:kern w:val="0"/>
                <w:sz w:val="21"/>
                <w:szCs w:val="21"/>
                <w:u w:val="none"/>
                <w:lang w:bidi="ar"/>
              </w:rPr>
              <w:t>表</w:t>
            </w:r>
            <w:r>
              <w:rPr>
                <w:rFonts w:hint="default" w:ascii="Times New Roman" w:hAnsi="Times New Roman" w:eastAsia="宋体" w:cs="Times New Roman"/>
                <w:b/>
                <w:color w:val="auto"/>
                <w:sz w:val="21"/>
                <w:szCs w:val="21"/>
                <w:u w:val="none"/>
              </w:rPr>
              <w:t>1-</w:t>
            </w:r>
            <w:r>
              <w:rPr>
                <w:rFonts w:hint="eastAsia" w:cs="Times New Roman"/>
                <w:b/>
                <w:color w:val="auto"/>
                <w:sz w:val="21"/>
                <w:szCs w:val="21"/>
                <w:u w:val="none"/>
                <w:lang w:val="en-US" w:eastAsia="zh-CN"/>
              </w:rPr>
              <w:t>6</w:t>
            </w:r>
            <w:r>
              <w:rPr>
                <w:rFonts w:hint="eastAsia" w:ascii="Times New Roman" w:hAnsi="Times New Roman" w:eastAsia="宋体" w:cs="Times New Roman"/>
                <w:b/>
                <w:color w:val="auto"/>
                <w:sz w:val="21"/>
                <w:szCs w:val="21"/>
                <w:u w:val="none"/>
                <w:lang w:val="en-US" w:eastAsia="zh-CN"/>
              </w:rPr>
              <w:t xml:space="preserve"> 与《食品安全国家标准 食品生产通用卫生规范》（GB14811-2013）符合性分析一览表</w:t>
            </w:r>
          </w:p>
          <w:tbl>
            <w:tblPr>
              <w:tblStyle w:val="43"/>
              <w:tblW w:w="71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6"/>
              <w:gridCol w:w="3658"/>
              <w:gridCol w:w="1952"/>
              <w:gridCol w:w="680"/>
            </w:tblGrid>
            <w:tr w14:paraId="5D7613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dxa"/>
                  <w:tcBorders>
                    <w:top w:val="single" w:color="auto" w:sz="12" w:space="0"/>
                  </w:tcBorders>
                  <w:vAlign w:val="center"/>
                </w:tcPr>
                <w:p w14:paraId="6B8D3B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auto"/>
                      <w:sz w:val="21"/>
                      <w:szCs w:val="21"/>
                      <w:u w:val="none"/>
                      <w:vertAlign w:val="baseline"/>
                      <w:lang w:val="en-US" w:eastAsia="zh-CN"/>
                    </w:rPr>
                  </w:pPr>
                  <w:r>
                    <w:rPr>
                      <w:rFonts w:hint="eastAsia" w:ascii="Times New Roman" w:hAnsi="Times New Roman" w:eastAsia="宋体" w:cs="Times New Roman"/>
                      <w:b w:val="0"/>
                      <w:bCs/>
                      <w:color w:val="auto"/>
                      <w:sz w:val="21"/>
                      <w:szCs w:val="21"/>
                      <w:u w:val="none"/>
                      <w:vertAlign w:val="baseline"/>
                      <w:lang w:val="en-US" w:eastAsia="zh-CN"/>
                    </w:rPr>
                    <w:t>类别</w:t>
                  </w:r>
                </w:p>
              </w:tc>
              <w:tc>
                <w:tcPr>
                  <w:tcW w:w="3658" w:type="dxa"/>
                  <w:tcBorders>
                    <w:top w:val="single" w:color="auto" w:sz="12" w:space="0"/>
                  </w:tcBorders>
                  <w:vAlign w:val="center"/>
                </w:tcPr>
                <w:p w14:paraId="7DA5F9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auto"/>
                      <w:sz w:val="21"/>
                      <w:szCs w:val="21"/>
                      <w:u w:val="none"/>
                      <w:vertAlign w:val="baseline"/>
                      <w:lang w:val="en-US" w:eastAsia="zh-CN"/>
                    </w:rPr>
                  </w:pPr>
                  <w:r>
                    <w:rPr>
                      <w:rFonts w:hint="eastAsia" w:ascii="Times New Roman" w:hAnsi="Times New Roman" w:eastAsia="宋体" w:cs="Times New Roman"/>
                      <w:b w:val="0"/>
                      <w:bCs/>
                      <w:color w:val="auto"/>
                      <w:sz w:val="21"/>
                      <w:szCs w:val="21"/>
                      <w:u w:val="none"/>
                      <w:vertAlign w:val="baseline"/>
                      <w:lang w:val="en-US" w:eastAsia="zh-CN"/>
                    </w:rPr>
                    <w:t>规范要求</w:t>
                  </w:r>
                </w:p>
              </w:tc>
              <w:tc>
                <w:tcPr>
                  <w:tcW w:w="1952" w:type="dxa"/>
                  <w:tcBorders>
                    <w:top w:val="single" w:color="auto" w:sz="12" w:space="0"/>
                  </w:tcBorders>
                  <w:vAlign w:val="center"/>
                </w:tcPr>
                <w:p w14:paraId="098590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auto"/>
                      <w:sz w:val="21"/>
                      <w:szCs w:val="21"/>
                      <w:u w:val="none"/>
                      <w:vertAlign w:val="baseline"/>
                      <w:lang w:val="en-US" w:eastAsia="zh-CN"/>
                    </w:rPr>
                  </w:pPr>
                  <w:r>
                    <w:rPr>
                      <w:rFonts w:hint="eastAsia" w:ascii="Times New Roman" w:hAnsi="Times New Roman" w:eastAsia="宋体" w:cs="Times New Roman"/>
                      <w:b w:val="0"/>
                      <w:bCs/>
                      <w:color w:val="auto"/>
                      <w:sz w:val="21"/>
                      <w:szCs w:val="21"/>
                      <w:u w:val="none"/>
                      <w:vertAlign w:val="baseline"/>
                      <w:lang w:val="en-US" w:eastAsia="zh-CN"/>
                    </w:rPr>
                    <w:t>项目情况</w:t>
                  </w:r>
                </w:p>
              </w:tc>
              <w:tc>
                <w:tcPr>
                  <w:tcW w:w="680" w:type="dxa"/>
                  <w:tcBorders>
                    <w:top w:val="single" w:color="auto" w:sz="12" w:space="0"/>
                    <w:right w:val="single" w:color="auto" w:sz="12" w:space="0"/>
                  </w:tcBorders>
                  <w:vAlign w:val="center"/>
                </w:tcPr>
                <w:p w14:paraId="532EA7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auto"/>
                      <w:sz w:val="21"/>
                      <w:szCs w:val="21"/>
                      <w:u w:val="none"/>
                      <w:vertAlign w:val="baseline"/>
                      <w:lang w:val="en-US" w:eastAsia="zh-CN"/>
                    </w:rPr>
                  </w:pPr>
                  <w:r>
                    <w:rPr>
                      <w:rFonts w:hint="eastAsia" w:ascii="Times New Roman" w:hAnsi="Times New Roman" w:eastAsia="宋体" w:cs="Times New Roman"/>
                      <w:b w:val="0"/>
                      <w:bCs/>
                      <w:color w:val="auto"/>
                      <w:sz w:val="21"/>
                      <w:szCs w:val="21"/>
                      <w:u w:val="none"/>
                      <w:vertAlign w:val="baseline"/>
                      <w:lang w:val="en-US" w:eastAsia="zh-CN"/>
                    </w:rPr>
                    <w:t>符合性</w:t>
                  </w:r>
                </w:p>
              </w:tc>
            </w:tr>
            <w:tr w14:paraId="1ED40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dxa"/>
                  <w:tcBorders>
                    <w:left w:val="single" w:color="auto" w:sz="4" w:space="0"/>
                  </w:tcBorders>
                  <w:vAlign w:val="center"/>
                </w:tcPr>
                <w:p w14:paraId="6F8246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auto"/>
                      <w:sz w:val="21"/>
                      <w:szCs w:val="21"/>
                      <w:u w:val="none"/>
                      <w:vertAlign w:val="baseline"/>
                      <w:lang w:val="en-US" w:eastAsia="zh-CN"/>
                    </w:rPr>
                  </w:pPr>
                  <w:r>
                    <w:rPr>
                      <w:rFonts w:hint="eastAsia" w:ascii="Times New Roman" w:hAnsi="Times New Roman" w:eastAsia="宋体" w:cs="Times New Roman"/>
                      <w:b w:val="0"/>
                      <w:bCs/>
                      <w:color w:val="auto"/>
                      <w:sz w:val="21"/>
                      <w:szCs w:val="21"/>
                      <w:u w:val="none"/>
                      <w:vertAlign w:val="baseline"/>
                      <w:lang w:val="en-US" w:eastAsia="zh-CN"/>
                    </w:rPr>
                    <w:t>选址</w:t>
                  </w:r>
                </w:p>
              </w:tc>
              <w:tc>
                <w:tcPr>
                  <w:tcW w:w="3658" w:type="dxa"/>
                  <w:vAlign w:val="center"/>
                </w:tcPr>
                <w:p w14:paraId="3C19C3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b w:val="0"/>
                      <w:bCs/>
                      <w:color w:val="auto"/>
                      <w:sz w:val="21"/>
                      <w:szCs w:val="21"/>
                      <w:u w:val="none"/>
                      <w:vertAlign w:val="baseline"/>
                      <w:lang w:val="en-US" w:eastAsia="zh-CN"/>
                    </w:rPr>
                  </w:pPr>
                  <w:r>
                    <w:rPr>
                      <w:rFonts w:hint="default" w:ascii="Times New Roman" w:hAnsi="Times New Roman" w:eastAsia="宋体" w:cs="Times New Roman"/>
                      <w:b w:val="0"/>
                      <w:bCs/>
                      <w:color w:val="auto"/>
                      <w:sz w:val="21"/>
                      <w:szCs w:val="21"/>
                      <w:u w:val="none"/>
                      <w:vertAlign w:val="baseline"/>
                      <w:lang w:val="en-US" w:eastAsia="zh-CN"/>
                    </w:rPr>
                    <w:t>1 厂区不应选择对食品有显著污染的区域。如某地对食品安全和食品宜食用性存在明显的不利影响，且无法通过采取措施加以改善，应避免在该地址建厂。</w:t>
                  </w:r>
                </w:p>
                <w:p w14:paraId="406AD6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b w:val="0"/>
                      <w:bCs/>
                      <w:color w:val="auto"/>
                      <w:sz w:val="21"/>
                      <w:szCs w:val="21"/>
                      <w:u w:val="none"/>
                      <w:vertAlign w:val="baseline"/>
                      <w:lang w:val="en-US" w:eastAsia="zh-CN"/>
                    </w:rPr>
                  </w:pPr>
                  <w:r>
                    <w:rPr>
                      <w:rFonts w:hint="default" w:ascii="Times New Roman" w:hAnsi="Times New Roman" w:eastAsia="宋体" w:cs="Times New Roman"/>
                      <w:b w:val="0"/>
                      <w:bCs/>
                      <w:color w:val="auto"/>
                      <w:sz w:val="21"/>
                      <w:szCs w:val="21"/>
                      <w:u w:val="none"/>
                      <w:vertAlign w:val="baseline"/>
                      <w:lang w:val="en-US" w:eastAsia="zh-CN"/>
                    </w:rPr>
                    <w:t>2 厂区不应选择有害废弃物以及粉尘、有害气体、放射性物质和其他扩散性污染源不能有效清除的地址。</w:t>
                  </w:r>
                </w:p>
                <w:p w14:paraId="51D061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b w:val="0"/>
                      <w:bCs/>
                      <w:color w:val="auto"/>
                      <w:sz w:val="21"/>
                      <w:szCs w:val="21"/>
                      <w:u w:val="none"/>
                      <w:vertAlign w:val="baseline"/>
                      <w:lang w:val="en-US" w:eastAsia="zh-CN"/>
                    </w:rPr>
                  </w:pPr>
                  <w:r>
                    <w:rPr>
                      <w:rFonts w:hint="default" w:ascii="Times New Roman" w:hAnsi="Times New Roman" w:eastAsia="宋体" w:cs="Times New Roman"/>
                      <w:b w:val="0"/>
                      <w:bCs/>
                      <w:color w:val="auto"/>
                      <w:sz w:val="21"/>
                      <w:szCs w:val="21"/>
                      <w:u w:val="none"/>
                      <w:vertAlign w:val="baseline"/>
                      <w:lang w:val="en-US" w:eastAsia="zh-CN"/>
                    </w:rPr>
                    <w:t>3 厂区不宜择易发生洪涝灾害的地区，难避开时应设计必要的防范措施。</w:t>
                  </w:r>
                </w:p>
                <w:p w14:paraId="434C9C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b w:val="0"/>
                      <w:bCs/>
                      <w:color w:val="auto"/>
                      <w:sz w:val="21"/>
                      <w:szCs w:val="21"/>
                      <w:u w:val="none"/>
                      <w:vertAlign w:val="baseline"/>
                      <w:lang w:val="en-US" w:eastAsia="zh-CN"/>
                    </w:rPr>
                  </w:pPr>
                  <w:r>
                    <w:rPr>
                      <w:rFonts w:hint="default" w:ascii="Times New Roman" w:hAnsi="Times New Roman" w:eastAsia="宋体" w:cs="Times New Roman"/>
                      <w:b w:val="0"/>
                      <w:bCs/>
                      <w:color w:val="auto"/>
                      <w:sz w:val="21"/>
                      <w:szCs w:val="21"/>
                      <w:u w:val="none"/>
                      <w:vertAlign w:val="baseline"/>
                      <w:lang w:val="en-US" w:eastAsia="zh-CN"/>
                    </w:rPr>
                    <w:t>4 厂区周围不宜有虫害大量孳生的潜在场所，难以避开时应设计必要的防范措施。</w:t>
                  </w:r>
                </w:p>
              </w:tc>
              <w:tc>
                <w:tcPr>
                  <w:tcW w:w="1952" w:type="dxa"/>
                  <w:vAlign w:val="center"/>
                </w:tcPr>
                <w:p w14:paraId="0AE11D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auto"/>
                      <w:sz w:val="21"/>
                      <w:szCs w:val="21"/>
                      <w:u w:val="none"/>
                      <w:vertAlign w:val="baseline"/>
                      <w:lang w:val="en-US" w:eastAsia="zh-CN"/>
                    </w:rPr>
                  </w:pPr>
                  <w:r>
                    <w:rPr>
                      <w:rFonts w:hint="eastAsia" w:ascii="Times New Roman" w:hAnsi="Times New Roman" w:eastAsia="宋体" w:cs="Times New Roman"/>
                      <w:b w:val="0"/>
                      <w:bCs/>
                      <w:color w:val="auto"/>
                      <w:sz w:val="21"/>
                      <w:szCs w:val="21"/>
                      <w:u w:val="none"/>
                      <w:vertAlign w:val="baseline"/>
                      <w:lang w:val="en-US" w:eastAsia="zh-CN"/>
                    </w:rPr>
                    <w:t>本项目</w:t>
                  </w:r>
                  <w:r>
                    <w:rPr>
                      <w:rFonts w:hint="eastAsia" w:cs="Times New Roman"/>
                      <w:b w:val="0"/>
                      <w:bCs/>
                      <w:color w:val="auto"/>
                      <w:sz w:val="21"/>
                      <w:szCs w:val="21"/>
                      <w:u w:val="none"/>
                      <w:vertAlign w:val="baseline"/>
                      <w:lang w:val="en-US" w:eastAsia="zh-CN"/>
                    </w:rPr>
                    <w:t>位于大荆镇古仑村</w:t>
                  </w:r>
                  <w:r>
                    <w:rPr>
                      <w:rFonts w:hint="eastAsia" w:ascii="Times New Roman" w:hAnsi="Times New Roman" w:eastAsia="宋体" w:cs="Times New Roman"/>
                      <w:b w:val="0"/>
                      <w:bCs/>
                      <w:color w:val="auto"/>
                      <w:sz w:val="21"/>
                      <w:szCs w:val="21"/>
                      <w:u w:val="none"/>
                      <w:vertAlign w:val="baseline"/>
                      <w:lang w:val="en-US" w:eastAsia="zh-CN"/>
                    </w:rPr>
                    <w:t>，根据调查，项目周边以农田和居民为主，无有害气体等对食品有显著污染的区域。项目所在地不属于易发生洪涝灾害的地区和虫害滋生的潜在场所。</w:t>
                  </w:r>
                </w:p>
              </w:tc>
              <w:tc>
                <w:tcPr>
                  <w:tcW w:w="680" w:type="dxa"/>
                  <w:tcBorders>
                    <w:right w:val="single" w:color="auto" w:sz="12" w:space="0"/>
                  </w:tcBorders>
                  <w:vAlign w:val="center"/>
                </w:tcPr>
                <w:p w14:paraId="79222E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auto"/>
                      <w:sz w:val="21"/>
                      <w:szCs w:val="21"/>
                      <w:u w:val="none"/>
                      <w:vertAlign w:val="baseline"/>
                      <w:lang w:val="en-US" w:eastAsia="zh-CN"/>
                    </w:rPr>
                  </w:pPr>
                  <w:r>
                    <w:rPr>
                      <w:rFonts w:hint="eastAsia" w:ascii="Times New Roman" w:hAnsi="Times New Roman" w:eastAsia="宋体" w:cs="Times New Roman"/>
                      <w:b w:val="0"/>
                      <w:bCs/>
                      <w:color w:val="auto"/>
                      <w:sz w:val="21"/>
                      <w:szCs w:val="21"/>
                      <w:u w:val="none"/>
                      <w:vertAlign w:val="baseline"/>
                      <w:lang w:val="en-US" w:eastAsia="zh-CN"/>
                    </w:rPr>
                    <w:t>符合</w:t>
                  </w:r>
                </w:p>
              </w:tc>
            </w:tr>
            <w:tr w14:paraId="66F51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dxa"/>
                  <w:tcBorders>
                    <w:left w:val="single" w:color="auto" w:sz="4" w:space="0"/>
                  </w:tcBorders>
                  <w:vAlign w:val="center"/>
                </w:tcPr>
                <w:p w14:paraId="42810A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auto"/>
                      <w:sz w:val="21"/>
                      <w:szCs w:val="21"/>
                      <w:u w:val="none"/>
                      <w:vertAlign w:val="baseline"/>
                      <w:lang w:val="en-US" w:eastAsia="zh-CN"/>
                    </w:rPr>
                  </w:pPr>
                  <w:r>
                    <w:rPr>
                      <w:rFonts w:hint="eastAsia" w:ascii="Times New Roman" w:hAnsi="Times New Roman" w:eastAsia="宋体" w:cs="Times New Roman"/>
                      <w:b w:val="0"/>
                      <w:bCs/>
                      <w:color w:val="auto"/>
                      <w:sz w:val="21"/>
                      <w:szCs w:val="21"/>
                      <w:u w:val="none"/>
                      <w:vertAlign w:val="baseline"/>
                      <w:lang w:val="en-US" w:eastAsia="zh-CN"/>
                    </w:rPr>
                    <w:t>厂区环境</w:t>
                  </w:r>
                </w:p>
              </w:tc>
              <w:tc>
                <w:tcPr>
                  <w:tcW w:w="3658" w:type="dxa"/>
                  <w:vAlign w:val="center"/>
                </w:tcPr>
                <w:p w14:paraId="6534CD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b w:val="0"/>
                      <w:bCs/>
                      <w:color w:val="auto"/>
                      <w:sz w:val="21"/>
                      <w:szCs w:val="21"/>
                      <w:u w:val="none"/>
                      <w:vertAlign w:val="baseline"/>
                      <w:lang w:val="en-US" w:eastAsia="zh-CN"/>
                    </w:rPr>
                  </w:pPr>
                  <w:r>
                    <w:rPr>
                      <w:rFonts w:hint="default" w:ascii="Times New Roman" w:hAnsi="Times New Roman" w:eastAsia="宋体" w:cs="Times New Roman"/>
                      <w:b w:val="0"/>
                      <w:bCs/>
                      <w:color w:val="auto"/>
                      <w:sz w:val="21"/>
                      <w:szCs w:val="21"/>
                      <w:u w:val="none"/>
                      <w:vertAlign w:val="baseline"/>
                      <w:lang w:val="en-US" w:eastAsia="zh-CN"/>
                    </w:rPr>
                    <w:t>1 应考虑环境给食品生产带来的潜在污染风险，并采取适当的措施将其降至最低水平。</w:t>
                  </w:r>
                </w:p>
                <w:p w14:paraId="2F0F8B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b w:val="0"/>
                      <w:bCs/>
                      <w:color w:val="auto"/>
                      <w:sz w:val="21"/>
                      <w:szCs w:val="21"/>
                      <w:u w:val="none"/>
                      <w:vertAlign w:val="baseline"/>
                      <w:lang w:val="en-US" w:eastAsia="zh-CN"/>
                    </w:rPr>
                  </w:pPr>
                  <w:r>
                    <w:rPr>
                      <w:rFonts w:hint="default" w:ascii="Times New Roman" w:hAnsi="Times New Roman" w:eastAsia="宋体" w:cs="Times New Roman"/>
                      <w:b w:val="0"/>
                      <w:bCs/>
                      <w:color w:val="auto"/>
                      <w:sz w:val="21"/>
                      <w:szCs w:val="21"/>
                      <w:u w:val="none"/>
                      <w:vertAlign w:val="baseline"/>
                      <w:lang w:val="en-US" w:eastAsia="zh-CN"/>
                    </w:rPr>
                    <w:t>.2 厂区应合理布局，各功能区域划分明显，并有适当的分离或分隔措施，防止交叉污染。</w:t>
                  </w:r>
                </w:p>
                <w:p w14:paraId="4D0E10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b w:val="0"/>
                      <w:bCs/>
                      <w:color w:val="auto"/>
                      <w:sz w:val="21"/>
                      <w:szCs w:val="21"/>
                      <w:u w:val="none"/>
                      <w:vertAlign w:val="baseline"/>
                      <w:lang w:val="en-US" w:eastAsia="zh-CN"/>
                    </w:rPr>
                  </w:pPr>
                  <w:r>
                    <w:rPr>
                      <w:rFonts w:hint="default" w:ascii="Times New Roman" w:hAnsi="Times New Roman" w:eastAsia="宋体" w:cs="Times New Roman"/>
                      <w:b w:val="0"/>
                      <w:bCs/>
                      <w:color w:val="auto"/>
                      <w:sz w:val="21"/>
                      <w:szCs w:val="21"/>
                      <w:u w:val="none"/>
                      <w:vertAlign w:val="baseline"/>
                      <w:lang w:val="en-US" w:eastAsia="zh-CN"/>
                    </w:rPr>
                    <w:t>3 厂区内的道路应铺设混凝土、沥青、或者其他硬质材料；空地应采取必要措施，如铺设水泥、地砖或铺设草坪等方式，保持环境清洁，防止正常天气下扬尘和积水等现象的发生。</w:t>
                  </w:r>
                </w:p>
                <w:p w14:paraId="356D02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b w:val="0"/>
                      <w:bCs/>
                      <w:color w:val="auto"/>
                      <w:sz w:val="21"/>
                      <w:szCs w:val="21"/>
                      <w:u w:val="none"/>
                      <w:vertAlign w:val="baseline"/>
                      <w:lang w:val="en-US" w:eastAsia="zh-CN"/>
                    </w:rPr>
                  </w:pPr>
                  <w:r>
                    <w:rPr>
                      <w:rFonts w:hint="default" w:ascii="Times New Roman" w:hAnsi="Times New Roman" w:eastAsia="宋体" w:cs="Times New Roman"/>
                      <w:b w:val="0"/>
                      <w:bCs/>
                      <w:color w:val="auto"/>
                      <w:sz w:val="21"/>
                      <w:szCs w:val="21"/>
                      <w:u w:val="none"/>
                      <w:vertAlign w:val="baseline"/>
                      <w:lang w:val="en-US" w:eastAsia="zh-CN"/>
                    </w:rPr>
                    <w:t>4 厂区绿化应与生产车间保持适当距离，植被应定期维护，以防止虫害的孳生。</w:t>
                  </w:r>
                </w:p>
                <w:p w14:paraId="53921F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b w:val="0"/>
                      <w:bCs/>
                      <w:color w:val="auto"/>
                      <w:sz w:val="21"/>
                      <w:szCs w:val="21"/>
                      <w:u w:val="none"/>
                      <w:vertAlign w:val="baseline"/>
                      <w:lang w:val="en-US" w:eastAsia="zh-CN"/>
                    </w:rPr>
                  </w:pPr>
                  <w:r>
                    <w:rPr>
                      <w:rFonts w:hint="default" w:ascii="Times New Roman" w:hAnsi="Times New Roman" w:eastAsia="宋体" w:cs="Times New Roman"/>
                      <w:b w:val="0"/>
                      <w:bCs/>
                      <w:color w:val="auto"/>
                      <w:sz w:val="21"/>
                      <w:szCs w:val="21"/>
                      <w:u w:val="none"/>
                      <w:vertAlign w:val="baseline"/>
                      <w:lang w:val="en-US" w:eastAsia="zh-CN"/>
                    </w:rPr>
                    <w:t>5 厂区应有适当的排水系统。</w:t>
                  </w:r>
                </w:p>
                <w:p w14:paraId="1E07C7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b w:val="0"/>
                      <w:bCs/>
                      <w:color w:val="auto"/>
                      <w:sz w:val="21"/>
                      <w:szCs w:val="21"/>
                      <w:u w:val="none"/>
                      <w:vertAlign w:val="baseline"/>
                      <w:lang w:val="en-US" w:eastAsia="zh-CN"/>
                    </w:rPr>
                  </w:pPr>
                  <w:r>
                    <w:rPr>
                      <w:rFonts w:hint="default" w:ascii="Times New Roman" w:hAnsi="Times New Roman" w:eastAsia="宋体" w:cs="Times New Roman"/>
                      <w:b w:val="0"/>
                      <w:bCs/>
                      <w:color w:val="auto"/>
                      <w:sz w:val="21"/>
                      <w:szCs w:val="21"/>
                      <w:u w:val="none"/>
                      <w:vertAlign w:val="baseline"/>
                      <w:lang w:val="en-US" w:eastAsia="zh-CN"/>
                    </w:rPr>
                    <w:t>6 宿舍、食堂、职工娱乐设施等生活区应与生产区保持适当距离或分隔。</w:t>
                  </w:r>
                </w:p>
              </w:tc>
              <w:tc>
                <w:tcPr>
                  <w:tcW w:w="1952" w:type="dxa"/>
                  <w:vAlign w:val="center"/>
                </w:tcPr>
                <w:p w14:paraId="432871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auto"/>
                      <w:sz w:val="21"/>
                      <w:szCs w:val="21"/>
                      <w:u w:val="none"/>
                      <w:vertAlign w:val="baseline"/>
                      <w:lang w:val="en-US" w:eastAsia="zh-CN"/>
                    </w:rPr>
                  </w:pPr>
                  <w:r>
                    <w:rPr>
                      <w:rFonts w:hint="eastAsia" w:ascii="Times New Roman" w:hAnsi="Times New Roman" w:eastAsia="宋体" w:cs="Times New Roman"/>
                      <w:b w:val="0"/>
                      <w:bCs/>
                      <w:color w:val="auto"/>
                      <w:sz w:val="21"/>
                      <w:szCs w:val="21"/>
                      <w:u w:val="none"/>
                      <w:vertAlign w:val="baseline"/>
                      <w:lang w:val="en-US" w:eastAsia="zh-CN"/>
                    </w:rPr>
                    <w:t>项目周边</w:t>
                  </w:r>
                  <w:r>
                    <w:rPr>
                      <w:rFonts w:hint="eastAsia" w:cs="Times New Roman"/>
                      <w:b w:val="0"/>
                      <w:bCs/>
                      <w:color w:val="auto"/>
                      <w:sz w:val="21"/>
                      <w:szCs w:val="21"/>
                      <w:u w:val="none"/>
                      <w:vertAlign w:val="baseline"/>
                      <w:lang w:val="en-US" w:eastAsia="zh-CN"/>
                    </w:rPr>
                    <w:t>无潜在污染风险</w:t>
                  </w:r>
                  <w:r>
                    <w:rPr>
                      <w:rFonts w:hint="eastAsia" w:ascii="Times New Roman" w:hAnsi="Times New Roman" w:eastAsia="宋体" w:cs="Times New Roman"/>
                      <w:b w:val="0"/>
                      <w:bCs/>
                      <w:color w:val="auto"/>
                      <w:sz w:val="21"/>
                      <w:szCs w:val="21"/>
                      <w:u w:val="none"/>
                      <w:vertAlign w:val="baseline"/>
                      <w:lang w:val="en-US" w:eastAsia="zh-CN"/>
                    </w:rPr>
                    <w:t>，周边以农田和居民为主，潜在污染风险较小。本项目厂区合理布局，各功能区划分离，</w:t>
                  </w:r>
                  <w:r>
                    <w:rPr>
                      <w:rFonts w:hint="eastAsia" w:cs="Times New Roman"/>
                      <w:b w:val="0"/>
                      <w:bCs/>
                      <w:color w:val="auto"/>
                      <w:sz w:val="21"/>
                      <w:szCs w:val="21"/>
                      <w:u w:val="none"/>
                      <w:vertAlign w:val="baseline"/>
                      <w:lang w:val="en-US" w:eastAsia="zh-CN"/>
                    </w:rPr>
                    <w:t>生活污水</w:t>
                  </w:r>
                  <w:r>
                    <w:rPr>
                      <w:rFonts w:hint="eastAsia" w:ascii="Times New Roman" w:hAnsi="Times New Roman" w:eastAsia="宋体" w:cs="Times New Roman"/>
                      <w:b w:val="0"/>
                      <w:bCs/>
                      <w:color w:val="auto"/>
                      <w:sz w:val="21"/>
                      <w:szCs w:val="21"/>
                      <w:u w:val="none"/>
                      <w:vertAlign w:val="baseline"/>
                      <w:lang w:val="en-US" w:eastAsia="zh-CN"/>
                    </w:rPr>
                    <w:t>经化粪池处理后</w:t>
                  </w:r>
                  <w:r>
                    <w:rPr>
                      <w:rFonts w:hint="eastAsia" w:cs="Times New Roman"/>
                      <w:color w:val="auto"/>
                      <w:sz w:val="21"/>
                      <w:szCs w:val="21"/>
                      <w:highlight w:val="none"/>
                      <w:u w:val="none" w:color="auto"/>
                      <w:lang w:val="en-US" w:eastAsia="zh-CN"/>
                    </w:rPr>
                    <w:t>经槽车运往汨罗市大荆镇古仑片区污水处理站处理</w:t>
                  </w:r>
                  <w:r>
                    <w:rPr>
                      <w:rFonts w:hint="eastAsia" w:ascii="Times New Roman" w:hAnsi="Times New Roman" w:eastAsia="宋体" w:cs="Times New Roman"/>
                      <w:b w:val="0"/>
                      <w:bCs/>
                      <w:color w:val="auto"/>
                      <w:sz w:val="21"/>
                      <w:szCs w:val="21"/>
                      <w:u w:val="none"/>
                      <w:vertAlign w:val="baseline"/>
                      <w:lang w:val="en-US" w:eastAsia="zh-CN"/>
                    </w:rPr>
                    <w:t>；生产废水经自建污水处理站处理后运至</w:t>
                  </w:r>
                  <w:r>
                    <w:rPr>
                      <w:rFonts w:hint="eastAsia" w:cs="Times New Roman"/>
                      <w:b w:val="0"/>
                      <w:bCs/>
                      <w:color w:val="auto"/>
                      <w:sz w:val="21"/>
                      <w:szCs w:val="21"/>
                      <w:u w:val="none"/>
                      <w:vertAlign w:val="baseline"/>
                      <w:lang w:val="en-US" w:eastAsia="zh-CN"/>
                    </w:rPr>
                    <w:t>汨罗市大荆镇古仑片区污水处理站</w:t>
                  </w:r>
                  <w:r>
                    <w:rPr>
                      <w:rFonts w:hint="eastAsia" w:ascii="Times New Roman" w:hAnsi="Times New Roman" w:eastAsia="宋体" w:cs="Times New Roman"/>
                      <w:b w:val="0"/>
                      <w:bCs/>
                      <w:color w:val="auto"/>
                      <w:sz w:val="21"/>
                      <w:szCs w:val="21"/>
                      <w:u w:val="none"/>
                      <w:vertAlign w:val="baseline"/>
                      <w:lang w:val="en-US" w:eastAsia="zh-CN"/>
                    </w:rPr>
                    <w:t>处理，</w:t>
                  </w:r>
                  <w:r>
                    <w:rPr>
                      <w:rFonts w:hint="eastAsia" w:cs="Times New Roman"/>
                      <w:b w:val="0"/>
                      <w:bCs/>
                      <w:color w:val="auto"/>
                      <w:sz w:val="21"/>
                      <w:szCs w:val="21"/>
                      <w:u w:val="none"/>
                      <w:vertAlign w:val="baseline"/>
                      <w:lang w:val="en-US" w:eastAsia="zh-CN"/>
                    </w:rPr>
                    <w:t>员工宿舍位于厂区东侧，与生产区有一定距离</w:t>
                  </w:r>
                  <w:r>
                    <w:rPr>
                      <w:rFonts w:hint="eastAsia" w:ascii="Times New Roman" w:hAnsi="Times New Roman" w:eastAsia="宋体" w:cs="Times New Roman"/>
                      <w:b w:val="0"/>
                      <w:bCs/>
                      <w:color w:val="auto"/>
                      <w:sz w:val="21"/>
                      <w:szCs w:val="21"/>
                      <w:u w:val="none"/>
                      <w:vertAlign w:val="baseline"/>
                      <w:lang w:val="en-US" w:eastAsia="zh-CN"/>
                    </w:rPr>
                    <w:t>。</w:t>
                  </w:r>
                </w:p>
              </w:tc>
              <w:tc>
                <w:tcPr>
                  <w:tcW w:w="680" w:type="dxa"/>
                  <w:tcBorders>
                    <w:right w:val="single" w:color="auto" w:sz="12" w:space="0"/>
                  </w:tcBorders>
                  <w:vAlign w:val="center"/>
                </w:tcPr>
                <w:p w14:paraId="32AA4E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auto"/>
                      <w:sz w:val="21"/>
                      <w:szCs w:val="21"/>
                      <w:u w:val="none"/>
                      <w:vertAlign w:val="baseline"/>
                      <w:lang w:val="en-US" w:eastAsia="zh-CN"/>
                    </w:rPr>
                  </w:pPr>
                  <w:r>
                    <w:rPr>
                      <w:rFonts w:hint="eastAsia" w:ascii="Times New Roman" w:hAnsi="Times New Roman" w:eastAsia="宋体" w:cs="Times New Roman"/>
                      <w:b w:val="0"/>
                      <w:bCs/>
                      <w:color w:val="auto"/>
                      <w:sz w:val="21"/>
                      <w:szCs w:val="21"/>
                      <w:u w:val="none"/>
                      <w:vertAlign w:val="baseline"/>
                      <w:lang w:val="en-US" w:eastAsia="zh-CN"/>
                    </w:rPr>
                    <w:t>符合</w:t>
                  </w:r>
                </w:p>
              </w:tc>
            </w:tr>
            <w:tr w14:paraId="158CC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dxa"/>
                  <w:tcBorders>
                    <w:left w:val="single" w:color="auto" w:sz="4" w:space="0"/>
                  </w:tcBorders>
                  <w:vAlign w:val="center"/>
                </w:tcPr>
                <w:p w14:paraId="65C9C4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auto"/>
                      <w:sz w:val="21"/>
                      <w:szCs w:val="21"/>
                      <w:u w:val="none"/>
                      <w:vertAlign w:val="baseline"/>
                      <w:lang w:val="en-US" w:eastAsia="zh-CN"/>
                    </w:rPr>
                  </w:pPr>
                  <w:r>
                    <w:rPr>
                      <w:rFonts w:hint="eastAsia" w:ascii="Times New Roman" w:hAnsi="Times New Roman" w:eastAsia="宋体" w:cs="Times New Roman"/>
                      <w:b w:val="0"/>
                      <w:bCs/>
                      <w:color w:val="auto"/>
                      <w:sz w:val="21"/>
                      <w:szCs w:val="21"/>
                      <w:u w:val="none"/>
                      <w:vertAlign w:val="baseline"/>
                      <w:lang w:val="en-US" w:eastAsia="zh-CN"/>
                    </w:rPr>
                    <w:t>设计和布局</w:t>
                  </w:r>
                </w:p>
              </w:tc>
              <w:tc>
                <w:tcPr>
                  <w:tcW w:w="3658" w:type="dxa"/>
                  <w:vAlign w:val="center"/>
                </w:tcPr>
                <w:p w14:paraId="19E116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b w:val="0"/>
                      <w:bCs/>
                      <w:color w:val="auto"/>
                      <w:sz w:val="21"/>
                      <w:szCs w:val="21"/>
                      <w:u w:val="none"/>
                      <w:vertAlign w:val="baseline"/>
                      <w:lang w:val="en-US" w:eastAsia="zh-CN"/>
                    </w:rPr>
                  </w:pPr>
                  <w:r>
                    <w:rPr>
                      <w:rFonts w:hint="default" w:ascii="Times New Roman" w:hAnsi="Times New Roman" w:eastAsia="宋体" w:cs="Times New Roman"/>
                      <w:b w:val="0"/>
                      <w:bCs/>
                      <w:color w:val="auto"/>
                      <w:sz w:val="21"/>
                      <w:szCs w:val="21"/>
                      <w:u w:val="none"/>
                      <w:vertAlign w:val="baseline"/>
                      <w:lang w:val="en-US" w:eastAsia="zh-CN"/>
                    </w:rPr>
                    <w:t>1 厂房和车间的内部设计和布局应满足食品卫生操作要求，避免食品生产中发生交叉污染。</w:t>
                  </w:r>
                </w:p>
                <w:p w14:paraId="65181E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b w:val="0"/>
                      <w:bCs/>
                      <w:color w:val="auto"/>
                      <w:sz w:val="21"/>
                      <w:szCs w:val="21"/>
                      <w:u w:val="none"/>
                      <w:vertAlign w:val="baseline"/>
                      <w:lang w:val="en-US" w:eastAsia="zh-CN"/>
                    </w:rPr>
                  </w:pPr>
                  <w:r>
                    <w:rPr>
                      <w:rFonts w:hint="default" w:ascii="Times New Roman" w:hAnsi="Times New Roman" w:eastAsia="宋体" w:cs="Times New Roman"/>
                      <w:b w:val="0"/>
                      <w:bCs/>
                      <w:color w:val="auto"/>
                      <w:sz w:val="21"/>
                      <w:szCs w:val="21"/>
                      <w:u w:val="none"/>
                      <w:vertAlign w:val="baseline"/>
                      <w:lang w:val="en-US" w:eastAsia="zh-CN"/>
                    </w:rPr>
                    <w:t>2 厂房和车间的设计应根据生产工艺合理布局，预防和降低产品受污染的风险。</w:t>
                  </w:r>
                </w:p>
                <w:p w14:paraId="5A20C2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b w:val="0"/>
                      <w:bCs/>
                      <w:color w:val="auto"/>
                      <w:sz w:val="21"/>
                      <w:szCs w:val="21"/>
                      <w:u w:val="none"/>
                      <w:vertAlign w:val="baseline"/>
                      <w:lang w:val="en-US" w:eastAsia="zh-CN"/>
                    </w:rPr>
                  </w:pPr>
                  <w:r>
                    <w:rPr>
                      <w:rFonts w:hint="default" w:ascii="Times New Roman" w:hAnsi="Times New Roman" w:eastAsia="宋体" w:cs="Times New Roman"/>
                      <w:b w:val="0"/>
                      <w:bCs/>
                      <w:color w:val="auto"/>
                      <w:sz w:val="21"/>
                      <w:szCs w:val="21"/>
                      <w:u w:val="none"/>
                      <w:vertAlign w:val="baseline"/>
                      <w:lang w:val="en-US" w:eastAsia="zh-CN"/>
                    </w:rPr>
                    <w:t>3 厂房和车间应根据产品特点、生产工艺、生产特性以及生产过程对清洁程度的要求合理划分作业区，并采取有效分离或分隔。如：通常可划分为清洁作业区、准清洁作业区和一般作业区；或清洁作业区和一般作业区</w:t>
                  </w:r>
                </w:p>
                <w:p w14:paraId="4B284D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b w:val="0"/>
                      <w:bCs/>
                      <w:color w:val="auto"/>
                      <w:sz w:val="21"/>
                      <w:szCs w:val="21"/>
                      <w:u w:val="none"/>
                      <w:vertAlign w:val="baseline"/>
                      <w:lang w:val="en-US" w:eastAsia="zh-CN"/>
                    </w:rPr>
                  </w:pPr>
                  <w:r>
                    <w:rPr>
                      <w:rFonts w:hint="default" w:ascii="Times New Roman" w:hAnsi="Times New Roman" w:eastAsia="宋体" w:cs="Times New Roman"/>
                      <w:b w:val="0"/>
                      <w:bCs/>
                      <w:color w:val="auto"/>
                      <w:sz w:val="21"/>
                      <w:szCs w:val="21"/>
                      <w:u w:val="none"/>
                      <w:vertAlign w:val="baseline"/>
                      <w:lang w:val="en-US" w:eastAsia="zh-CN"/>
                    </w:rPr>
                    <w:t>等。一般作业区应与其他作业区域分隔。</w:t>
                  </w:r>
                </w:p>
                <w:p w14:paraId="42A26F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b w:val="0"/>
                      <w:bCs/>
                      <w:color w:val="auto"/>
                      <w:sz w:val="21"/>
                      <w:szCs w:val="21"/>
                      <w:u w:val="none"/>
                      <w:vertAlign w:val="baseline"/>
                      <w:lang w:val="en-US" w:eastAsia="zh-CN"/>
                    </w:rPr>
                  </w:pPr>
                  <w:r>
                    <w:rPr>
                      <w:rFonts w:hint="default" w:ascii="Times New Roman" w:hAnsi="Times New Roman" w:eastAsia="宋体" w:cs="Times New Roman"/>
                      <w:b w:val="0"/>
                      <w:bCs/>
                      <w:color w:val="auto"/>
                      <w:sz w:val="21"/>
                      <w:szCs w:val="21"/>
                      <w:u w:val="none"/>
                      <w:vertAlign w:val="baseline"/>
                      <w:lang w:val="en-US" w:eastAsia="zh-CN"/>
                    </w:rPr>
                    <w:t>4 厂房内设置的检验室应与生产区域分隔。</w:t>
                  </w:r>
                </w:p>
                <w:p w14:paraId="33DDED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both"/>
                    <w:textAlignment w:val="auto"/>
                    <w:rPr>
                      <w:rFonts w:hint="default" w:ascii="Times New Roman" w:hAnsi="Times New Roman" w:eastAsia="宋体" w:cs="Times New Roman"/>
                      <w:b w:val="0"/>
                      <w:bCs/>
                      <w:color w:val="auto"/>
                      <w:sz w:val="21"/>
                      <w:szCs w:val="21"/>
                      <w:u w:val="none"/>
                      <w:vertAlign w:val="baseline"/>
                      <w:lang w:val="en-US" w:eastAsia="zh-CN"/>
                    </w:rPr>
                  </w:pPr>
                  <w:r>
                    <w:rPr>
                      <w:rFonts w:hint="default" w:ascii="Times New Roman" w:hAnsi="Times New Roman" w:eastAsia="宋体" w:cs="Times New Roman"/>
                      <w:b w:val="0"/>
                      <w:bCs/>
                      <w:color w:val="auto"/>
                      <w:sz w:val="21"/>
                      <w:szCs w:val="21"/>
                      <w:u w:val="none"/>
                      <w:vertAlign w:val="baseline"/>
                      <w:lang w:val="en-US" w:eastAsia="zh-CN"/>
                    </w:rPr>
                    <w:t>5 厂房的面积和空间应与生产能力相适应，便于设备安置、清洁消毒、物料存储及人员操作。</w:t>
                  </w:r>
                </w:p>
              </w:tc>
              <w:tc>
                <w:tcPr>
                  <w:tcW w:w="1952" w:type="dxa"/>
                  <w:vAlign w:val="center"/>
                </w:tcPr>
                <w:p w14:paraId="56529A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auto"/>
                      <w:sz w:val="21"/>
                      <w:szCs w:val="21"/>
                      <w:u w:val="none"/>
                      <w:vertAlign w:val="baseline"/>
                      <w:lang w:val="en-US" w:eastAsia="zh-CN"/>
                    </w:rPr>
                  </w:pPr>
                  <w:r>
                    <w:rPr>
                      <w:rFonts w:hint="eastAsia" w:ascii="Times New Roman" w:hAnsi="Times New Roman" w:eastAsia="宋体" w:cs="Times New Roman"/>
                      <w:b w:val="0"/>
                      <w:bCs/>
                      <w:color w:val="auto"/>
                      <w:sz w:val="21"/>
                      <w:szCs w:val="21"/>
                      <w:u w:val="none"/>
                      <w:vertAlign w:val="baseline"/>
                      <w:lang w:val="en-US" w:eastAsia="zh-CN"/>
                    </w:rPr>
                    <w:t>本项目按照工艺流程布设生产线，不同区域分隔开，定期对作业区和生产设备进行清洁。</w:t>
                  </w:r>
                </w:p>
              </w:tc>
              <w:tc>
                <w:tcPr>
                  <w:tcW w:w="680" w:type="dxa"/>
                  <w:tcBorders>
                    <w:right w:val="single" w:color="auto" w:sz="12" w:space="0"/>
                  </w:tcBorders>
                  <w:vAlign w:val="center"/>
                </w:tcPr>
                <w:p w14:paraId="3052F9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auto"/>
                      <w:sz w:val="21"/>
                      <w:szCs w:val="21"/>
                      <w:u w:val="none"/>
                      <w:vertAlign w:val="baseline"/>
                      <w:lang w:val="en-US" w:eastAsia="zh-CN"/>
                    </w:rPr>
                  </w:pPr>
                  <w:r>
                    <w:rPr>
                      <w:rFonts w:hint="eastAsia" w:ascii="Times New Roman" w:hAnsi="Times New Roman" w:eastAsia="宋体" w:cs="Times New Roman"/>
                      <w:b w:val="0"/>
                      <w:bCs/>
                      <w:color w:val="auto"/>
                      <w:sz w:val="21"/>
                      <w:szCs w:val="21"/>
                      <w:u w:val="none"/>
                      <w:vertAlign w:val="baseline"/>
                      <w:lang w:val="en-US" w:eastAsia="zh-CN"/>
                    </w:rPr>
                    <w:t>符合</w:t>
                  </w:r>
                </w:p>
              </w:tc>
            </w:tr>
            <w:tr w14:paraId="22D0E0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96" w:type="dxa"/>
                  <w:tcBorders>
                    <w:left w:val="single" w:color="auto" w:sz="4" w:space="0"/>
                    <w:bottom w:val="single" w:color="auto" w:sz="12" w:space="0"/>
                  </w:tcBorders>
                  <w:vAlign w:val="center"/>
                </w:tcPr>
                <w:p w14:paraId="5A252D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auto"/>
                      <w:sz w:val="21"/>
                      <w:szCs w:val="21"/>
                      <w:u w:val="none"/>
                      <w:vertAlign w:val="baseline"/>
                      <w:lang w:val="en-US" w:eastAsia="zh-CN"/>
                    </w:rPr>
                  </w:pPr>
                  <w:r>
                    <w:rPr>
                      <w:rFonts w:hint="eastAsia" w:ascii="Times New Roman" w:hAnsi="Times New Roman" w:eastAsia="宋体" w:cs="Times New Roman"/>
                      <w:b w:val="0"/>
                      <w:bCs/>
                      <w:color w:val="auto"/>
                      <w:sz w:val="21"/>
                      <w:szCs w:val="21"/>
                      <w:u w:val="none"/>
                      <w:vertAlign w:val="baseline"/>
                      <w:lang w:val="en-US" w:eastAsia="zh-CN"/>
                    </w:rPr>
                    <w:t>废弃物存放设施</w:t>
                  </w:r>
                </w:p>
              </w:tc>
              <w:tc>
                <w:tcPr>
                  <w:tcW w:w="3658" w:type="dxa"/>
                  <w:tcBorders>
                    <w:bottom w:val="single" w:color="auto" w:sz="12" w:space="0"/>
                  </w:tcBorders>
                  <w:vAlign w:val="center"/>
                </w:tcPr>
                <w:p w14:paraId="6C1C79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auto"/>
                      <w:sz w:val="21"/>
                      <w:szCs w:val="21"/>
                      <w:u w:val="none"/>
                      <w:vertAlign w:val="baseline"/>
                      <w:lang w:val="en-US" w:eastAsia="zh-CN"/>
                    </w:rPr>
                  </w:pPr>
                  <w:r>
                    <w:rPr>
                      <w:rFonts w:hint="default" w:ascii="Times New Roman" w:hAnsi="Times New Roman" w:eastAsia="宋体" w:cs="Times New Roman"/>
                      <w:b w:val="0"/>
                      <w:bCs/>
                      <w:color w:val="auto"/>
                      <w:sz w:val="21"/>
                      <w:szCs w:val="21"/>
                      <w:u w:val="none"/>
                      <w:vertAlign w:val="baseline"/>
                      <w:lang w:val="en-US" w:eastAsia="zh-CN"/>
                    </w:rPr>
                    <w:t>应配备设计合理、防止渗漏、易于清洁的存放废弃物的专用设施；车间内存放废弃物的设施和容器应标识清晰。必要时应在适当地点设置废弃物临时存放设施，并依废弃物特性分类存放。</w:t>
                  </w:r>
                </w:p>
              </w:tc>
              <w:tc>
                <w:tcPr>
                  <w:tcW w:w="1952" w:type="dxa"/>
                  <w:tcBorders>
                    <w:bottom w:val="single" w:color="auto" w:sz="12" w:space="0"/>
                  </w:tcBorders>
                  <w:vAlign w:val="center"/>
                </w:tcPr>
                <w:p w14:paraId="3AE0DF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auto"/>
                      <w:sz w:val="21"/>
                      <w:szCs w:val="21"/>
                      <w:u w:val="none"/>
                      <w:vertAlign w:val="baseline"/>
                      <w:lang w:val="en-US" w:eastAsia="zh-CN"/>
                    </w:rPr>
                  </w:pPr>
                  <w:r>
                    <w:rPr>
                      <w:rFonts w:hint="default" w:ascii="Times New Roman" w:hAnsi="Times New Roman" w:eastAsia="宋体" w:cs="Times New Roman"/>
                      <w:b w:val="0"/>
                      <w:bCs/>
                      <w:color w:val="auto"/>
                      <w:sz w:val="21"/>
                      <w:szCs w:val="21"/>
                      <w:u w:val="none"/>
                      <w:vertAlign w:val="baseline"/>
                      <w:lang w:val="en-US" w:eastAsia="zh-CN"/>
                    </w:rPr>
                    <w:t>项目设有专门的一般固废暂存间</w:t>
                  </w:r>
                  <w:r>
                    <w:rPr>
                      <w:rFonts w:hint="eastAsia" w:cs="Times New Roman"/>
                      <w:b w:val="0"/>
                      <w:bCs/>
                      <w:color w:val="auto"/>
                      <w:sz w:val="21"/>
                      <w:szCs w:val="21"/>
                      <w:u w:val="none"/>
                      <w:vertAlign w:val="baseline"/>
                      <w:lang w:val="en-US" w:eastAsia="zh-CN"/>
                    </w:rPr>
                    <w:t>及危险废物暂存间</w:t>
                  </w:r>
                  <w:r>
                    <w:rPr>
                      <w:rFonts w:hint="default" w:ascii="Times New Roman" w:hAnsi="Times New Roman" w:eastAsia="宋体" w:cs="Times New Roman"/>
                      <w:b w:val="0"/>
                      <w:bCs/>
                      <w:color w:val="auto"/>
                      <w:sz w:val="21"/>
                      <w:szCs w:val="21"/>
                      <w:u w:val="none"/>
                      <w:vertAlign w:val="baseline"/>
                      <w:lang w:val="en-US" w:eastAsia="zh-CN"/>
                    </w:rPr>
                    <w:t>，暂存间地面应采取硬化措施，设置有防</w:t>
                  </w:r>
                </w:p>
                <w:p w14:paraId="50A6D2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auto"/>
                      <w:sz w:val="21"/>
                      <w:szCs w:val="21"/>
                      <w:u w:val="none"/>
                      <w:vertAlign w:val="baseline"/>
                      <w:lang w:val="en-US" w:eastAsia="zh-CN"/>
                    </w:rPr>
                  </w:pPr>
                  <w:r>
                    <w:rPr>
                      <w:rFonts w:hint="default" w:ascii="Times New Roman" w:hAnsi="Times New Roman" w:eastAsia="宋体" w:cs="Times New Roman"/>
                      <w:b w:val="0"/>
                      <w:bCs/>
                      <w:color w:val="auto"/>
                      <w:sz w:val="21"/>
                      <w:szCs w:val="21"/>
                      <w:u w:val="none"/>
                      <w:vertAlign w:val="baseline"/>
                      <w:lang w:val="en-US" w:eastAsia="zh-CN"/>
                    </w:rPr>
                    <w:t>风、防雨、防晒、</w:t>
                  </w:r>
                </w:p>
                <w:p w14:paraId="62CB77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auto"/>
                      <w:sz w:val="21"/>
                      <w:szCs w:val="21"/>
                      <w:u w:val="none"/>
                      <w:vertAlign w:val="baseline"/>
                      <w:lang w:val="en-US" w:eastAsia="zh-CN"/>
                    </w:rPr>
                  </w:pPr>
                  <w:r>
                    <w:rPr>
                      <w:rFonts w:hint="default" w:ascii="Times New Roman" w:hAnsi="Times New Roman" w:eastAsia="宋体" w:cs="Times New Roman"/>
                      <w:b w:val="0"/>
                      <w:bCs/>
                      <w:color w:val="auto"/>
                      <w:sz w:val="21"/>
                      <w:szCs w:val="21"/>
                      <w:u w:val="none"/>
                      <w:vertAlign w:val="baseline"/>
                      <w:lang w:val="en-US" w:eastAsia="zh-CN"/>
                    </w:rPr>
                    <w:t>防渗措施</w:t>
                  </w:r>
                </w:p>
              </w:tc>
              <w:tc>
                <w:tcPr>
                  <w:tcW w:w="680" w:type="dxa"/>
                  <w:tcBorders>
                    <w:bottom w:val="single" w:color="auto" w:sz="12" w:space="0"/>
                    <w:right w:val="single" w:color="auto" w:sz="12" w:space="0"/>
                  </w:tcBorders>
                  <w:vAlign w:val="center"/>
                </w:tcPr>
                <w:p w14:paraId="462883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color w:val="auto"/>
                      <w:sz w:val="21"/>
                      <w:szCs w:val="21"/>
                      <w:u w:val="none"/>
                      <w:vertAlign w:val="baseline"/>
                      <w:lang w:val="en-US" w:eastAsia="zh-CN"/>
                    </w:rPr>
                  </w:pPr>
                  <w:r>
                    <w:rPr>
                      <w:rFonts w:hint="eastAsia" w:ascii="Times New Roman" w:hAnsi="Times New Roman" w:eastAsia="宋体" w:cs="Times New Roman"/>
                      <w:b w:val="0"/>
                      <w:bCs/>
                      <w:color w:val="auto"/>
                      <w:sz w:val="21"/>
                      <w:szCs w:val="21"/>
                      <w:u w:val="none"/>
                      <w:vertAlign w:val="baseline"/>
                      <w:lang w:val="en-US" w:eastAsia="zh-CN"/>
                    </w:rPr>
                    <w:t>符合</w:t>
                  </w:r>
                </w:p>
              </w:tc>
            </w:tr>
          </w:tbl>
          <w:p w14:paraId="0DC9BB91">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left"/>
              <w:textAlignment w:val="auto"/>
              <w:rPr>
                <w:rFonts w:hint="default" w:cs="Times New Roman"/>
                <w:b/>
                <w:bCs/>
                <w:color w:val="auto"/>
                <w:kern w:val="0"/>
                <w:highlight w:val="none"/>
                <w:u w:val="none" w:color="auto"/>
                <w:lang w:val="en-US" w:eastAsia="zh-CN"/>
              </w:rPr>
            </w:pPr>
            <w:r>
              <w:rPr>
                <w:rFonts w:hint="eastAsia" w:cs="Times New Roman"/>
                <w:b/>
                <w:bCs/>
                <w:color w:val="auto"/>
                <w:kern w:val="0"/>
                <w:highlight w:val="none"/>
                <w:u w:val="none" w:color="auto"/>
                <w:lang w:val="en-US" w:eastAsia="zh-CN"/>
              </w:rPr>
              <w:t>8、与《湖南省长江经济带发展负面清单实施细则（试行，2022)》符合性分析</w:t>
            </w:r>
          </w:p>
          <w:p w14:paraId="5BDC9B5C">
            <w:pPr>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cs="Times New Roman"/>
                <w:b/>
                <w:bCs/>
                <w:color w:val="auto"/>
                <w:sz w:val="21"/>
                <w:szCs w:val="21"/>
                <w:u w:val="none" w:color="auto"/>
                <w:lang w:val="en-US" w:eastAsia="zh-CN"/>
              </w:rPr>
            </w:pPr>
            <w:r>
              <w:rPr>
                <w:rFonts w:hint="default" w:ascii="Times New Roman" w:hAnsi="Times New Roman" w:cs="Times New Roman"/>
                <w:b/>
                <w:bCs/>
                <w:color w:val="auto"/>
                <w:sz w:val="21"/>
                <w:szCs w:val="21"/>
                <w:u w:val="none" w:color="auto"/>
                <w:lang w:val="en-US" w:eastAsia="zh-CN"/>
              </w:rPr>
              <w:t>表1-</w:t>
            </w:r>
            <w:r>
              <w:rPr>
                <w:rFonts w:hint="eastAsia" w:cs="Times New Roman"/>
                <w:b/>
                <w:bCs/>
                <w:color w:val="auto"/>
                <w:sz w:val="21"/>
                <w:szCs w:val="21"/>
                <w:u w:val="none" w:color="auto"/>
                <w:lang w:val="en-US" w:eastAsia="zh-CN"/>
              </w:rPr>
              <w:t>7</w:t>
            </w:r>
            <w:r>
              <w:rPr>
                <w:rFonts w:hint="default" w:ascii="Times New Roman" w:hAnsi="Times New Roman" w:cs="Times New Roman"/>
                <w:b/>
                <w:bCs/>
                <w:color w:val="auto"/>
                <w:sz w:val="21"/>
                <w:szCs w:val="21"/>
                <w:u w:val="none" w:color="auto"/>
                <w:lang w:val="en-US" w:eastAsia="zh-CN"/>
              </w:rPr>
              <w:t xml:space="preserve"> 项目与《湖南省长江经济带发展负面清单实施细则（试行，2022年版）》符合性分析表</w:t>
            </w:r>
          </w:p>
          <w:tbl>
            <w:tblPr>
              <w:tblStyle w:val="43"/>
              <w:tblW w:w="7075"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455"/>
              <w:gridCol w:w="3926"/>
              <w:gridCol w:w="1719"/>
              <w:gridCol w:w="975"/>
            </w:tblGrid>
            <w:tr w14:paraId="50D3D2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455" w:type="dxa"/>
                  <w:tcBorders>
                    <w:tl2br w:val="nil"/>
                    <w:tr2bl w:val="nil"/>
                  </w:tcBorders>
                  <w:noWrap w:val="0"/>
                  <w:vAlign w:val="center"/>
                </w:tcPr>
                <w:p w14:paraId="531929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color="auto"/>
                      <w:vertAlign w:val="baseline"/>
                      <w:lang w:val="en-US" w:eastAsia="zh-CN" w:bidi="ar-SA"/>
                    </w:rPr>
                  </w:pPr>
                  <w:r>
                    <w:rPr>
                      <w:rFonts w:hint="default" w:ascii="Times New Roman" w:hAnsi="Times New Roman" w:cs="Times New Roman"/>
                      <w:color w:val="auto"/>
                      <w:sz w:val="21"/>
                      <w:szCs w:val="21"/>
                      <w:u w:val="none" w:color="auto"/>
                      <w:vertAlign w:val="baseline"/>
                      <w:lang w:val="en-US" w:eastAsia="zh-CN" w:bidi="ar-SA"/>
                    </w:rPr>
                    <w:t>序号</w:t>
                  </w:r>
                </w:p>
              </w:tc>
              <w:tc>
                <w:tcPr>
                  <w:tcW w:w="3926" w:type="dxa"/>
                  <w:tcBorders>
                    <w:tl2br w:val="nil"/>
                    <w:tr2bl w:val="nil"/>
                  </w:tcBorders>
                  <w:noWrap w:val="0"/>
                  <w:vAlign w:val="center"/>
                </w:tcPr>
                <w:p w14:paraId="59E416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color="auto"/>
                      <w:vertAlign w:val="baseline"/>
                      <w:lang w:val="en-US" w:eastAsia="zh-CN" w:bidi="ar-SA"/>
                    </w:rPr>
                  </w:pPr>
                  <w:r>
                    <w:rPr>
                      <w:rFonts w:hint="default" w:ascii="Times New Roman" w:hAnsi="Times New Roman" w:cs="Times New Roman"/>
                      <w:color w:val="auto"/>
                      <w:sz w:val="21"/>
                      <w:szCs w:val="21"/>
                      <w:u w:val="none" w:color="auto"/>
                      <w:vertAlign w:val="baseline"/>
                      <w:lang w:val="en-US" w:eastAsia="zh-CN" w:bidi="ar-SA"/>
                    </w:rPr>
                    <w:t>文件要求</w:t>
                  </w:r>
                </w:p>
              </w:tc>
              <w:tc>
                <w:tcPr>
                  <w:tcW w:w="1719" w:type="dxa"/>
                  <w:tcBorders>
                    <w:tl2br w:val="nil"/>
                    <w:tr2bl w:val="nil"/>
                  </w:tcBorders>
                  <w:noWrap w:val="0"/>
                  <w:vAlign w:val="center"/>
                </w:tcPr>
                <w:p w14:paraId="2CDF91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color="auto"/>
                      <w:vertAlign w:val="baseline"/>
                      <w:lang w:val="en-US" w:eastAsia="zh-CN" w:bidi="ar-SA"/>
                    </w:rPr>
                  </w:pPr>
                  <w:r>
                    <w:rPr>
                      <w:rFonts w:hint="default" w:ascii="Times New Roman" w:hAnsi="Times New Roman" w:cs="Times New Roman"/>
                      <w:color w:val="auto"/>
                      <w:sz w:val="21"/>
                      <w:szCs w:val="21"/>
                      <w:u w:val="none" w:color="auto"/>
                      <w:vertAlign w:val="baseline"/>
                      <w:lang w:val="en-US" w:eastAsia="zh-CN" w:bidi="ar-SA"/>
                    </w:rPr>
                    <w:t>本项目情况</w:t>
                  </w:r>
                </w:p>
              </w:tc>
              <w:tc>
                <w:tcPr>
                  <w:tcW w:w="975" w:type="dxa"/>
                  <w:tcBorders>
                    <w:tl2br w:val="nil"/>
                    <w:tr2bl w:val="nil"/>
                  </w:tcBorders>
                  <w:noWrap w:val="0"/>
                  <w:vAlign w:val="center"/>
                </w:tcPr>
                <w:p w14:paraId="2A7740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color="auto"/>
                      <w:vertAlign w:val="baseline"/>
                      <w:lang w:val="en-US" w:eastAsia="zh-CN" w:bidi="ar-SA"/>
                    </w:rPr>
                  </w:pPr>
                  <w:r>
                    <w:rPr>
                      <w:rFonts w:hint="default" w:ascii="Times New Roman" w:hAnsi="Times New Roman" w:cs="Times New Roman"/>
                      <w:color w:val="auto"/>
                      <w:sz w:val="21"/>
                      <w:szCs w:val="21"/>
                      <w:u w:val="none" w:color="auto"/>
                      <w:vertAlign w:val="baseline"/>
                      <w:lang w:val="en-US" w:eastAsia="zh-CN" w:bidi="ar-SA"/>
                    </w:rPr>
                    <w:t>符合性分析</w:t>
                  </w:r>
                </w:p>
              </w:tc>
            </w:tr>
            <w:tr w14:paraId="23D8480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455" w:type="dxa"/>
                  <w:tcBorders>
                    <w:tl2br w:val="nil"/>
                    <w:tr2bl w:val="nil"/>
                  </w:tcBorders>
                  <w:noWrap w:val="0"/>
                  <w:vAlign w:val="center"/>
                </w:tcPr>
                <w:p w14:paraId="0E90E4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color="auto"/>
                      <w:vertAlign w:val="baseline"/>
                      <w:lang w:val="en-US" w:eastAsia="zh-CN" w:bidi="ar-SA"/>
                    </w:rPr>
                  </w:pPr>
                  <w:r>
                    <w:rPr>
                      <w:rFonts w:hint="default" w:ascii="Times New Roman" w:hAnsi="Times New Roman" w:cs="Times New Roman"/>
                      <w:color w:val="auto"/>
                      <w:sz w:val="21"/>
                      <w:szCs w:val="21"/>
                      <w:u w:val="none" w:color="auto"/>
                      <w:vertAlign w:val="baseline"/>
                      <w:lang w:val="en-US" w:eastAsia="zh-CN" w:bidi="ar-SA"/>
                    </w:rPr>
                    <w:t>1</w:t>
                  </w:r>
                </w:p>
              </w:tc>
              <w:tc>
                <w:tcPr>
                  <w:tcW w:w="3926" w:type="dxa"/>
                  <w:tcBorders>
                    <w:tl2br w:val="nil"/>
                    <w:tr2bl w:val="nil"/>
                  </w:tcBorders>
                  <w:noWrap w:val="0"/>
                  <w:vAlign w:val="center"/>
                </w:tcPr>
                <w:p w14:paraId="33C4928C">
                  <w:pPr>
                    <w:pStyle w:val="285"/>
                    <w:keepNext w:val="0"/>
                    <w:keepLines w:val="0"/>
                    <w:pageBreakBefore w:val="0"/>
                    <w:widowControl w:val="0"/>
                    <w:suppressLineNumbers w:val="0"/>
                    <w:kinsoku/>
                    <w:wordWrap/>
                    <w:overflowPunct/>
                    <w:topLinePunct w:val="0"/>
                    <w:bidi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4"/>
                      <w:u w:val="none" w:color="auto"/>
                      <w:lang w:val="en-US" w:eastAsia="zh-CN" w:bidi="ar-SA"/>
                    </w:rPr>
                  </w:pPr>
                  <w:r>
                    <w:rPr>
                      <w:rFonts w:hint="default" w:ascii="Times New Roman" w:hAnsi="Times New Roman" w:cs="Times New Roman"/>
                      <w:color w:val="auto"/>
                      <w:u w:val="none" w:color="auto"/>
                      <w:lang w:val="en-US" w:eastAsia="zh-CN" w:bidi="ar-SA"/>
                    </w:rPr>
                    <w:t>第三条：禁止建设不符合全国和省级港口布局规划以及港口总体规划的码头项目。对不符合港口总体规划的新建，改建和扩建的码头工程（含舾装码头工程）及其同时建设的配套设施、防波堤、锚地、护岸等工程投资主管部门不得审批或核准。码头工程建设项目需要使用港口岸线的，项目单位应当按照国省港口岸线使用的管理规定办理港口岸线使用手续。未取得岸线使用批准文件或者岸线使用意见的，不得开工建设，禁止建设不符合《长江干线过江通道布局规划（2020—2035年）》的过长江通道项目。</w:t>
                  </w:r>
                </w:p>
              </w:tc>
              <w:tc>
                <w:tcPr>
                  <w:tcW w:w="1719" w:type="dxa"/>
                  <w:tcBorders>
                    <w:tl2br w:val="nil"/>
                    <w:tr2bl w:val="nil"/>
                  </w:tcBorders>
                  <w:noWrap w:val="0"/>
                  <w:vAlign w:val="center"/>
                </w:tcPr>
                <w:p w14:paraId="6B20D5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color="auto"/>
                      <w:vertAlign w:val="baseline"/>
                      <w:lang w:val="en-US" w:eastAsia="zh-CN" w:bidi="ar-SA"/>
                    </w:rPr>
                  </w:pPr>
                  <w:r>
                    <w:rPr>
                      <w:rFonts w:hint="default" w:ascii="Times New Roman" w:hAnsi="Times New Roman" w:cs="Times New Roman"/>
                      <w:color w:val="auto"/>
                      <w:sz w:val="21"/>
                      <w:szCs w:val="21"/>
                      <w:u w:val="none" w:color="auto"/>
                      <w:vertAlign w:val="baseline"/>
                      <w:lang w:val="en-US" w:eastAsia="zh-CN" w:bidi="ar-SA"/>
                    </w:rPr>
                    <w:t>本项目不属于港口码头项目</w:t>
                  </w:r>
                </w:p>
              </w:tc>
              <w:tc>
                <w:tcPr>
                  <w:tcW w:w="975" w:type="dxa"/>
                  <w:tcBorders>
                    <w:tl2br w:val="nil"/>
                    <w:tr2bl w:val="nil"/>
                  </w:tcBorders>
                  <w:noWrap w:val="0"/>
                  <w:vAlign w:val="center"/>
                </w:tcPr>
                <w:p w14:paraId="5A06C9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bidi="ar-SA"/>
                    </w:rPr>
                    <w:t>不涉及</w:t>
                  </w:r>
                </w:p>
              </w:tc>
            </w:tr>
            <w:tr w14:paraId="2324228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455" w:type="dxa"/>
                  <w:tcBorders>
                    <w:tl2br w:val="nil"/>
                    <w:tr2bl w:val="nil"/>
                  </w:tcBorders>
                  <w:noWrap w:val="0"/>
                  <w:vAlign w:val="center"/>
                </w:tcPr>
                <w:p w14:paraId="3257D2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color="auto"/>
                      <w:vertAlign w:val="baseline"/>
                      <w:lang w:val="en-US" w:eastAsia="zh-CN" w:bidi="ar-SA"/>
                    </w:rPr>
                  </w:pPr>
                  <w:r>
                    <w:rPr>
                      <w:rFonts w:hint="default" w:ascii="Times New Roman" w:hAnsi="Times New Roman" w:cs="Times New Roman"/>
                      <w:color w:val="auto"/>
                      <w:sz w:val="21"/>
                      <w:szCs w:val="21"/>
                      <w:u w:val="none" w:color="auto"/>
                      <w:vertAlign w:val="baseline"/>
                      <w:lang w:val="en-US" w:eastAsia="zh-CN" w:bidi="ar-SA"/>
                    </w:rPr>
                    <w:t>2</w:t>
                  </w:r>
                </w:p>
              </w:tc>
              <w:tc>
                <w:tcPr>
                  <w:tcW w:w="3926" w:type="dxa"/>
                  <w:tcBorders>
                    <w:tl2br w:val="nil"/>
                    <w:tr2bl w:val="nil"/>
                  </w:tcBorders>
                  <w:noWrap w:val="0"/>
                  <w:vAlign w:val="center"/>
                </w:tcPr>
                <w:p w14:paraId="09B9A0D2">
                  <w:pPr>
                    <w:pStyle w:val="285"/>
                    <w:keepNext w:val="0"/>
                    <w:keepLines w:val="0"/>
                    <w:pageBreakBefore w:val="0"/>
                    <w:widowControl w:val="0"/>
                    <w:suppressLineNumbers w:val="0"/>
                    <w:kinsoku/>
                    <w:wordWrap/>
                    <w:overflowPunct/>
                    <w:topLinePunct w:val="0"/>
                    <w:bidi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4"/>
                      <w:u w:val="none" w:color="auto"/>
                      <w:lang w:val="en-US" w:eastAsia="zh-CN" w:bidi="ar-SA"/>
                    </w:rPr>
                  </w:pPr>
                  <w:r>
                    <w:rPr>
                      <w:rFonts w:hint="default" w:ascii="Times New Roman" w:hAnsi="Times New Roman" w:cs="Times New Roman"/>
                      <w:color w:val="auto"/>
                      <w:u w:val="none" w:color="auto"/>
                      <w:lang w:val="en-US" w:eastAsia="zh-CN" w:bidi="ar-SA"/>
                    </w:rPr>
                    <w:t>第四条：禁止在自然保护区核心区、缓冲区的岸线和河段范围内投资建设以下项目：……</w:t>
                  </w:r>
                </w:p>
              </w:tc>
              <w:tc>
                <w:tcPr>
                  <w:tcW w:w="1719" w:type="dxa"/>
                  <w:tcBorders>
                    <w:tl2br w:val="nil"/>
                    <w:tr2bl w:val="nil"/>
                  </w:tcBorders>
                  <w:noWrap w:val="0"/>
                  <w:vAlign w:val="center"/>
                </w:tcPr>
                <w:p w14:paraId="20178A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color="auto"/>
                      <w:vertAlign w:val="baseline"/>
                      <w:lang w:val="en-US" w:eastAsia="zh-CN" w:bidi="ar-SA"/>
                    </w:rPr>
                  </w:pPr>
                  <w:r>
                    <w:rPr>
                      <w:rFonts w:hint="default" w:ascii="Times New Roman" w:hAnsi="Times New Roman" w:cs="Times New Roman"/>
                      <w:color w:val="auto"/>
                      <w:sz w:val="21"/>
                      <w:szCs w:val="21"/>
                      <w:u w:val="none" w:color="auto"/>
                      <w:vertAlign w:val="baseline"/>
                      <w:lang w:val="en-US" w:eastAsia="zh-CN" w:bidi="ar-SA"/>
                    </w:rPr>
                    <w:t>项目所在地不涉及自然保护区</w:t>
                  </w:r>
                </w:p>
              </w:tc>
              <w:tc>
                <w:tcPr>
                  <w:tcW w:w="975" w:type="dxa"/>
                  <w:tcBorders>
                    <w:tl2br w:val="nil"/>
                    <w:tr2bl w:val="nil"/>
                  </w:tcBorders>
                  <w:noWrap w:val="0"/>
                  <w:vAlign w:val="center"/>
                </w:tcPr>
                <w:p w14:paraId="7E8E08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bidi="ar-SA"/>
                    </w:rPr>
                    <w:t>不涉及</w:t>
                  </w:r>
                </w:p>
              </w:tc>
            </w:tr>
            <w:tr w14:paraId="486F885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455" w:type="dxa"/>
                  <w:tcBorders>
                    <w:tl2br w:val="nil"/>
                    <w:tr2bl w:val="nil"/>
                  </w:tcBorders>
                  <w:noWrap w:val="0"/>
                  <w:vAlign w:val="center"/>
                </w:tcPr>
                <w:p w14:paraId="393A59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color="auto"/>
                      <w:vertAlign w:val="baseline"/>
                      <w:lang w:val="en-US" w:eastAsia="zh-CN" w:bidi="ar-SA"/>
                    </w:rPr>
                  </w:pPr>
                  <w:r>
                    <w:rPr>
                      <w:rFonts w:hint="default" w:ascii="Times New Roman" w:hAnsi="Times New Roman" w:cs="Times New Roman"/>
                      <w:color w:val="auto"/>
                      <w:sz w:val="21"/>
                      <w:szCs w:val="21"/>
                      <w:u w:val="none" w:color="auto"/>
                      <w:vertAlign w:val="baseline"/>
                      <w:lang w:val="en-US" w:eastAsia="zh-CN" w:bidi="ar-SA"/>
                    </w:rPr>
                    <w:t>3</w:t>
                  </w:r>
                </w:p>
              </w:tc>
              <w:tc>
                <w:tcPr>
                  <w:tcW w:w="3926" w:type="dxa"/>
                  <w:tcBorders>
                    <w:tl2br w:val="nil"/>
                    <w:tr2bl w:val="nil"/>
                  </w:tcBorders>
                  <w:noWrap w:val="0"/>
                  <w:vAlign w:val="center"/>
                </w:tcPr>
                <w:p w14:paraId="55037CEB">
                  <w:pPr>
                    <w:pStyle w:val="285"/>
                    <w:keepNext w:val="0"/>
                    <w:keepLines w:val="0"/>
                    <w:pageBreakBefore w:val="0"/>
                    <w:widowControl w:val="0"/>
                    <w:suppressLineNumbers w:val="0"/>
                    <w:kinsoku/>
                    <w:wordWrap/>
                    <w:overflowPunct/>
                    <w:topLinePunct w:val="0"/>
                    <w:bidi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4"/>
                      <w:u w:val="none" w:color="auto"/>
                      <w:lang w:val="en-US" w:eastAsia="zh-CN" w:bidi="ar-SA"/>
                    </w:rPr>
                  </w:pPr>
                  <w:r>
                    <w:rPr>
                      <w:rFonts w:hint="default" w:ascii="Times New Roman" w:hAnsi="Times New Roman" w:cs="Times New Roman"/>
                      <w:color w:val="auto"/>
                      <w:u w:val="none" w:color="auto"/>
                      <w:lang w:val="en-US" w:eastAsia="zh-CN" w:bidi="ar-SA"/>
                    </w:rPr>
                    <w:t>第五条：机场、铁路、公路、水利、航运、围堰等公益性设施的选址选线应多方案优化比选……</w:t>
                  </w:r>
                </w:p>
              </w:tc>
              <w:tc>
                <w:tcPr>
                  <w:tcW w:w="1719" w:type="dxa"/>
                  <w:tcBorders>
                    <w:tl2br w:val="nil"/>
                    <w:tr2bl w:val="nil"/>
                  </w:tcBorders>
                  <w:noWrap w:val="0"/>
                  <w:vAlign w:val="center"/>
                </w:tcPr>
                <w:p w14:paraId="7F6193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color="auto"/>
                      <w:vertAlign w:val="baseline"/>
                      <w:lang w:val="en-US" w:eastAsia="zh-CN" w:bidi="ar-SA"/>
                    </w:rPr>
                  </w:pPr>
                  <w:r>
                    <w:rPr>
                      <w:rFonts w:hint="default" w:ascii="Times New Roman" w:hAnsi="Times New Roman" w:cs="Times New Roman"/>
                      <w:color w:val="auto"/>
                      <w:sz w:val="21"/>
                      <w:szCs w:val="21"/>
                      <w:u w:val="none" w:color="auto"/>
                      <w:vertAlign w:val="baseline"/>
                      <w:lang w:val="en-US" w:eastAsia="zh-CN" w:bidi="ar-SA"/>
                    </w:rPr>
                    <w:t>本项目不属于所列公益性设施</w:t>
                  </w:r>
                </w:p>
              </w:tc>
              <w:tc>
                <w:tcPr>
                  <w:tcW w:w="975" w:type="dxa"/>
                  <w:tcBorders>
                    <w:tl2br w:val="nil"/>
                    <w:tr2bl w:val="nil"/>
                  </w:tcBorders>
                  <w:noWrap w:val="0"/>
                  <w:vAlign w:val="center"/>
                </w:tcPr>
                <w:p w14:paraId="4DC2FC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bidi="ar-SA"/>
                    </w:rPr>
                    <w:t>不涉及</w:t>
                  </w:r>
                </w:p>
              </w:tc>
            </w:tr>
            <w:tr w14:paraId="4200C4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455" w:type="dxa"/>
                  <w:tcBorders>
                    <w:tl2br w:val="nil"/>
                    <w:tr2bl w:val="nil"/>
                  </w:tcBorders>
                  <w:noWrap w:val="0"/>
                  <w:vAlign w:val="center"/>
                </w:tcPr>
                <w:p w14:paraId="4B861B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color="auto"/>
                      <w:vertAlign w:val="baseline"/>
                      <w:lang w:val="en-US" w:eastAsia="zh-CN" w:bidi="ar-SA"/>
                    </w:rPr>
                  </w:pPr>
                  <w:r>
                    <w:rPr>
                      <w:rFonts w:hint="default" w:ascii="Times New Roman" w:hAnsi="Times New Roman" w:cs="Times New Roman"/>
                      <w:color w:val="auto"/>
                      <w:sz w:val="21"/>
                      <w:szCs w:val="21"/>
                      <w:u w:val="none" w:color="auto"/>
                      <w:vertAlign w:val="baseline"/>
                      <w:lang w:val="en-US" w:eastAsia="zh-CN" w:bidi="ar-SA"/>
                    </w:rPr>
                    <w:t>4</w:t>
                  </w:r>
                </w:p>
              </w:tc>
              <w:tc>
                <w:tcPr>
                  <w:tcW w:w="3926" w:type="dxa"/>
                  <w:tcBorders>
                    <w:tl2br w:val="nil"/>
                    <w:tr2bl w:val="nil"/>
                  </w:tcBorders>
                  <w:noWrap w:val="0"/>
                  <w:vAlign w:val="center"/>
                </w:tcPr>
                <w:p w14:paraId="541A0312">
                  <w:pPr>
                    <w:pStyle w:val="285"/>
                    <w:keepNext w:val="0"/>
                    <w:keepLines w:val="0"/>
                    <w:pageBreakBefore w:val="0"/>
                    <w:widowControl w:val="0"/>
                    <w:suppressLineNumbers w:val="0"/>
                    <w:kinsoku/>
                    <w:wordWrap/>
                    <w:overflowPunct/>
                    <w:topLinePunct w:val="0"/>
                    <w:bidi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4"/>
                      <w:u w:val="none" w:color="auto"/>
                      <w:lang w:val="en-US" w:eastAsia="zh-CN" w:bidi="ar-SA"/>
                    </w:rPr>
                  </w:pPr>
                  <w:r>
                    <w:rPr>
                      <w:rFonts w:hint="default" w:ascii="Times New Roman" w:hAnsi="Times New Roman" w:cs="Times New Roman"/>
                      <w:color w:val="auto"/>
                      <w:u w:val="none" w:color="auto"/>
                      <w:lang w:val="en-US" w:eastAsia="zh-CN" w:bidi="ar-SA"/>
                    </w:rPr>
                    <w:t>第六条：禁止违反风景名胜区规划……</w:t>
                  </w:r>
                </w:p>
              </w:tc>
              <w:tc>
                <w:tcPr>
                  <w:tcW w:w="1719" w:type="dxa"/>
                  <w:tcBorders>
                    <w:tl2br w:val="nil"/>
                    <w:tr2bl w:val="nil"/>
                  </w:tcBorders>
                  <w:noWrap w:val="0"/>
                  <w:vAlign w:val="center"/>
                </w:tcPr>
                <w:p w14:paraId="1CEC28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color="auto"/>
                      <w:vertAlign w:val="baseline"/>
                      <w:lang w:val="en-US" w:eastAsia="zh-CN" w:bidi="ar-SA"/>
                    </w:rPr>
                  </w:pPr>
                  <w:r>
                    <w:rPr>
                      <w:rFonts w:hint="default" w:ascii="Times New Roman" w:hAnsi="Times New Roman" w:cs="Times New Roman"/>
                      <w:color w:val="auto"/>
                      <w:sz w:val="21"/>
                      <w:szCs w:val="21"/>
                      <w:u w:val="none" w:color="auto"/>
                      <w:vertAlign w:val="baseline"/>
                      <w:lang w:val="en-US" w:eastAsia="zh-CN" w:bidi="ar-SA"/>
                    </w:rPr>
                    <w:t>本项目不涉及风景名胜区</w:t>
                  </w:r>
                </w:p>
              </w:tc>
              <w:tc>
                <w:tcPr>
                  <w:tcW w:w="975" w:type="dxa"/>
                  <w:tcBorders>
                    <w:tl2br w:val="nil"/>
                    <w:tr2bl w:val="nil"/>
                  </w:tcBorders>
                  <w:noWrap w:val="0"/>
                  <w:vAlign w:val="center"/>
                </w:tcPr>
                <w:p w14:paraId="7759E7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bidi="ar-SA"/>
                    </w:rPr>
                    <w:t>不涉及</w:t>
                  </w:r>
                </w:p>
              </w:tc>
            </w:tr>
            <w:tr w14:paraId="56C3E4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455" w:type="dxa"/>
                  <w:tcBorders>
                    <w:tl2br w:val="nil"/>
                    <w:tr2bl w:val="nil"/>
                  </w:tcBorders>
                  <w:noWrap w:val="0"/>
                  <w:vAlign w:val="center"/>
                </w:tcPr>
                <w:p w14:paraId="659891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color="auto"/>
                      <w:vertAlign w:val="baseline"/>
                      <w:lang w:val="en-US" w:eastAsia="zh-CN" w:bidi="ar-SA"/>
                    </w:rPr>
                  </w:pPr>
                  <w:r>
                    <w:rPr>
                      <w:rFonts w:hint="default" w:ascii="Times New Roman" w:hAnsi="Times New Roman" w:cs="Times New Roman"/>
                      <w:color w:val="auto"/>
                      <w:sz w:val="21"/>
                      <w:szCs w:val="21"/>
                      <w:u w:val="none" w:color="auto"/>
                      <w:vertAlign w:val="baseline"/>
                      <w:lang w:val="en-US" w:eastAsia="zh-CN" w:bidi="ar-SA"/>
                    </w:rPr>
                    <w:t>5</w:t>
                  </w:r>
                </w:p>
              </w:tc>
              <w:tc>
                <w:tcPr>
                  <w:tcW w:w="3926" w:type="dxa"/>
                  <w:tcBorders>
                    <w:tl2br w:val="nil"/>
                    <w:tr2bl w:val="nil"/>
                  </w:tcBorders>
                  <w:noWrap w:val="0"/>
                  <w:vAlign w:val="center"/>
                </w:tcPr>
                <w:p w14:paraId="720ACA95">
                  <w:pPr>
                    <w:pStyle w:val="285"/>
                    <w:keepNext w:val="0"/>
                    <w:keepLines w:val="0"/>
                    <w:pageBreakBefore w:val="0"/>
                    <w:widowControl w:val="0"/>
                    <w:suppressLineNumbers w:val="0"/>
                    <w:kinsoku/>
                    <w:wordWrap/>
                    <w:overflowPunct/>
                    <w:topLinePunct w:val="0"/>
                    <w:bidi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4"/>
                      <w:u w:val="none" w:color="auto"/>
                      <w:lang w:val="en-US" w:eastAsia="zh-CN" w:bidi="ar-SA"/>
                    </w:rPr>
                  </w:pPr>
                  <w:r>
                    <w:rPr>
                      <w:rFonts w:hint="default" w:ascii="Times New Roman" w:hAnsi="Times New Roman" w:cs="Times New Roman"/>
                      <w:color w:val="auto"/>
                      <w:u w:val="none" w:color="auto"/>
                      <w:lang w:val="en-US" w:eastAsia="zh-CN" w:bidi="ar-SA"/>
                    </w:rPr>
                    <w:t>第七条：饮用水源一级保护区内禁止新建、改建扩建与供水设施和保护水源无关的建设项目……</w:t>
                  </w:r>
                </w:p>
              </w:tc>
              <w:tc>
                <w:tcPr>
                  <w:tcW w:w="1719" w:type="dxa"/>
                  <w:vMerge w:val="restart"/>
                  <w:tcBorders>
                    <w:tl2br w:val="nil"/>
                    <w:tr2bl w:val="nil"/>
                  </w:tcBorders>
                  <w:noWrap w:val="0"/>
                  <w:vAlign w:val="center"/>
                </w:tcPr>
                <w:p w14:paraId="6B051A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color="auto"/>
                      <w:vertAlign w:val="baseline"/>
                      <w:lang w:val="en-US" w:eastAsia="zh-CN" w:bidi="ar-SA"/>
                    </w:rPr>
                  </w:pPr>
                  <w:r>
                    <w:rPr>
                      <w:rFonts w:hint="default" w:ascii="Times New Roman" w:hAnsi="Times New Roman" w:cs="Times New Roman"/>
                      <w:color w:val="auto"/>
                      <w:sz w:val="21"/>
                      <w:szCs w:val="21"/>
                      <w:u w:val="none" w:color="auto"/>
                      <w:vertAlign w:val="baseline"/>
                      <w:lang w:val="en-US" w:eastAsia="zh-CN" w:bidi="ar-SA"/>
                    </w:rPr>
                    <w:t>本项目不涉及饮用水源保护区</w:t>
                  </w:r>
                </w:p>
              </w:tc>
              <w:tc>
                <w:tcPr>
                  <w:tcW w:w="975" w:type="dxa"/>
                  <w:vMerge w:val="restart"/>
                  <w:tcBorders>
                    <w:tl2br w:val="nil"/>
                    <w:tr2bl w:val="nil"/>
                  </w:tcBorders>
                  <w:noWrap w:val="0"/>
                  <w:vAlign w:val="center"/>
                </w:tcPr>
                <w:p w14:paraId="1E158D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color w:val="auto"/>
                      <w:szCs w:val="20"/>
                      <w:u w:val="none" w:color="auto"/>
                      <w:lang w:val="en-US" w:eastAsia="zh-CN" w:bidi="ar-SA"/>
                    </w:rPr>
                  </w:pPr>
                  <w:r>
                    <w:rPr>
                      <w:rFonts w:hint="eastAsia" w:cs="Times New Roman"/>
                      <w:color w:val="auto"/>
                      <w:sz w:val="21"/>
                      <w:szCs w:val="21"/>
                      <w:u w:val="none" w:color="auto"/>
                      <w:vertAlign w:val="baseline"/>
                      <w:lang w:val="en-US" w:eastAsia="zh-CN" w:bidi="ar-SA"/>
                    </w:rPr>
                    <w:t>不涉及</w:t>
                  </w:r>
                </w:p>
              </w:tc>
            </w:tr>
            <w:tr w14:paraId="7E65EF8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455" w:type="dxa"/>
                  <w:tcBorders>
                    <w:tl2br w:val="nil"/>
                    <w:tr2bl w:val="nil"/>
                  </w:tcBorders>
                  <w:noWrap w:val="0"/>
                  <w:vAlign w:val="center"/>
                </w:tcPr>
                <w:p w14:paraId="65F850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color="auto"/>
                      <w:vertAlign w:val="baseline"/>
                      <w:lang w:val="en-US" w:eastAsia="zh-CN" w:bidi="ar-SA"/>
                    </w:rPr>
                  </w:pPr>
                  <w:r>
                    <w:rPr>
                      <w:rFonts w:hint="default" w:ascii="Times New Roman" w:hAnsi="Times New Roman" w:cs="Times New Roman"/>
                      <w:color w:val="auto"/>
                      <w:sz w:val="21"/>
                      <w:szCs w:val="21"/>
                      <w:u w:val="none" w:color="auto"/>
                      <w:vertAlign w:val="baseline"/>
                      <w:lang w:val="en-US" w:eastAsia="zh-CN" w:bidi="ar-SA"/>
                    </w:rPr>
                    <w:t>6</w:t>
                  </w:r>
                </w:p>
              </w:tc>
              <w:tc>
                <w:tcPr>
                  <w:tcW w:w="3926" w:type="dxa"/>
                  <w:tcBorders>
                    <w:tl2br w:val="nil"/>
                    <w:tr2bl w:val="nil"/>
                  </w:tcBorders>
                  <w:noWrap w:val="0"/>
                  <w:vAlign w:val="center"/>
                </w:tcPr>
                <w:p w14:paraId="7F63B418">
                  <w:pPr>
                    <w:pStyle w:val="285"/>
                    <w:keepNext w:val="0"/>
                    <w:keepLines w:val="0"/>
                    <w:pageBreakBefore w:val="0"/>
                    <w:widowControl w:val="0"/>
                    <w:suppressLineNumbers w:val="0"/>
                    <w:kinsoku/>
                    <w:wordWrap/>
                    <w:overflowPunct/>
                    <w:topLinePunct w:val="0"/>
                    <w:bidi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4"/>
                      <w:u w:val="none" w:color="auto"/>
                      <w:lang w:val="en-US" w:eastAsia="zh-CN" w:bidi="ar-SA"/>
                    </w:rPr>
                  </w:pPr>
                  <w:r>
                    <w:rPr>
                      <w:rFonts w:hint="default" w:ascii="Times New Roman" w:hAnsi="Times New Roman" w:cs="Times New Roman"/>
                      <w:color w:val="auto"/>
                      <w:u w:val="none" w:color="auto"/>
                      <w:lang w:val="en-US" w:eastAsia="zh-CN" w:bidi="ar-SA"/>
                    </w:rPr>
                    <w:t>第八条：饮用水水源二级保护区内禁止……</w:t>
                  </w:r>
                </w:p>
              </w:tc>
              <w:tc>
                <w:tcPr>
                  <w:tcW w:w="1719" w:type="dxa"/>
                  <w:vMerge w:val="continue"/>
                  <w:tcBorders>
                    <w:tl2br w:val="nil"/>
                    <w:tr2bl w:val="nil"/>
                  </w:tcBorders>
                  <w:noWrap w:val="0"/>
                  <w:vAlign w:val="center"/>
                </w:tcPr>
                <w:p w14:paraId="264184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color="auto"/>
                      <w:vertAlign w:val="baseline"/>
                      <w:lang w:val="en-US" w:eastAsia="zh-CN" w:bidi="ar-SA"/>
                    </w:rPr>
                  </w:pPr>
                </w:p>
              </w:tc>
              <w:tc>
                <w:tcPr>
                  <w:tcW w:w="975" w:type="dxa"/>
                  <w:vMerge w:val="continue"/>
                  <w:tcBorders>
                    <w:tl2br w:val="nil"/>
                    <w:tr2bl w:val="nil"/>
                  </w:tcBorders>
                  <w:noWrap w:val="0"/>
                  <w:vAlign w:val="center"/>
                </w:tcPr>
                <w:p w14:paraId="6D13B1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color="auto"/>
                      <w:vertAlign w:val="baseline"/>
                      <w:lang w:val="en-US" w:eastAsia="zh-CN" w:bidi="ar-SA"/>
                    </w:rPr>
                  </w:pPr>
                </w:p>
              </w:tc>
            </w:tr>
            <w:tr w14:paraId="66293D9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455" w:type="dxa"/>
                  <w:tcBorders>
                    <w:tl2br w:val="nil"/>
                    <w:tr2bl w:val="nil"/>
                  </w:tcBorders>
                  <w:noWrap w:val="0"/>
                  <w:vAlign w:val="center"/>
                </w:tcPr>
                <w:p w14:paraId="7831E6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color="auto"/>
                      <w:vertAlign w:val="baseline"/>
                      <w:lang w:val="en-US" w:eastAsia="zh-CN" w:bidi="ar-SA"/>
                    </w:rPr>
                  </w:pPr>
                  <w:r>
                    <w:rPr>
                      <w:rFonts w:hint="default" w:ascii="Times New Roman" w:hAnsi="Times New Roman" w:cs="Times New Roman"/>
                      <w:color w:val="auto"/>
                      <w:sz w:val="21"/>
                      <w:szCs w:val="21"/>
                      <w:u w:val="none" w:color="auto"/>
                      <w:vertAlign w:val="baseline"/>
                      <w:lang w:val="en-US" w:eastAsia="zh-CN" w:bidi="ar-SA"/>
                    </w:rPr>
                    <w:t>7</w:t>
                  </w:r>
                </w:p>
              </w:tc>
              <w:tc>
                <w:tcPr>
                  <w:tcW w:w="3926" w:type="dxa"/>
                  <w:tcBorders>
                    <w:tl2br w:val="nil"/>
                    <w:tr2bl w:val="nil"/>
                  </w:tcBorders>
                  <w:noWrap w:val="0"/>
                  <w:vAlign w:val="center"/>
                </w:tcPr>
                <w:p w14:paraId="1E6C4349">
                  <w:pPr>
                    <w:pStyle w:val="285"/>
                    <w:keepNext w:val="0"/>
                    <w:keepLines w:val="0"/>
                    <w:pageBreakBefore w:val="0"/>
                    <w:widowControl w:val="0"/>
                    <w:suppressLineNumbers w:val="0"/>
                    <w:kinsoku/>
                    <w:wordWrap/>
                    <w:overflowPunct/>
                    <w:topLinePunct w:val="0"/>
                    <w:bidi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4"/>
                      <w:u w:val="none" w:color="auto"/>
                      <w:lang w:val="en-US" w:eastAsia="zh-CN" w:bidi="ar-SA"/>
                    </w:rPr>
                  </w:pPr>
                  <w:r>
                    <w:rPr>
                      <w:rFonts w:hint="default" w:ascii="Times New Roman" w:hAnsi="Times New Roman" w:cs="Times New Roman"/>
                      <w:color w:val="auto"/>
                      <w:u w:val="none" w:color="auto"/>
                      <w:lang w:val="en-US" w:eastAsia="zh-CN" w:bidi="ar-SA"/>
                    </w:rPr>
                    <w:t>第九条：禁止在水产种质资源保护区内新建排污口、从事围湖造田等投资建设项目</w:t>
                  </w:r>
                </w:p>
              </w:tc>
              <w:tc>
                <w:tcPr>
                  <w:tcW w:w="1719" w:type="dxa"/>
                  <w:tcBorders>
                    <w:tl2br w:val="nil"/>
                    <w:tr2bl w:val="nil"/>
                  </w:tcBorders>
                  <w:noWrap w:val="0"/>
                  <w:vAlign w:val="center"/>
                </w:tcPr>
                <w:p w14:paraId="419716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color="auto"/>
                      <w:vertAlign w:val="baseline"/>
                      <w:lang w:val="en-US" w:eastAsia="zh-CN" w:bidi="ar-SA"/>
                    </w:rPr>
                  </w:pPr>
                  <w:r>
                    <w:rPr>
                      <w:rFonts w:hint="default" w:ascii="Times New Roman" w:hAnsi="Times New Roman" w:cs="Times New Roman"/>
                      <w:color w:val="auto"/>
                      <w:sz w:val="21"/>
                      <w:szCs w:val="21"/>
                      <w:u w:val="none" w:color="auto"/>
                      <w:vertAlign w:val="baseline"/>
                      <w:lang w:val="en-US" w:eastAsia="zh-CN" w:bidi="ar-SA"/>
                    </w:rPr>
                    <w:t>本项目不设置排污口，不涉及围湖造田等</w:t>
                  </w:r>
                </w:p>
              </w:tc>
              <w:tc>
                <w:tcPr>
                  <w:tcW w:w="975" w:type="dxa"/>
                  <w:tcBorders>
                    <w:tl2br w:val="nil"/>
                    <w:tr2bl w:val="nil"/>
                  </w:tcBorders>
                  <w:noWrap w:val="0"/>
                  <w:vAlign w:val="center"/>
                </w:tcPr>
                <w:p w14:paraId="746495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bidi="ar-SA"/>
                    </w:rPr>
                    <w:t>不涉及</w:t>
                  </w:r>
                </w:p>
              </w:tc>
            </w:tr>
            <w:tr w14:paraId="309C439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455" w:type="dxa"/>
                  <w:tcBorders>
                    <w:tl2br w:val="nil"/>
                    <w:tr2bl w:val="nil"/>
                  </w:tcBorders>
                  <w:noWrap w:val="0"/>
                  <w:vAlign w:val="center"/>
                </w:tcPr>
                <w:p w14:paraId="432EA6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color="auto"/>
                      <w:vertAlign w:val="baseline"/>
                      <w:lang w:val="en-US" w:eastAsia="zh-CN" w:bidi="ar-SA"/>
                    </w:rPr>
                  </w:pPr>
                  <w:r>
                    <w:rPr>
                      <w:rFonts w:hint="default" w:ascii="Times New Roman" w:hAnsi="Times New Roman" w:cs="Times New Roman"/>
                      <w:color w:val="auto"/>
                      <w:sz w:val="21"/>
                      <w:szCs w:val="21"/>
                      <w:u w:val="none" w:color="auto"/>
                      <w:vertAlign w:val="baseline"/>
                      <w:lang w:val="en-US" w:eastAsia="zh-CN" w:bidi="ar-SA"/>
                    </w:rPr>
                    <w:t>8</w:t>
                  </w:r>
                </w:p>
              </w:tc>
              <w:tc>
                <w:tcPr>
                  <w:tcW w:w="3926" w:type="dxa"/>
                  <w:tcBorders>
                    <w:tl2br w:val="nil"/>
                    <w:tr2bl w:val="nil"/>
                  </w:tcBorders>
                  <w:noWrap w:val="0"/>
                  <w:vAlign w:val="center"/>
                </w:tcPr>
                <w:p w14:paraId="0D30844F">
                  <w:pPr>
                    <w:pStyle w:val="285"/>
                    <w:keepNext w:val="0"/>
                    <w:keepLines w:val="0"/>
                    <w:pageBreakBefore w:val="0"/>
                    <w:widowControl w:val="0"/>
                    <w:suppressLineNumbers w:val="0"/>
                    <w:kinsoku/>
                    <w:wordWrap/>
                    <w:overflowPunct/>
                    <w:topLinePunct w:val="0"/>
                    <w:bidi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4"/>
                      <w:u w:val="none" w:color="auto"/>
                      <w:lang w:val="en-US" w:eastAsia="zh-CN" w:bidi="ar-SA"/>
                    </w:rPr>
                  </w:pPr>
                  <w:r>
                    <w:rPr>
                      <w:rFonts w:hint="default" w:ascii="Times New Roman" w:hAnsi="Times New Roman" w:cs="Times New Roman"/>
                      <w:color w:val="auto"/>
                      <w:u w:val="none" w:color="auto"/>
                      <w:lang w:val="en-US" w:eastAsia="zh-CN" w:bidi="ar-SA"/>
                    </w:rPr>
                    <w:t>第十条：除《中华人民共和国防洪法》规定的紧急防汛期采取的紧急措施外，禁止在国家湿地公园的岸线和河段范围内挖沙、采矿，以及以下不符合主体功能定位的行为和活动：……</w:t>
                  </w:r>
                </w:p>
              </w:tc>
              <w:tc>
                <w:tcPr>
                  <w:tcW w:w="1719" w:type="dxa"/>
                  <w:tcBorders>
                    <w:tl2br w:val="nil"/>
                    <w:tr2bl w:val="nil"/>
                  </w:tcBorders>
                  <w:noWrap w:val="0"/>
                  <w:vAlign w:val="center"/>
                </w:tcPr>
                <w:p w14:paraId="034842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color="auto"/>
                      <w:vertAlign w:val="baseline"/>
                      <w:lang w:val="en-US" w:eastAsia="zh-CN" w:bidi="ar-SA"/>
                    </w:rPr>
                  </w:pPr>
                  <w:r>
                    <w:rPr>
                      <w:rFonts w:hint="default" w:ascii="Times New Roman" w:hAnsi="Times New Roman" w:cs="Times New Roman"/>
                      <w:color w:val="auto"/>
                      <w:sz w:val="21"/>
                      <w:szCs w:val="21"/>
                      <w:u w:val="none" w:color="auto"/>
                      <w:vertAlign w:val="baseline"/>
                      <w:lang w:val="en-US" w:eastAsia="zh-CN" w:bidi="ar-SA"/>
                    </w:rPr>
                    <w:t>本项目不涉及国家湿地公园</w:t>
                  </w:r>
                </w:p>
              </w:tc>
              <w:tc>
                <w:tcPr>
                  <w:tcW w:w="975" w:type="dxa"/>
                  <w:tcBorders>
                    <w:tl2br w:val="nil"/>
                    <w:tr2bl w:val="nil"/>
                  </w:tcBorders>
                  <w:noWrap w:val="0"/>
                  <w:vAlign w:val="center"/>
                </w:tcPr>
                <w:p w14:paraId="502DBD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bidi="ar-SA"/>
                    </w:rPr>
                    <w:t>不涉及</w:t>
                  </w:r>
                </w:p>
              </w:tc>
            </w:tr>
            <w:tr w14:paraId="2794FF4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455" w:type="dxa"/>
                  <w:tcBorders>
                    <w:tl2br w:val="nil"/>
                    <w:tr2bl w:val="nil"/>
                  </w:tcBorders>
                  <w:noWrap w:val="0"/>
                  <w:vAlign w:val="center"/>
                </w:tcPr>
                <w:p w14:paraId="1DFF06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color="auto"/>
                      <w:vertAlign w:val="baseline"/>
                      <w:lang w:val="en-US" w:eastAsia="zh-CN" w:bidi="ar-SA"/>
                    </w:rPr>
                  </w:pPr>
                  <w:r>
                    <w:rPr>
                      <w:rFonts w:hint="default" w:ascii="Times New Roman" w:hAnsi="Times New Roman" w:cs="Times New Roman"/>
                      <w:color w:val="auto"/>
                      <w:sz w:val="21"/>
                      <w:szCs w:val="21"/>
                      <w:u w:val="none" w:color="auto"/>
                      <w:vertAlign w:val="baseline"/>
                      <w:lang w:val="en-US" w:eastAsia="zh-CN" w:bidi="ar-SA"/>
                    </w:rPr>
                    <w:t>9</w:t>
                  </w:r>
                </w:p>
              </w:tc>
              <w:tc>
                <w:tcPr>
                  <w:tcW w:w="3926" w:type="dxa"/>
                  <w:tcBorders>
                    <w:tl2br w:val="nil"/>
                    <w:tr2bl w:val="nil"/>
                  </w:tcBorders>
                  <w:noWrap w:val="0"/>
                  <w:vAlign w:val="center"/>
                </w:tcPr>
                <w:p w14:paraId="067B3988">
                  <w:pPr>
                    <w:pStyle w:val="285"/>
                    <w:keepNext w:val="0"/>
                    <w:keepLines w:val="0"/>
                    <w:pageBreakBefore w:val="0"/>
                    <w:widowControl w:val="0"/>
                    <w:suppressLineNumbers w:val="0"/>
                    <w:kinsoku/>
                    <w:wordWrap/>
                    <w:overflowPunct/>
                    <w:topLinePunct w:val="0"/>
                    <w:bidi w:val="0"/>
                    <w:spacing w:before="0" w:beforeAutospacing="0" w:after="0" w:afterAutospacing="0"/>
                    <w:ind w:left="0" w:right="0"/>
                    <w:jc w:val="center"/>
                    <w:textAlignment w:val="auto"/>
                    <w:rPr>
                      <w:rFonts w:hint="default" w:ascii="Times New Roman" w:hAnsi="Times New Roman" w:cs="Times New Roman"/>
                      <w:color w:val="auto"/>
                      <w:u w:val="none" w:color="auto"/>
                      <w:lang w:val="en-US" w:eastAsia="zh-CN" w:bidi="ar-SA"/>
                    </w:rPr>
                  </w:pPr>
                  <w:r>
                    <w:rPr>
                      <w:rFonts w:hint="default" w:ascii="Times New Roman" w:hAnsi="Times New Roman" w:cs="Times New Roman"/>
                      <w:color w:val="auto"/>
                      <w:u w:val="none" w:color="auto"/>
                      <w:lang w:val="en-US" w:eastAsia="zh-CN" w:bidi="ar-SA"/>
                    </w:rPr>
                    <w:t>第十一条：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w:t>
                  </w:r>
                </w:p>
                <w:p w14:paraId="767079F4">
                  <w:pPr>
                    <w:pStyle w:val="285"/>
                    <w:keepNext w:val="0"/>
                    <w:keepLines w:val="0"/>
                    <w:pageBreakBefore w:val="0"/>
                    <w:widowControl w:val="0"/>
                    <w:suppressLineNumbers w:val="0"/>
                    <w:kinsoku/>
                    <w:wordWrap/>
                    <w:overflowPunct/>
                    <w:topLinePunct w:val="0"/>
                    <w:bidi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4"/>
                      <w:u w:val="none" w:color="auto"/>
                      <w:lang w:val="en-US" w:eastAsia="zh-CN" w:bidi="ar-SA"/>
                    </w:rPr>
                  </w:pPr>
                  <w:r>
                    <w:rPr>
                      <w:rFonts w:hint="default" w:ascii="Times New Roman" w:hAnsi="Times New Roman" w:cs="Times New Roman"/>
                      <w:color w:val="auto"/>
                      <w:u w:val="none" w:color="auto"/>
                      <w:lang w:val="en-US" w:eastAsia="zh-CN" w:bidi="ar-SA"/>
                    </w:rPr>
                    <w:t>禁止填湖造地、围湖造田及非法围垦河道，禁止非法建设矮围网围、填埋湿地等侵占河湖水域或者违法利用、占用河湖岸线的行为。</w:t>
                  </w:r>
                </w:p>
              </w:tc>
              <w:tc>
                <w:tcPr>
                  <w:tcW w:w="1719" w:type="dxa"/>
                  <w:tcBorders>
                    <w:tl2br w:val="nil"/>
                    <w:tr2bl w:val="nil"/>
                  </w:tcBorders>
                  <w:noWrap w:val="0"/>
                  <w:vAlign w:val="center"/>
                </w:tcPr>
                <w:p w14:paraId="7E91DE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color="auto"/>
                      <w:vertAlign w:val="baseline"/>
                      <w:lang w:val="en-US" w:eastAsia="zh-CN" w:bidi="ar-SA"/>
                    </w:rPr>
                  </w:pPr>
                  <w:r>
                    <w:rPr>
                      <w:rFonts w:hint="default" w:ascii="Times New Roman" w:hAnsi="Times New Roman" w:cs="Times New Roman"/>
                      <w:color w:val="auto"/>
                      <w:sz w:val="21"/>
                      <w:szCs w:val="21"/>
                      <w:u w:val="none" w:color="auto"/>
                      <w:vertAlign w:val="baseline"/>
                      <w:lang w:val="en-US" w:eastAsia="zh-CN" w:bidi="ar-SA"/>
                    </w:rPr>
                    <w:t>本项目不占用长江流域河湖岸线</w:t>
                  </w:r>
                </w:p>
              </w:tc>
              <w:tc>
                <w:tcPr>
                  <w:tcW w:w="975" w:type="dxa"/>
                  <w:tcBorders>
                    <w:tl2br w:val="nil"/>
                    <w:tr2bl w:val="nil"/>
                  </w:tcBorders>
                  <w:noWrap w:val="0"/>
                  <w:vAlign w:val="center"/>
                </w:tcPr>
                <w:p w14:paraId="0A4C61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bidi="ar-SA"/>
                    </w:rPr>
                    <w:t>不涉及</w:t>
                  </w:r>
                </w:p>
              </w:tc>
            </w:tr>
            <w:tr w14:paraId="31179D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455" w:type="dxa"/>
                  <w:tcBorders>
                    <w:tl2br w:val="nil"/>
                    <w:tr2bl w:val="nil"/>
                  </w:tcBorders>
                  <w:noWrap w:val="0"/>
                  <w:vAlign w:val="center"/>
                </w:tcPr>
                <w:p w14:paraId="0751B3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color="auto"/>
                      <w:vertAlign w:val="baseline"/>
                      <w:lang w:val="en-US" w:eastAsia="zh-CN" w:bidi="ar-SA"/>
                    </w:rPr>
                  </w:pPr>
                  <w:r>
                    <w:rPr>
                      <w:rFonts w:hint="default" w:ascii="Times New Roman" w:hAnsi="Times New Roman" w:cs="Times New Roman"/>
                      <w:color w:val="auto"/>
                      <w:sz w:val="21"/>
                      <w:szCs w:val="21"/>
                      <w:u w:val="none" w:color="auto"/>
                      <w:vertAlign w:val="baseline"/>
                      <w:lang w:val="en-US" w:eastAsia="zh-CN" w:bidi="ar-SA"/>
                    </w:rPr>
                    <w:t>10</w:t>
                  </w:r>
                </w:p>
              </w:tc>
              <w:tc>
                <w:tcPr>
                  <w:tcW w:w="3926" w:type="dxa"/>
                  <w:tcBorders>
                    <w:tl2br w:val="nil"/>
                    <w:tr2bl w:val="nil"/>
                  </w:tcBorders>
                  <w:noWrap w:val="0"/>
                  <w:vAlign w:val="center"/>
                </w:tcPr>
                <w:p w14:paraId="2BF79E2A">
                  <w:pPr>
                    <w:pStyle w:val="285"/>
                    <w:keepNext w:val="0"/>
                    <w:keepLines w:val="0"/>
                    <w:pageBreakBefore w:val="0"/>
                    <w:widowControl w:val="0"/>
                    <w:suppressLineNumbers w:val="0"/>
                    <w:kinsoku/>
                    <w:wordWrap/>
                    <w:overflowPunct/>
                    <w:topLinePunct w:val="0"/>
                    <w:bidi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4"/>
                      <w:u w:val="none" w:color="auto"/>
                      <w:lang w:val="en-US" w:eastAsia="zh-CN" w:bidi="ar-SA"/>
                    </w:rPr>
                  </w:pPr>
                  <w:r>
                    <w:rPr>
                      <w:rFonts w:hint="default" w:ascii="Times New Roman" w:hAnsi="Times New Roman" w:cs="Times New Roman"/>
                      <w:color w:val="auto"/>
                      <w:u w:val="none" w:color="auto"/>
                      <w:lang w:val="en-US" w:eastAsia="zh-CN" w:bidi="ar-SA"/>
                    </w:rPr>
                    <w:t>第十二条：禁止在《全国重要江河湖泊水功能区划》划定的河段保护区、保留区内投资建设不利于水资源及自然生态保护的项目。</w:t>
                  </w:r>
                </w:p>
              </w:tc>
              <w:tc>
                <w:tcPr>
                  <w:tcW w:w="1719" w:type="dxa"/>
                  <w:tcBorders>
                    <w:tl2br w:val="nil"/>
                    <w:tr2bl w:val="nil"/>
                  </w:tcBorders>
                  <w:noWrap w:val="0"/>
                  <w:vAlign w:val="center"/>
                </w:tcPr>
                <w:p w14:paraId="7FE821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color="auto"/>
                      <w:vertAlign w:val="baseline"/>
                      <w:lang w:val="en-US" w:eastAsia="zh-CN" w:bidi="ar-SA"/>
                    </w:rPr>
                  </w:pPr>
                  <w:r>
                    <w:rPr>
                      <w:rFonts w:hint="default" w:ascii="Times New Roman" w:hAnsi="Times New Roman" w:cs="Times New Roman"/>
                      <w:color w:val="auto"/>
                      <w:sz w:val="21"/>
                      <w:szCs w:val="21"/>
                      <w:u w:val="none" w:color="auto"/>
                      <w:vertAlign w:val="baseline"/>
                      <w:lang w:val="en-US" w:eastAsia="zh-CN" w:bidi="ar-SA"/>
                    </w:rPr>
                    <w:t>本项目不涉及河段保护区、保留区</w:t>
                  </w:r>
                </w:p>
              </w:tc>
              <w:tc>
                <w:tcPr>
                  <w:tcW w:w="975" w:type="dxa"/>
                  <w:tcBorders>
                    <w:tl2br w:val="nil"/>
                    <w:tr2bl w:val="nil"/>
                  </w:tcBorders>
                  <w:noWrap w:val="0"/>
                  <w:vAlign w:val="center"/>
                </w:tcPr>
                <w:p w14:paraId="0F7039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bidi="ar-SA"/>
                    </w:rPr>
                    <w:t>不涉及</w:t>
                  </w:r>
                </w:p>
              </w:tc>
            </w:tr>
            <w:tr w14:paraId="7BB839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455" w:type="dxa"/>
                  <w:tcBorders>
                    <w:tl2br w:val="nil"/>
                    <w:tr2bl w:val="nil"/>
                  </w:tcBorders>
                  <w:noWrap w:val="0"/>
                  <w:vAlign w:val="center"/>
                </w:tcPr>
                <w:p w14:paraId="549D62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color="auto"/>
                      <w:vertAlign w:val="baseline"/>
                      <w:lang w:val="en-US" w:eastAsia="zh-CN" w:bidi="ar-SA"/>
                    </w:rPr>
                  </w:pPr>
                  <w:r>
                    <w:rPr>
                      <w:rFonts w:hint="default" w:ascii="Times New Roman" w:hAnsi="Times New Roman" w:cs="Times New Roman"/>
                      <w:color w:val="auto"/>
                      <w:sz w:val="21"/>
                      <w:szCs w:val="21"/>
                      <w:u w:val="none" w:color="auto"/>
                      <w:vertAlign w:val="baseline"/>
                      <w:lang w:val="en-US" w:eastAsia="zh-CN" w:bidi="ar-SA"/>
                    </w:rPr>
                    <w:t>11</w:t>
                  </w:r>
                </w:p>
              </w:tc>
              <w:tc>
                <w:tcPr>
                  <w:tcW w:w="3926" w:type="dxa"/>
                  <w:tcBorders>
                    <w:tl2br w:val="nil"/>
                    <w:tr2bl w:val="nil"/>
                  </w:tcBorders>
                  <w:noWrap w:val="0"/>
                  <w:vAlign w:val="center"/>
                </w:tcPr>
                <w:p w14:paraId="6E315EAF">
                  <w:pPr>
                    <w:pStyle w:val="285"/>
                    <w:keepNext w:val="0"/>
                    <w:keepLines w:val="0"/>
                    <w:pageBreakBefore w:val="0"/>
                    <w:widowControl w:val="0"/>
                    <w:suppressLineNumbers w:val="0"/>
                    <w:kinsoku/>
                    <w:wordWrap/>
                    <w:overflowPunct/>
                    <w:topLinePunct w:val="0"/>
                    <w:bidi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4"/>
                      <w:u w:val="none" w:color="auto"/>
                      <w:lang w:val="en-US" w:eastAsia="zh-CN" w:bidi="ar-SA"/>
                    </w:rPr>
                  </w:pPr>
                  <w:r>
                    <w:rPr>
                      <w:rFonts w:hint="default" w:ascii="Times New Roman" w:hAnsi="Times New Roman" w:cs="Times New Roman"/>
                      <w:color w:val="auto"/>
                      <w:u w:val="none" w:color="auto"/>
                      <w:lang w:val="en-US" w:eastAsia="zh-CN" w:bidi="ar-SA"/>
                    </w:rPr>
                    <w:t>第十三条：禁止未经许可在长江干支流及湖泊新设、改设或扩大排污口</w:t>
                  </w:r>
                </w:p>
              </w:tc>
              <w:tc>
                <w:tcPr>
                  <w:tcW w:w="1719" w:type="dxa"/>
                  <w:tcBorders>
                    <w:tl2br w:val="nil"/>
                    <w:tr2bl w:val="nil"/>
                  </w:tcBorders>
                  <w:noWrap w:val="0"/>
                  <w:vAlign w:val="center"/>
                </w:tcPr>
                <w:p w14:paraId="0F29E2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color="auto"/>
                      <w:vertAlign w:val="baseline"/>
                      <w:lang w:val="en-US" w:eastAsia="zh-CN" w:bidi="ar-SA"/>
                    </w:rPr>
                  </w:pPr>
                  <w:r>
                    <w:rPr>
                      <w:rFonts w:hint="default" w:ascii="Times New Roman" w:hAnsi="Times New Roman" w:cs="Times New Roman"/>
                      <w:color w:val="auto"/>
                      <w:sz w:val="21"/>
                      <w:szCs w:val="21"/>
                      <w:u w:val="none" w:color="auto"/>
                      <w:vertAlign w:val="baseline"/>
                      <w:lang w:val="en-US" w:eastAsia="zh-CN" w:bidi="ar-SA"/>
                    </w:rPr>
                    <w:t>本项目不设置废水排放口</w:t>
                  </w:r>
                </w:p>
              </w:tc>
              <w:tc>
                <w:tcPr>
                  <w:tcW w:w="975" w:type="dxa"/>
                  <w:tcBorders>
                    <w:tl2br w:val="nil"/>
                    <w:tr2bl w:val="nil"/>
                  </w:tcBorders>
                  <w:noWrap w:val="0"/>
                  <w:vAlign w:val="center"/>
                </w:tcPr>
                <w:p w14:paraId="6EE46E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bidi="ar-SA"/>
                    </w:rPr>
                    <w:t>不涉及</w:t>
                  </w:r>
                </w:p>
              </w:tc>
            </w:tr>
            <w:tr w14:paraId="051967A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455" w:type="dxa"/>
                  <w:tcBorders>
                    <w:tl2br w:val="nil"/>
                    <w:tr2bl w:val="nil"/>
                  </w:tcBorders>
                  <w:noWrap w:val="0"/>
                  <w:vAlign w:val="center"/>
                </w:tcPr>
                <w:p w14:paraId="7F4DCF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color="auto"/>
                      <w:vertAlign w:val="baseline"/>
                      <w:lang w:val="en-US" w:eastAsia="zh-CN" w:bidi="ar-SA"/>
                    </w:rPr>
                  </w:pPr>
                  <w:r>
                    <w:rPr>
                      <w:rFonts w:hint="default" w:ascii="Times New Roman" w:hAnsi="Times New Roman" w:cs="Times New Roman"/>
                      <w:color w:val="auto"/>
                      <w:sz w:val="21"/>
                      <w:szCs w:val="21"/>
                      <w:u w:val="none" w:color="auto"/>
                      <w:vertAlign w:val="baseline"/>
                      <w:lang w:val="en-US" w:eastAsia="zh-CN" w:bidi="ar-SA"/>
                    </w:rPr>
                    <w:t>12</w:t>
                  </w:r>
                </w:p>
              </w:tc>
              <w:tc>
                <w:tcPr>
                  <w:tcW w:w="3926" w:type="dxa"/>
                  <w:tcBorders>
                    <w:tl2br w:val="nil"/>
                    <w:tr2bl w:val="nil"/>
                  </w:tcBorders>
                  <w:noWrap w:val="0"/>
                  <w:vAlign w:val="center"/>
                </w:tcPr>
                <w:p w14:paraId="22D443D8">
                  <w:pPr>
                    <w:pStyle w:val="285"/>
                    <w:keepNext w:val="0"/>
                    <w:keepLines w:val="0"/>
                    <w:pageBreakBefore w:val="0"/>
                    <w:widowControl w:val="0"/>
                    <w:suppressLineNumbers w:val="0"/>
                    <w:kinsoku/>
                    <w:wordWrap/>
                    <w:overflowPunct/>
                    <w:topLinePunct w:val="0"/>
                    <w:bidi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4"/>
                      <w:u w:val="none" w:color="auto"/>
                      <w:lang w:val="en-US" w:eastAsia="zh-CN" w:bidi="ar-SA"/>
                    </w:rPr>
                  </w:pPr>
                  <w:r>
                    <w:rPr>
                      <w:rFonts w:hint="default" w:ascii="Times New Roman" w:hAnsi="Times New Roman" w:cs="Times New Roman"/>
                      <w:color w:val="auto"/>
                      <w:u w:val="none" w:color="auto"/>
                      <w:lang w:val="en-US" w:eastAsia="zh-CN" w:bidi="ar-SA"/>
                    </w:rPr>
                    <w:t>第十四条：禁止在洞庭湖、湘江、资江、沅江、漫水干流和45个水生生物保护区开展生产性捕捞。在相关自然保护区域和禁猎（渔）区、禁猎（渔）期内，禁止猎捕以及其他妨碍野生动物生息繁衍的活动，但法律法规另有规定的除外。</w:t>
                  </w:r>
                </w:p>
              </w:tc>
              <w:tc>
                <w:tcPr>
                  <w:tcW w:w="1719" w:type="dxa"/>
                  <w:tcBorders>
                    <w:tl2br w:val="nil"/>
                    <w:tr2bl w:val="nil"/>
                  </w:tcBorders>
                  <w:noWrap w:val="0"/>
                  <w:vAlign w:val="center"/>
                </w:tcPr>
                <w:p w14:paraId="779AD5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color="auto"/>
                      <w:vertAlign w:val="baseline"/>
                      <w:lang w:val="en-US" w:eastAsia="zh-CN" w:bidi="ar-SA"/>
                    </w:rPr>
                  </w:pPr>
                  <w:r>
                    <w:rPr>
                      <w:rFonts w:hint="default" w:ascii="Times New Roman" w:hAnsi="Times New Roman" w:cs="Times New Roman"/>
                      <w:color w:val="auto"/>
                      <w:sz w:val="21"/>
                      <w:szCs w:val="21"/>
                      <w:u w:val="none" w:color="auto"/>
                      <w:vertAlign w:val="baseline"/>
                      <w:lang w:val="en-US" w:eastAsia="zh-CN" w:bidi="ar-SA"/>
                    </w:rPr>
                    <w:t>本项目不涉及捕捞</w:t>
                  </w:r>
                </w:p>
              </w:tc>
              <w:tc>
                <w:tcPr>
                  <w:tcW w:w="975" w:type="dxa"/>
                  <w:tcBorders>
                    <w:tl2br w:val="nil"/>
                    <w:tr2bl w:val="nil"/>
                  </w:tcBorders>
                  <w:noWrap w:val="0"/>
                  <w:vAlign w:val="center"/>
                </w:tcPr>
                <w:p w14:paraId="20877C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bidi="ar-SA"/>
                    </w:rPr>
                    <w:t>不涉及</w:t>
                  </w:r>
                </w:p>
              </w:tc>
            </w:tr>
            <w:tr w14:paraId="779A5FF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455" w:type="dxa"/>
                  <w:tcBorders>
                    <w:tl2br w:val="nil"/>
                    <w:tr2bl w:val="nil"/>
                  </w:tcBorders>
                  <w:noWrap w:val="0"/>
                  <w:vAlign w:val="center"/>
                </w:tcPr>
                <w:p w14:paraId="299EF0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color="auto"/>
                      <w:vertAlign w:val="baseline"/>
                      <w:lang w:val="en-US" w:eastAsia="zh-CN" w:bidi="ar-SA"/>
                    </w:rPr>
                  </w:pPr>
                  <w:r>
                    <w:rPr>
                      <w:rFonts w:hint="default" w:ascii="Times New Roman" w:hAnsi="Times New Roman" w:cs="Times New Roman"/>
                      <w:color w:val="auto"/>
                      <w:sz w:val="21"/>
                      <w:szCs w:val="21"/>
                      <w:u w:val="none" w:color="auto"/>
                      <w:vertAlign w:val="baseline"/>
                      <w:lang w:val="en-US" w:eastAsia="zh-CN" w:bidi="ar-SA"/>
                    </w:rPr>
                    <w:t>13</w:t>
                  </w:r>
                </w:p>
              </w:tc>
              <w:tc>
                <w:tcPr>
                  <w:tcW w:w="3926" w:type="dxa"/>
                  <w:tcBorders>
                    <w:tl2br w:val="nil"/>
                    <w:tr2bl w:val="nil"/>
                  </w:tcBorders>
                  <w:noWrap w:val="0"/>
                  <w:vAlign w:val="center"/>
                </w:tcPr>
                <w:p w14:paraId="7F9EFF18">
                  <w:pPr>
                    <w:pStyle w:val="285"/>
                    <w:keepNext w:val="0"/>
                    <w:keepLines w:val="0"/>
                    <w:pageBreakBefore w:val="0"/>
                    <w:widowControl w:val="0"/>
                    <w:suppressLineNumbers w:val="0"/>
                    <w:kinsoku/>
                    <w:wordWrap/>
                    <w:overflowPunct/>
                    <w:topLinePunct w:val="0"/>
                    <w:bidi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4"/>
                      <w:u w:val="none" w:color="auto"/>
                      <w:lang w:val="en-US" w:eastAsia="zh-CN" w:bidi="ar-SA"/>
                    </w:rPr>
                  </w:pPr>
                  <w:r>
                    <w:rPr>
                      <w:rFonts w:hint="default" w:ascii="Times New Roman" w:hAnsi="Times New Roman" w:cs="Times New Roman"/>
                      <w:color w:val="auto"/>
                      <w:u w:val="none" w:color="auto"/>
                      <w:lang w:val="en-US" w:eastAsia="zh-CN" w:bidi="ar-SA"/>
                    </w:rPr>
                    <w:t>第十五条：禁止在长江湖南段和洞庭湖、湘江、资江、沅江、遭水干流岸线一公里范围内新建、扩建化工园区和化工项目。禁止在长江湖南段岸线三公里范围内和湘江、资江、沅江遭水岸线一公里范围内新建、改建、扩建尾矿库、冶炼渣库和磷石膏库，以提升安全、生态环境保护水平为目的的改建除外。</w:t>
                  </w:r>
                </w:p>
              </w:tc>
              <w:tc>
                <w:tcPr>
                  <w:tcW w:w="1719" w:type="dxa"/>
                  <w:tcBorders>
                    <w:tl2br w:val="nil"/>
                    <w:tr2bl w:val="nil"/>
                  </w:tcBorders>
                  <w:noWrap w:val="0"/>
                  <w:vAlign w:val="center"/>
                </w:tcPr>
                <w:p w14:paraId="0B598F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color="auto"/>
                      <w:vertAlign w:val="baseline"/>
                      <w:lang w:val="en-US" w:eastAsia="zh-CN" w:bidi="ar-SA"/>
                    </w:rPr>
                  </w:pPr>
                  <w:r>
                    <w:rPr>
                      <w:rFonts w:hint="default" w:ascii="Times New Roman" w:hAnsi="Times New Roman" w:cs="Times New Roman"/>
                      <w:color w:val="auto"/>
                      <w:sz w:val="21"/>
                      <w:szCs w:val="21"/>
                      <w:u w:val="none" w:color="auto"/>
                      <w:vertAlign w:val="baseline"/>
                      <w:lang w:val="en-US" w:eastAsia="zh-CN" w:bidi="ar-SA"/>
                    </w:rPr>
                    <w:t>本项目不属于化工项目</w:t>
                  </w:r>
                </w:p>
              </w:tc>
              <w:tc>
                <w:tcPr>
                  <w:tcW w:w="975" w:type="dxa"/>
                  <w:tcBorders>
                    <w:tl2br w:val="nil"/>
                    <w:tr2bl w:val="nil"/>
                  </w:tcBorders>
                  <w:noWrap w:val="0"/>
                  <w:vAlign w:val="center"/>
                </w:tcPr>
                <w:p w14:paraId="7D4135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bidi="ar-SA"/>
                    </w:rPr>
                    <w:t>不涉及</w:t>
                  </w:r>
                </w:p>
              </w:tc>
            </w:tr>
            <w:tr w14:paraId="3ED024A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455" w:type="dxa"/>
                  <w:tcBorders>
                    <w:tl2br w:val="nil"/>
                    <w:tr2bl w:val="nil"/>
                  </w:tcBorders>
                  <w:noWrap w:val="0"/>
                  <w:vAlign w:val="center"/>
                </w:tcPr>
                <w:p w14:paraId="13C2C8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color="auto"/>
                      <w:vertAlign w:val="baseline"/>
                      <w:lang w:val="en-US" w:eastAsia="zh-CN" w:bidi="ar-SA"/>
                    </w:rPr>
                  </w:pPr>
                  <w:r>
                    <w:rPr>
                      <w:rFonts w:hint="default" w:ascii="Times New Roman" w:hAnsi="Times New Roman" w:cs="Times New Roman"/>
                      <w:color w:val="auto"/>
                      <w:sz w:val="21"/>
                      <w:szCs w:val="21"/>
                      <w:u w:val="none" w:color="auto"/>
                      <w:vertAlign w:val="baseline"/>
                      <w:lang w:val="en-US" w:eastAsia="zh-CN" w:bidi="ar-SA"/>
                    </w:rPr>
                    <w:t>14</w:t>
                  </w:r>
                </w:p>
              </w:tc>
              <w:tc>
                <w:tcPr>
                  <w:tcW w:w="3926" w:type="dxa"/>
                  <w:tcBorders>
                    <w:tl2br w:val="nil"/>
                    <w:tr2bl w:val="nil"/>
                  </w:tcBorders>
                  <w:noWrap w:val="0"/>
                  <w:vAlign w:val="center"/>
                </w:tcPr>
                <w:p w14:paraId="092FF940">
                  <w:pPr>
                    <w:pStyle w:val="285"/>
                    <w:keepNext w:val="0"/>
                    <w:keepLines w:val="0"/>
                    <w:pageBreakBefore w:val="0"/>
                    <w:widowControl w:val="0"/>
                    <w:suppressLineNumbers w:val="0"/>
                    <w:kinsoku/>
                    <w:wordWrap/>
                    <w:overflowPunct/>
                    <w:topLinePunct w:val="0"/>
                    <w:bidi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4"/>
                      <w:u w:val="none" w:color="auto"/>
                      <w:lang w:val="en-US" w:eastAsia="zh-CN" w:bidi="ar-SA"/>
                    </w:rPr>
                  </w:pPr>
                  <w:r>
                    <w:rPr>
                      <w:rFonts w:hint="default" w:ascii="Times New Roman" w:hAnsi="Times New Roman" w:cs="Times New Roman"/>
                      <w:color w:val="auto"/>
                      <w:u w:val="none" w:color="auto"/>
                      <w:lang w:val="en-US" w:eastAsia="zh-CN" w:bidi="ar-SA"/>
                    </w:rPr>
                    <w:t>第十六条：禁止在合规园区外新建、扩建钢铁、石化、化工、焦化、建材、有色、制浆造纸等高污染项目。高污染项目严格按照生态环境部《环境保护综合名录（2021年版）》有关要求执行。</w:t>
                  </w:r>
                </w:p>
              </w:tc>
              <w:tc>
                <w:tcPr>
                  <w:tcW w:w="1719" w:type="dxa"/>
                  <w:tcBorders>
                    <w:tl2br w:val="nil"/>
                    <w:tr2bl w:val="nil"/>
                  </w:tcBorders>
                  <w:noWrap w:val="0"/>
                  <w:vAlign w:val="center"/>
                </w:tcPr>
                <w:p w14:paraId="43AF4C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color="auto"/>
                      <w:vertAlign w:val="baseline"/>
                      <w:lang w:val="en-US" w:eastAsia="zh-CN" w:bidi="ar-SA"/>
                    </w:rPr>
                  </w:pPr>
                  <w:r>
                    <w:rPr>
                      <w:rFonts w:hint="default" w:ascii="Times New Roman" w:hAnsi="Times New Roman" w:cs="Times New Roman"/>
                      <w:color w:val="auto"/>
                      <w:sz w:val="21"/>
                      <w:szCs w:val="21"/>
                      <w:u w:val="none" w:color="auto"/>
                      <w:vertAlign w:val="baseline"/>
                      <w:lang w:val="en-US" w:eastAsia="zh-CN" w:bidi="ar-SA"/>
                    </w:rPr>
                    <w:t>本项目不属于所列禁止建设的高污染项目</w:t>
                  </w:r>
                </w:p>
              </w:tc>
              <w:tc>
                <w:tcPr>
                  <w:tcW w:w="975" w:type="dxa"/>
                  <w:tcBorders>
                    <w:tl2br w:val="nil"/>
                    <w:tr2bl w:val="nil"/>
                  </w:tcBorders>
                  <w:noWrap w:val="0"/>
                  <w:vAlign w:val="center"/>
                </w:tcPr>
                <w:p w14:paraId="48D849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bidi="ar-SA"/>
                    </w:rPr>
                    <w:t>不涉及</w:t>
                  </w:r>
                </w:p>
              </w:tc>
            </w:tr>
            <w:tr w14:paraId="28EDF6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455" w:type="dxa"/>
                  <w:tcBorders>
                    <w:tl2br w:val="nil"/>
                    <w:tr2bl w:val="nil"/>
                  </w:tcBorders>
                  <w:noWrap w:val="0"/>
                  <w:vAlign w:val="center"/>
                </w:tcPr>
                <w:p w14:paraId="4DDAFD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color="auto"/>
                      <w:vertAlign w:val="baseline"/>
                      <w:lang w:val="en-US" w:eastAsia="zh-CN" w:bidi="ar-SA"/>
                    </w:rPr>
                  </w:pPr>
                  <w:r>
                    <w:rPr>
                      <w:rFonts w:hint="default" w:ascii="Times New Roman" w:hAnsi="Times New Roman" w:cs="Times New Roman"/>
                      <w:color w:val="auto"/>
                      <w:sz w:val="21"/>
                      <w:szCs w:val="21"/>
                      <w:u w:val="none" w:color="auto"/>
                      <w:vertAlign w:val="baseline"/>
                      <w:lang w:val="en-US" w:eastAsia="zh-CN" w:bidi="ar-SA"/>
                    </w:rPr>
                    <w:t>15</w:t>
                  </w:r>
                </w:p>
              </w:tc>
              <w:tc>
                <w:tcPr>
                  <w:tcW w:w="3926" w:type="dxa"/>
                  <w:tcBorders>
                    <w:tl2br w:val="nil"/>
                    <w:tr2bl w:val="nil"/>
                  </w:tcBorders>
                  <w:noWrap w:val="0"/>
                  <w:vAlign w:val="center"/>
                </w:tcPr>
                <w:p w14:paraId="500CCBE3">
                  <w:pPr>
                    <w:pStyle w:val="285"/>
                    <w:keepNext w:val="0"/>
                    <w:keepLines w:val="0"/>
                    <w:pageBreakBefore w:val="0"/>
                    <w:widowControl w:val="0"/>
                    <w:suppressLineNumbers w:val="0"/>
                    <w:kinsoku/>
                    <w:wordWrap/>
                    <w:overflowPunct/>
                    <w:topLinePunct w:val="0"/>
                    <w:bidi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4"/>
                      <w:u w:val="none" w:color="auto"/>
                      <w:lang w:val="en-US" w:eastAsia="zh-CN" w:bidi="ar-SA"/>
                    </w:rPr>
                  </w:pPr>
                  <w:r>
                    <w:rPr>
                      <w:rFonts w:hint="default" w:ascii="Times New Roman" w:hAnsi="Times New Roman" w:cs="Times New Roman"/>
                      <w:color w:val="auto"/>
                      <w:u w:val="none" w:color="auto"/>
                      <w:lang w:val="en-US" w:eastAsia="zh-CN" w:bidi="ar-SA"/>
                    </w:rPr>
                    <w:t>第十七条：禁止新建、扩建不符合国家石化、现代煤化工等产业布局规划的项目。未通过认定的化工园区，不得新建、改扩建化工项目（安全、环保、节能和智能化改造项目除外）。</w:t>
                  </w:r>
                </w:p>
              </w:tc>
              <w:tc>
                <w:tcPr>
                  <w:tcW w:w="1719" w:type="dxa"/>
                  <w:tcBorders>
                    <w:tl2br w:val="nil"/>
                    <w:tr2bl w:val="nil"/>
                  </w:tcBorders>
                  <w:noWrap w:val="0"/>
                  <w:vAlign w:val="center"/>
                </w:tcPr>
                <w:p w14:paraId="2E7668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color="auto"/>
                      <w:vertAlign w:val="baseline"/>
                      <w:lang w:val="en-US" w:eastAsia="zh-CN" w:bidi="ar-SA"/>
                    </w:rPr>
                  </w:pPr>
                  <w:r>
                    <w:rPr>
                      <w:rFonts w:hint="default" w:ascii="Times New Roman" w:hAnsi="Times New Roman" w:cs="Times New Roman"/>
                      <w:color w:val="auto"/>
                      <w:sz w:val="21"/>
                      <w:szCs w:val="21"/>
                      <w:u w:val="none" w:color="auto"/>
                      <w:vertAlign w:val="baseline"/>
                      <w:lang w:val="en-US" w:eastAsia="zh-CN" w:bidi="ar-SA"/>
                    </w:rPr>
                    <w:t>本项目不属于石化、现代煤等化工等类型项目</w:t>
                  </w:r>
                </w:p>
              </w:tc>
              <w:tc>
                <w:tcPr>
                  <w:tcW w:w="975" w:type="dxa"/>
                  <w:tcBorders>
                    <w:tl2br w:val="nil"/>
                    <w:tr2bl w:val="nil"/>
                  </w:tcBorders>
                  <w:noWrap w:val="0"/>
                  <w:vAlign w:val="center"/>
                </w:tcPr>
                <w:p w14:paraId="3372CD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bidi="ar-SA"/>
                    </w:rPr>
                    <w:t>不涉及</w:t>
                  </w:r>
                </w:p>
              </w:tc>
            </w:tr>
            <w:tr w14:paraId="148713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455" w:type="dxa"/>
                  <w:tcBorders>
                    <w:tl2br w:val="nil"/>
                    <w:tr2bl w:val="nil"/>
                  </w:tcBorders>
                  <w:noWrap w:val="0"/>
                  <w:vAlign w:val="center"/>
                </w:tcPr>
                <w:p w14:paraId="1556F5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color="auto"/>
                      <w:vertAlign w:val="baseline"/>
                      <w:lang w:val="en-US" w:eastAsia="zh-CN" w:bidi="ar-SA"/>
                    </w:rPr>
                  </w:pPr>
                  <w:r>
                    <w:rPr>
                      <w:rFonts w:hint="default" w:ascii="Times New Roman" w:hAnsi="Times New Roman" w:cs="Times New Roman"/>
                      <w:color w:val="auto"/>
                      <w:sz w:val="21"/>
                      <w:szCs w:val="21"/>
                      <w:u w:val="none" w:color="auto"/>
                      <w:vertAlign w:val="baseline"/>
                      <w:lang w:val="en-US" w:eastAsia="zh-CN" w:bidi="ar-SA"/>
                    </w:rPr>
                    <w:t>16</w:t>
                  </w:r>
                </w:p>
              </w:tc>
              <w:tc>
                <w:tcPr>
                  <w:tcW w:w="3926" w:type="dxa"/>
                  <w:tcBorders>
                    <w:tl2br w:val="nil"/>
                    <w:tr2bl w:val="nil"/>
                  </w:tcBorders>
                  <w:noWrap w:val="0"/>
                  <w:vAlign w:val="center"/>
                </w:tcPr>
                <w:p w14:paraId="18C64B98">
                  <w:pPr>
                    <w:pStyle w:val="285"/>
                    <w:keepNext w:val="0"/>
                    <w:keepLines w:val="0"/>
                    <w:pageBreakBefore w:val="0"/>
                    <w:widowControl w:val="0"/>
                    <w:suppressLineNumbers w:val="0"/>
                    <w:kinsoku/>
                    <w:wordWrap/>
                    <w:overflowPunct/>
                    <w:topLinePunct w:val="0"/>
                    <w:bidi w:val="0"/>
                    <w:spacing w:before="0" w:beforeAutospacing="0" w:after="0" w:afterAutospacing="0"/>
                    <w:ind w:left="0" w:right="0" w:firstLine="0" w:firstLineChars="0"/>
                    <w:jc w:val="center"/>
                    <w:textAlignment w:val="auto"/>
                    <w:rPr>
                      <w:rFonts w:hint="default" w:ascii="Times New Roman" w:hAnsi="Times New Roman" w:eastAsia="宋体" w:cs="Times New Roman"/>
                      <w:color w:val="auto"/>
                      <w:sz w:val="21"/>
                      <w:szCs w:val="24"/>
                      <w:u w:val="none" w:color="auto"/>
                      <w:lang w:val="en-US" w:eastAsia="zh-CN" w:bidi="ar-SA"/>
                    </w:rPr>
                  </w:pPr>
                  <w:r>
                    <w:rPr>
                      <w:rFonts w:hint="default" w:ascii="Times New Roman" w:hAnsi="Times New Roman" w:cs="Times New Roman"/>
                      <w:color w:val="auto"/>
                      <w:u w:val="none" w:color="auto"/>
                      <w:lang w:val="en-US" w:eastAsia="zh-CN" w:bidi="ar-SA"/>
                    </w:rPr>
                    <w:t>第十八条：禁止新建、扩建法律法规和相关政策明令禁止的落后产能项目；对不符合要求的落后产能存量项目依法依规退出。禁止新建、扩建不符合国家产能置换要求的严重过剩产能行业（钢铁、水泥、电解铝、平板玻璃、船舶等行业）的项目。对确有必要新建、扩建的，必须严格执行产能置换实施办法，实施减量或等量置换，依法依规办理有关手续。禁止新建扩建不符合要求的高耗能高排放项目。</w:t>
                  </w:r>
                </w:p>
              </w:tc>
              <w:tc>
                <w:tcPr>
                  <w:tcW w:w="1719" w:type="dxa"/>
                  <w:tcBorders>
                    <w:tl2br w:val="nil"/>
                    <w:tr2bl w:val="nil"/>
                  </w:tcBorders>
                  <w:noWrap w:val="0"/>
                  <w:vAlign w:val="center"/>
                </w:tcPr>
                <w:p w14:paraId="675C7C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color="auto"/>
                      <w:vertAlign w:val="baseline"/>
                      <w:lang w:val="en-US" w:eastAsia="zh-CN" w:bidi="ar-SA"/>
                    </w:rPr>
                  </w:pPr>
                  <w:r>
                    <w:rPr>
                      <w:rFonts w:hint="default" w:ascii="Times New Roman" w:hAnsi="Times New Roman" w:cs="Times New Roman"/>
                      <w:color w:val="auto"/>
                      <w:sz w:val="21"/>
                      <w:szCs w:val="21"/>
                      <w:u w:val="none" w:color="auto"/>
                      <w:vertAlign w:val="baseline"/>
                      <w:lang w:val="en-US" w:eastAsia="zh-CN" w:bidi="ar-SA"/>
                    </w:rPr>
                    <w:t>本项目不属于禁止建设的落后产能项目、严重过剩产能行业、不符合要求的高耗能高排放项目</w:t>
                  </w:r>
                </w:p>
              </w:tc>
              <w:tc>
                <w:tcPr>
                  <w:tcW w:w="975" w:type="dxa"/>
                  <w:tcBorders>
                    <w:tl2br w:val="nil"/>
                    <w:tr2bl w:val="nil"/>
                  </w:tcBorders>
                  <w:noWrap w:val="0"/>
                  <w:vAlign w:val="center"/>
                </w:tcPr>
                <w:p w14:paraId="18B1EA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cs="Times New Roman"/>
                      <w:color w:val="auto"/>
                      <w:sz w:val="21"/>
                      <w:szCs w:val="21"/>
                      <w:u w:val="none" w:color="auto"/>
                      <w:vertAlign w:val="baseline"/>
                      <w:lang w:val="en-US" w:eastAsia="zh-CN" w:bidi="ar-SA"/>
                    </w:rPr>
                  </w:pPr>
                  <w:r>
                    <w:rPr>
                      <w:rFonts w:hint="eastAsia" w:cs="Times New Roman"/>
                      <w:color w:val="auto"/>
                      <w:sz w:val="21"/>
                      <w:szCs w:val="21"/>
                      <w:u w:val="none" w:color="auto"/>
                      <w:vertAlign w:val="baseline"/>
                      <w:lang w:val="en-US" w:eastAsia="zh-CN" w:bidi="ar-SA"/>
                    </w:rPr>
                    <w:t>不涉及</w:t>
                  </w:r>
                </w:p>
              </w:tc>
            </w:tr>
          </w:tbl>
          <w:p w14:paraId="12EEEA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0" w:firstLineChars="200"/>
              <w:textAlignment w:val="auto"/>
              <w:rPr>
                <w:rFonts w:hint="default" w:ascii="Times New Roman" w:hAnsi="Times New Roman" w:eastAsia="宋体" w:cs="Times New Roman"/>
                <w:b w:val="0"/>
                <w:bCs w:val="0"/>
                <w:color w:val="auto"/>
                <w:szCs w:val="20"/>
                <w:u w:val="none" w:color="auto"/>
                <w:lang w:val="en-US" w:eastAsia="zh-CN"/>
              </w:rPr>
            </w:pPr>
            <w:r>
              <w:rPr>
                <w:rFonts w:hint="eastAsia" w:cs="Times New Roman"/>
                <w:b w:val="0"/>
                <w:bCs w:val="0"/>
                <w:color w:val="auto"/>
                <w:szCs w:val="20"/>
                <w:u w:val="none" w:color="auto"/>
                <w:lang w:val="en-US" w:eastAsia="zh-CN"/>
              </w:rPr>
              <w:t>综上所述，本项目满足《湖南省长江经济带发展负面清单实施细则（试行，2022)》要求。</w:t>
            </w:r>
          </w:p>
          <w:p w14:paraId="5494AFD4">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eastAsia" w:cs="Times New Roman"/>
                <w:b/>
                <w:bCs/>
                <w:color w:val="auto"/>
                <w:kern w:val="0"/>
                <w:sz w:val="24"/>
                <w:szCs w:val="24"/>
                <w:highlight w:val="none"/>
                <w:lang w:val="en-US" w:eastAsia="zh-CN" w:bidi="ar-SA"/>
              </w:rPr>
              <w:t>9</w:t>
            </w:r>
            <w:r>
              <w:rPr>
                <w:rFonts w:hint="eastAsia" w:ascii="Times New Roman" w:hAnsi="Times New Roman" w:eastAsia="宋体" w:cs="Times New Roman"/>
                <w:b/>
                <w:bCs/>
                <w:color w:val="auto"/>
                <w:kern w:val="0"/>
                <w:sz w:val="24"/>
                <w:szCs w:val="24"/>
                <w:highlight w:val="none"/>
                <w:lang w:val="en-US" w:eastAsia="zh-CN" w:bidi="ar-SA"/>
              </w:rPr>
              <w:t>、与《湖南省空气质量持续改善行动计划实施方案》（湘政办法【2024】33号）符合性分析</w:t>
            </w:r>
          </w:p>
          <w:p w14:paraId="0D158D64">
            <w:pPr>
              <w:keepNext w:val="0"/>
              <w:keepLines w:val="0"/>
              <w:pageBreakBefore w:val="0"/>
              <w:widowControl w:val="0"/>
              <w:suppressLineNumbers w:val="0"/>
              <w:kinsoku/>
              <w:wordWrap/>
              <w:overflowPunct/>
              <w:topLinePunct w:val="0"/>
              <w:bidi w:val="0"/>
              <w:spacing w:before="0" w:beforeAutospacing="0" w:after="0" w:afterAutospacing="0" w:line="360" w:lineRule="auto"/>
              <w:ind w:left="0" w:right="0" w:firstLine="422"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b/>
                <w:color w:val="auto"/>
                <w:kern w:val="0"/>
                <w:sz w:val="21"/>
                <w:szCs w:val="21"/>
                <w:u w:val="none"/>
                <w:lang w:val="en-US" w:eastAsia="zh-CN" w:bidi="ar"/>
              </w:rPr>
              <w:t>表</w:t>
            </w:r>
            <w:r>
              <w:rPr>
                <w:rFonts w:hint="default" w:ascii="Times New Roman" w:hAnsi="Times New Roman" w:eastAsia="宋体" w:cs="Times New Roman"/>
                <w:b/>
                <w:color w:val="auto"/>
                <w:kern w:val="0"/>
                <w:sz w:val="21"/>
                <w:szCs w:val="21"/>
                <w:u w:val="none"/>
                <w:lang w:val="en-US" w:eastAsia="zh-CN" w:bidi="ar-SA"/>
              </w:rPr>
              <w:t>1-</w:t>
            </w:r>
            <w:r>
              <w:rPr>
                <w:rFonts w:hint="eastAsia" w:cs="Times New Roman"/>
                <w:b/>
                <w:color w:val="auto"/>
                <w:kern w:val="0"/>
                <w:sz w:val="21"/>
                <w:szCs w:val="21"/>
                <w:u w:val="none"/>
                <w:lang w:val="en-US" w:eastAsia="zh-CN" w:bidi="ar-SA"/>
              </w:rPr>
              <w:t>8</w:t>
            </w:r>
            <w:r>
              <w:rPr>
                <w:rFonts w:hint="eastAsia" w:ascii="Times New Roman" w:hAnsi="Times New Roman" w:eastAsia="宋体" w:cs="Times New Roman"/>
                <w:b/>
                <w:color w:val="auto"/>
                <w:kern w:val="0"/>
                <w:sz w:val="21"/>
                <w:szCs w:val="21"/>
                <w:u w:val="none"/>
                <w:lang w:val="en-US" w:eastAsia="zh-CN" w:bidi="ar-SA"/>
              </w:rPr>
              <w:t xml:space="preserve"> 与《湖南省空气质量持续改善行动计划实施方案》符合性分析表</w:t>
            </w:r>
          </w:p>
          <w:tbl>
            <w:tblPr>
              <w:tblStyle w:val="43"/>
              <w:tblW w:w="71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22"/>
              <w:gridCol w:w="2565"/>
              <w:gridCol w:w="680"/>
            </w:tblGrid>
            <w:tr w14:paraId="2672F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2" w:type="dxa"/>
                  <w:tcBorders>
                    <w:top w:val="single" w:color="auto" w:sz="12" w:space="0"/>
                  </w:tcBorders>
                  <w:vAlign w:val="center"/>
                </w:tcPr>
                <w:p w14:paraId="434CDB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eastAsia="宋体" w:cs="Times New Roman"/>
                      <w:color w:val="auto"/>
                      <w:kern w:val="0"/>
                      <w:sz w:val="21"/>
                      <w:szCs w:val="21"/>
                      <w:highlight w:val="none"/>
                      <w:vertAlign w:val="baseline"/>
                      <w:lang w:val="en-US" w:eastAsia="zh-CN" w:bidi="ar-SA"/>
                    </w:rPr>
                    <w:t>方案要求</w:t>
                  </w:r>
                </w:p>
              </w:tc>
              <w:tc>
                <w:tcPr>
                  <w:tcW w:w="2565" w:type="dxa"/>
                  <w:tcBorders>
                    <w:top w:val="single" w:color="auto" w:sz="12" w:space="0"/>
                  </w:tcBorders>
                  <w:vAlign w:val="center"/>
                </w:tcPr>
                <w:p w14:paraId="33470D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eastAsia="宋体" w:cs="Times New Roman"/>
                      <w:color w:val="auto"/>
                      <w:kern w:val="0"/>
                      <w:sz w:val="21"/>
                      <w:szCs w:val="21"/>
                      <w:highlight w:val="none"/>
                      <w:vertAlign w:val="baseline"/>
                      <w:lang w:val="en-US" w:eastAsia="zh-CN" w:bidi="ar-SA"/>
                    </w:rPr>
                    <w:t>本项目建设内容</w:t>
                  </w:r>
                </w:p>
              </w:tc>
              <w:tc>
                <w:tcPr>
                  <w:tcW w:w="680" w:type="dxa"/>
                  <w:tcBorders>
                    <w:top w:val="single" w:color="auto" w:sz="12" w:space="0"/>
                    <w:right w:val="single" w:color="auto" w:sz="12" w:space="0"/>
                  </w:tcBorders>
                  <w:vAlign w:val="center"/>
                </w:tcPr>
                <w:p w14:paraId="6C06BD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eastAsia="宋体" w:cs="Times New Roman"/>
                      <w:color w:val="auto"/>
                      <w:kern w:val="0"/>
                      <w:sz w:val="21"/>
                      <w:szCs w:val="21"/>
                      <w:highlight w:val="none"/>
                      <w:vertAlign w:val="baseline"/>
                      <w:lang w:val="en-US" w:eastAsia="zh-CN" w:bidi="ar-SA"/>
                    </w:rPr>
                    <w:t>符合性</w:t>
                  </w:r>
                </w:p>
              </w:tc>
            </w:tr>
            <w:tr w14:paraId="41970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2" w:type="dxa"/>
                  <w:tcBorders>
                    <w:left w:val="single" w:color="auto" w:sz="4" w:space="0"/>
                  </w:tcBorders>
                  <w:vAlign w:val="center"/>
                </w:tcPr>
                <w:p w14:paraId="0311B9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eastAsia="宋体" w:cs="Times New Roman"/>
                      <w:color w:val="auto"/>
                      <w:kern w:val="0"/>
                      <w:sz w:val="21"/>
                      <w:szCs w:val="21"/>
                      <w:highlight w:val="none"/>
                      <w:vertAlign w:val="baseline"/>
                      <w:lang w:val="en-US" w:eastAsia="zh-CN" w:bidi="ar-SA"/>
                    </w:rPr>
                    <w:t>加快退出重点行业落后产能。严格执行《产业结构调整指导目录》，制定实施利用能耗、环保、质量、安全、技术等标准推动落后产能退出年度工作方案，加大重点行业落后产能淘汰力度，推动大规模设备更新，开展小型生物质锅炉清理整合。到2025年，全省砖瓦窑企业全部完成综合整治，基本完成2蒸吨/小时及以下生物质锅炉淘汰。</w:t>
                  </w:r>
                </w:p>
              </w:tc>
              <w:tc>
                <w:tcPr>
                  <w:tcW w:w="2565" w:type="dxa"/>
                  <w:vAlign w:val="center"/>
                </w:tcPr>
                <w:p w14:paraId="3F0D54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default" w:ascii="Times New Roman" w:hAnsi="Times New Roman" w:eastAsia="宋体" w:cs="Times New Roman"/>
                      <w:color w:val="auto"/>
                      <w:kern w:val="0"/>
                      <w:sz w:val="21"/>
                      <w:szCs w:val="21"/>
                      <w:u w:val="none"/>
                      <w:lang w:val="en-US" w:eastAsia="zh-CN" w:bidi="ar"/>
                    </w:rPr>
                    <w:t>本项目属于</w:t>
                  </w:r>
                  <w:r>
                    <w:rPr>
                      <w:rFonts w:hint="eastAsia" w:cs="Times New Roman"/>
                      <w:color w:val="auto"/>
                      <w:sz w:val="21"/>
                      <w:szCs w:val="21"/>
                      <w:highlight w:val="none"/>
                      <w:u w:val="none" w:color="auto"/>
                      <w:lang w:val="en-US" w:eastAsia="zh-CN"/>
                    </w:rPr>
                    <w:t>农副食品加工业</w:t>
                  </w:r>
                  <w:r>
                    <w:rPr>
                      <w:rFonts w:hint="default" w:ascii="Times New Roman" w:hAnsi="Times New Roman" w:eastAsia="宋体" w:cs="Times New Roman"/>
                      <w:color w:val="auto"/>
                      <w:kern w:val="0"/>
                      <w:sz w:val="21"/>
                      <w:szCs w:val="21"/>
                      <w:u w:val="none"/>
                      <w:lang w:val="en-US" w:eastAsia="zh-CN" w:bidi="ar"/>
                    </w:rPr>
                    <w:t>，</w:t>
                  </w:r>
                  <w:r>
                    <w:rPr>
                      <w:rFonts w:hint="eastAsia" w:ascii="Times New Roman" w:hAnsi="Times New Roman" w:eastAsia="宋体" w:cs="Times New Roman"/>
                      <w:color w:val="auto"/>
                      <w:kern w:val="0"/>
                      <w:sz w:val="21"/>
                      <w:szCs w:val="21"/>
                      <w:u w:val="none"/>
                      <w:lang w:val="en-US" w:eastAsia="zh-CN" w:bidi="ar"/>
                    </w:rPr>
                    <w:t>同时设置一台2.2t/h、一台2.5t/h的生物质蒸汽发生器，本项目生产设备及采用的生产工艺不属于《产业结构调整指导目录(2024年本)》中规定的限制类和淘汰类设备和工艺。</w:t>
                  </w:r>
                </w:p>
              </w:tc>
              <w:tc>
                <w:tcPr>
                  <w:tcW w:w="680" w:type="dxa"/>
                  <w:tcBorders>
                    <w:right w:val="single" w:color="auto" w:sz="12" w:space="0"/>
                  </w:tcBorders>
                  <w:vAlign w:val="center"/>
                </w:tcPr>
                <w:p w14:paraId="7F9389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eastAsia="宋体" w:cs="Times New Roman"/>
                      <w:color w:val="auto"/>
                      <w:kern w:val="0"/>
                      <w:sz w:val="21"/>
                      <w:szCs w:val="21"/>
                      <w:highlight w:val="none"/>
                      <w:vertAlign w:val="baseline"/>
                      <w:lang w:val="en-US" w:eastAsia="zh-CN" w:bidi="ar-SA"/>
                    </w:rPr>
                    <w:t>符合</w:t>
                  </w:r>
                </w:p>
              </w:tc>
            </w:tr>
            <w:tr w14:paraId="4A424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2" w:type="dxa"/>
                  <w:tcBorders>
                    <w:left w:val="single" w:color="auto" w:sz="4" w:space="0"/>
                  </w:tcBorders>
                  <w:vAlign w:val="center"/>
                </w:tcPr>
                <w:p w14:paraId="228884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eastAsia="宋体" w:cs="Times New Roman"/>
                      <w:color w:val="auto"/>
                      <w:kern w:val="0"/>
                      <w:sz w:val="21"/>
                      <w:szCs w:val="21"/>
                      <w:highlight w:val="none"/>
                      <w:vertAlign w:val="baseline"/>
                      <w:lang w:val="en-US" w:eastAsia="zh-CN" w:bidi="ar-SA"/>
                    </w:rPr>
                    <w:t>科学合理控制煤炭消费总量。全省原则上不再新增自备燃煤机组，推进自备燃煤机组实施清洁能源替代。引导重点行业减煤降碳、节能增效，削减非电力用煤。</w:t>
                  </w:r>
                </w:p>
              </w:tc>
              <w:tc>
                <w:tcPr>
                  <w:tcW w:w="2565" w:type="dxa"/>
                  <w:vMerge w:val="restart"/>
                  <w:vAlign w:val="center"/>
                </w:tcPr>
                <w:p w14:paraId="6AD982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eastAsia="宋体" w:cs="Times New Roman"/>
                      <w:color w:val="auto"/>
                      <w:kern w:val="0"/>
                      <w:sz w:val="21"/>
                      <w:szCs w:val="21"/>
                      <w:highlight w:val="none"/>
                      <w:vertAlign w:val="baseline"/>
                      <w:lang w:val="en-US" w:eastAsia="zh-CN" w:bidi="ar-SA"/>
                    </w:rPr>
                    <w:t>本项目设置</w:t>
                  </w:r>
                  <w:r>
                    <w:rPr>
                      <w:rFonts w:hint="eastAsia" w:ascii="Times New Roman" w:hAnsi="Times New Roman" w:eastAsia="宋体" w:cs="Times New Roman"/>
                      <w:color w:val="auto"/>
                      <w:kern w:val="0"/>
                      <w:sz w:val="21"/>
                      <w:szCs w:val="21"/>
                      <w:u w:val="none"/>
                      <w:lang w:val="en-US" w:eastAsia="zh-CN" w:bidi="ar"/>
                    </w:rPr>
                    <w:t>一台2.2t/h、一台2.5t/h的生物质蒸汽发生器，不属于燃煤锅炉。</w:t>
                  </w:r>
                </w:p>
              </w:tc>
              <w:tc>
                <w:tcPr>
                  <w:tcW w:w="680" w:type="dxa"/>
                  <w:tcBorders>
                    <w:right w:val="single" w:color="auto" w:sz="12" w:space="0"/>
                  </w:tcBorders>
                  <w:vAlign w:val="center"/>
                </w:tcPr>
                <w:p w14:paraId="4CC797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eastAsia="宋体" w:cs="Times New Roman"/>
                      <w:color w:val="auto"/>
                      <w:kern w:val="0"/>
                      <w:sz w:val="21"/>
                      <w:szCs w:val="21"/>
                      <w:highlight w:val="none"/>
                      <w:vertAlign w:val="baseline"/>
                      <w:lang w:val="en-US" w:eastAsia="zh-CN" w:bidi="ar-SA"/>
                    </w:rPr>
                    <w:t>符合</w:t>
                  </w:r>
                </w:p>
              </w:tc>
            </w:tr>
            <w:tr w14:paraId="736CA4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922" w:type="dxa"/>
                  <w:tcBorders>
                    <w:left w:val="single" w:color="auto" w:sz="4" w:space="0"/>
                    <w:bottom w:val="single" w:color="auto" w:sz="12" w:space="0"/>
                  </w:tcBorders>
                  <w:vAlign w:val="center"/>
                </w:tcPr>
                <w:p w14:paraId="3DE375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eastAsia="宋体" w:cs="Times New Roman"/>
                      <w:color w:val="auto"/>
                      <w:kern w:val="0"/>
                      <w:sz w:val="21"/>
                      <w:szCs w:val="21"/>
                      <w:highlight w:val="none"/>
                      <w:vertAlign w:val="baseline"/>
                      <w:lang w:val="en-US" w:eastAsia="zh-CN" w:bidi="ar-SA"/>
                    </w:rPr>
                    <w:t>推进燃煤锅炉关停整合和散煤替代。县级及以上城市建成区原则上不再新建35蒸吨/小时及以下燃煤锅炉，加快重点城市35蒸吨/小时及以下燃煤锅炉淘汰，加大民用及农业散煤替代力度，高污染燃料禁燃区散煤动态清零。到2025年，全省基本淘汰燃煤热风炉、固定炉排燃煤锅炉和10蒸吨/小时及以下燃煤锅炉。</w:t>
                  </w:r>
                </w:p>
              </w:tc>
              <w:tc>
                <w:tcPr>
                  <w:tcW w:w="2565" w:type="dxa"/>
                  <w:vMerge w:val="continue"/>
                  <w:tcBorders>
                    <w:bottom w:val="single" w:color="auto" w:sz="12" w:space="0"/>
                  </w:tcBorders>
                  <w:vAlign w:val="center"/>
                </w:tcPr>
                <w:p w14:paraId="08EFA7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color w:val="auto"/>
                      <w:kern w:val="0"/>
                      <w:sz w:val="21"/>
                      <w:szCs w:val="21"/>
                      <w:highlight w:val="none"/>
                      <w:vertAlign w:val="baseline"/>
                      <w:lang w:val="en-US" w:eastAsia="zh-CN" w:bidi="ar-SA"/>
                    </w:rPr>
                  </w:pPr>
                </w:p>
              </w:tc>
              <w:tc>
                <w:tcPr>
                  <w:tcW w:w="680" w:type="dxa"/>
                  <w:tcBorders>
                    <w:bottom w:val="single" w:color="auto" w:sz="12" w:space="0"/>
                    <w:right w:val="single" w:color="auto" w:sz="12" w:space="0"/>
                  </w:tcBorders>
                  <w:vAlign w:val="center"/>
                </w:tcPr>
                <w:p w14:paraId="12EDA6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highlight w:val="none"/>
                      <w:vertAlign w:val="baseline"/>
                      <w:lang w:val="en-US" w:eastAsia="zh-CN" w:bidi="ar-SA"/>
                    </w:rPr>
                  </w:pPr>
                  <w:r>
                    <w:rPr>
                      <w:rFonts w:hint="eastAsia" w:ascii="Times New Roman" w:hAnsi="Times New Roman" w:eastAsia="宋体" w:cs="Times New Roman"/>
                      <w:color w:val="auto"/>
                      <w:kern w:val="0"/>
                      <w:sz w:val="21"/>
                      <w:szCs w:val="21"/>
                      <w:highlight w:val="none"/>
                      <w:vertAlign w:val="baseline"/>
                      <w:lang w:val="en-US" w:eastAsia="zh-CN" w:bidi="ar-SA"/>
                    </w:rPr>
                    <w:t>符合</w:t>
                  </w:r>
                </w:p>
              </w:tc>
            </w:tr>
          </w:tbl>
          <w:p w14:paraId="1CB83F95">
            <w:pPr>
              <w:keepNext w:val="0"/>
              <w:keepLines w:val="0"/>
              <w:pageBreakBefore w:val="0"/>
              <w:widowControl w:val="0"/>
              <w:kinsoku/>
              <w:wordWrap/>
              <w:overflowPunct/>
              <w:topLinePunct w:val="0"/>
              <w:autoSpaceDE w:val="0"/>
              <w:autoSpaceDN w:val="0"/>
              <w:bidi w:val="0"/>
              <w:adjustRightInd w:val="0"/>
              <w:snapToGrid w:val="0"/>
              <w:spacing w:line="360" w:lineRule="auto"/>
              <w:ind w:firstLine="482" w:firstLineChars="200"/>
              <w:jc w:val="left"/>
              <w:textAlignment w:val="auto"/>
              <w:rPr>
                <w:rFonts w:hint="default" w:ascii="Times New Roman" w:hAnsi="Times New Roman" w:eastAsia="宋体" w:cs="Times New Roman"/>
                <w:b/>
                <w:bCs/>
                <w:color w:val="auto"/>
                <w:kern w:val="0"/>
                <w:highlight w:val="none"/>
                <w:u w:val="none" w:color="auto"/>
              </w:rPr>
            </w:pPr>
            <w:r>
              <w:rPr>
                <w:rFonts w:hint="eastAsia" w:cs="Times New Roman"/>
                <w:b/>
                <w:bCs/>
                <w:color w:val="auto"/>
                <w:kern w:val="0"/>
                <w:highlight w:val="none"/>
                <w:u w:val="none" w:color="auto"/>
                <w:lang w:val="en-US" w:eastAsia="zh-CN"/>
              </w:rPr>
              <w:t>10</w:t>
            </w:r>
            <w:r>
              <w:rPr>
                <w:rFonts w:hint="default" w:ascii="Times New Roman" w:hAnsi="Times New Roman" w:eastAsia="宋体" w:cs="Times New Roman"/>
                <w:b/>
                <w:bCs/>
                <w:color w:val="auto"/>
                <w:kern w:val="0"/>
                <w:highlight w:val="none"/>
                <w:u w:val="none" w:color="auto"/>
              </w:rPr>
              <w:t>、选址合理性分析</w:t>
            </w:r>
          </w:p>
          <w:p w14:paraId="23095536">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highlight w:val="none"/>
                <w:u w:val="none" w:color="auto"/>
              </w:rPr>
            </w:pPr>
            <w:r>
              <w:rPr>
                <w:rFonts w:hint="default" w:ascii="Times New Roman" w:hAnsi="Times New Roman" w:eastAsia="宋体" w:cs="Times New Roman"/>
                <w:color w:val="auto"/>
                <w:kern w:val="0"/>
                <w:highlight w:val="none"/>
                <w:u w:val="none" w:color="auto"/>
              </w:rPr>
              <w:t>本项目为食品</w:t>
            </w:r>
            <w:r>
              <w:rPr>
                <w:rFonts w:hint="eastAsia" w:cs="Times New Roman"/>
                <w:color w:val="auto"/>
                <w:kern w:val="0"/>
                <w:highlight w:val="none"/>
                <w:u w:val="none" w:color="auto"/>
                <w:lang w:val="en-US" w:eastAsia="zh-CN"/>
              </w:rPr>
              <w:t>生产</w:t>
            </w:r>
            <w:r>
              <w:rPr>
                <w:rFonts w:hint="default" w:ascii="Times New Roman" w:hAnsi="Times New Roman" w:eastAsia="宋体" w:cs="Times New Roman"/>
                <w:color w:val="auto"/>
                <w:kern w:val="0"/>
                <w:highlight w:val="none"/>
                <w:u w:val="none" w:color="auto"/>
              </w:rPr>
              <w:t>项目，</w:t>
            </w:r>
            <w:r>
              <w:rPr>
                <w:rFonts w:hint="eastAsia" w:cs="Times New Roman"/>
                <w:color w:val="auto"/>
                <w:kern w:val="0"/>
                <w:highlight w:val="none"/>
                <w:u w:val="none" w:color="auto"/>
                <w:lang w:val="en-US" w:eastAsia="zh-CN"/>
              </w:rPr>
              <w:t>配套</w:t>
            </w:r>
            <w:r>
              <w:rPr>
                <w:rFonts w:hint="eastAsia"/>
                <w:color w:val="auto"/>
                <w:sz w:val="24"/>
                <w:lang w:val="en-US" w:eastAsia="zh-CN"/>
              </w:rPr>
              <w:t>一台2.2t/h、一台2.5t/h的生物质蒸汽发生器</w:t>
            </w:r>
            <w:r>
              <w:rPr>
                <w:rFonts w:hint="eastAsia" w:cs="Times New Roman"/>
                <w:color w:val="auto"/>
                <w:kern w:val="0"/>
                <w:highlight w:val="none"/>
                <w:u w:val="none" w:color="auto"/>
                <w:lang w:val="en-US" w:eastAsia="zh-CN"/>
              </w:rPr>
              <w:t>，位于大荆镇古仑村，根据岳阳市人民政府农用地转用、土地使用审批单，同意将本项目所在地由林地转为集体建设用地</w:t>
            </w:r>
            <w:r>
              <w:rPr>
                <w:rFonts w:hint="default" w:ascii="Times New Roman" w:hAnsi="Times New Roman" w:eastAsia="宋体" w:cs="Times New Roman"/>
                <w:color w:val="auto"/>
                <w:kern w:val="0"/>
                <w:highlight w:val="none"/>
                <w:u w:val="none" w:color="auto"/>
              </w:rPr>
              <w:t>（附件</w:t>
            </w:r>
            <w:r>
              <w:rPr>
                <w:rFonts w:hint="eastAsia" w:cs="Times New Roman"/>
                <w:color w:val="auto"/>
                <w:kern w:val="0"/>
                <w:highlight w:val="none"/>
                <w:u w:val="none" w:color="auto"/>
                <w:lang w:val="en-US" w:eastAsia="zh-CN"/>
              </w:rPr>
              <w:t>5</w:t>
            </w:r>
            <w:r>
              <w:rPr>
                <w:rFonts w:hint="default" w:ascii="Times New Roman" w:hAnsi="Times New Roman" w:eastAsia="宋体" w:cs="Times New Roman"/>
                <w:color w:val="auto"/>
                <w:kern w:val="0"/>
                <w:highlight w:val="none"/>
                <w:u w:val="none" w:color="auto"/>
              </w:rPr>
              <w:t>），符合土地利用规划要求。</w:t>
            </w:r>
          </w:p>
          <w:p w14:paraId="6978C649">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highlight w:val="none"/>
                <w:u w:val="none" w:color="auto"/>
              </w:rPr>
            </w:pPr>
            <w:r>
              <w:rPr>
                <w:rFonts w:hint="default" w:ascii="Times New Roman" w:hAnsi="Times New Roman" w:eastAsia="宋体" w:cs="Times New Roman"/>
                <w:color w:val="auto"/>
                <w:kern w:val="0"/>
                <w:highlight w:val="none"/>
                <w:u w:val="none" w:color="auto"/>
              </w:rPr>
              <w:t>根据《食品生产通用卫生规范》（GB14881-2013），食品企业选址要求如下：厂区不应选择对食品有显著污染的区域。厂区不应选择有害废弃物以及粉尘、有害气体、放射性物质和其他扩散性污染源不能有效清除的地址。厂区不宜选择易发生洪涝灾害的地区，难以避开时应设计必要的防范措施。厂区周围不宜有害虫大量孳生的潜在场所，难以避开时应设计必要的防范措施。本项目位于汨罗市汨罗镇江景村眠羊片4组，根据调查，项目周边以农田和居民为主，无有害气体等对食品有显著污染的区域。项目所在地不属于易发生洪涝灾害的地区和虫害滋生的潜在场所，项目选址符合《食品生产通用卫生规范》（GB14881-2013）要求。</w:t>
            </w:r>
          </w:p>
          <w:p w14:paraId="4FF6A533">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textAlignment w:val="auto"/>
              <w:rPr>
                <w:rFonts w:hint="default" w:ascii="Times New Roman" w:hAnsi="Times New Roman" w:eastAsia="宋体" w:cs="Times New Roman"/>
                <w:color w:val="auto"/>
                <w:kern w:val="0"/>
                <w:highlight w:val="none"/>
                <w:u w:val="none" w:color="auto"/>
                <w:lang w:val="en-US" w:eastAsia="zh-CN"/>
              </w:rPr>
            </w:pPr>
            <w:r>
              <w:rPr>
                <w:rFonts w:hint="default" w:ascii="Times New Roman" w:hAnsi="Times New Roman" w:eastAsia="宋体" w:cs="Times New Roman"/>
                <w:color w:val="auto"/>
                <w:kern w:val="0"/>
                <w:highlight w:val="none"/>
                <w:u w:val="none" w:color="auto"/>
              </w:rPr>
              <w:t>项目所在地周围无饮用水水源地保护区、自然保护区、风景名胜区、生态功能保护区、文物保护地等法律、法规规定的环境敏感区。在落实本环评报告提出的环保措施后，通过对废水、噪声、废气、固废等污染源采取有效的控制措施，加强管理，保证环保设施的正常运行，最大程度减轻项目对区域环境的前提下，本项目的选址是可行的。</w:t>
            </w:r>
          </w:p>
        </w:tc>
      </w:tr>
    </w:tbl>
    <w:p w14:paraId="65BCCA7B">
      <w:pPr>
        <w:spacing w:line="360" w:lineRule="auto"/>
        <w:outlineLvl w:val="9"/>
        <w:rPr>
          <w:rFonts w:hint="default" w:ascii="Times New Roman" w:hAnsi="Times New Roman" w:eastAsia="宋体" w:cs="Times New Roman"/>
          <w:color w:val="auto"/>
          <w:sz w:val="30"/>
          <w:highlight w:val="none"/>
          <w:u w:val="none" w:color="auto"/>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34BBF771">
      <w:pPr>
        <w:pStyle w:val="8"/>
        <w:bidi w:val="0"/>
        <w:rPr>
          <w:rFonts w:hint="default" w:ascii="Times New Roman" w:hAnsi="Times New Roman" w:eastAsia="宋体" w:cs="Times New Roman"/>
          <w:color w:val="auto"/>
          <w:highlight w:val="none"/>
          <w:u w:val="none" w:color="auto"/>
        </w:rPr>
      </w:pPr>
      <w:bookmarkStart w:id="8" w:name="_Toc106"/>
      <w:r>
        <w:rPr>
          <w:rFonts w:hint="default" w:ascii="Times New Roman" w:hAnsi="Times New Roman" w:eastAsia="宋体" w:cs="Times New Roman"/>
          <w:color w:val="auto"/>
          <w:highlight w:val="none"/>
          <w:u w:val="none" w:color="auto"/>
        </w:rPr>
        <w:t>二、建设项目工程分析</w:t>
      </w:r>
      <w:bookmarkEnd w:id="8"/>
    </w:p>
    <w:tbl>
      <w:tblPr>
        <w:tblStyle w:val="4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55"/>
        <w:gridCol w:w="8605"/>
      </w:tblGrid>
      <w:tr w14:paraId="6A16912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251" w:type="pct"/>
            <w:vAlign w:val="center"/>
          </w:tcPr>
          <w:p w14:paraId="6D96D3AE">
            <w:pPr>
              <w:pStyle w:val="40"/>
              <w:adjustRightInd w:val="0"/>
              <w:snapToGrid w:val="0"/>
              <w:spacing w:before="0" w:beforeAutospacing="0" w:after="0" w:afterAutospacing="0"/>
              <w:jc w:val="center"/>
              <w:rPr>
                <w:rFonts w:hint="default" w:ascii="Times New Roman" w:hAnsi="Times New Roman" w:eastAsia="宋体" w:cs="Times New Roman"/>
                <w:color w:val="auto"/>
                <w:szCs w:val="24"/>
                <w:highlight w:val="none"/>
                <w:u w:val="none" w:color="auto"/>
              </w:rPr>
            </w:pPr>
            <w:r>
              <w:rPr>
                <w:rFonts w:hint="default" w:ascii="Times New Roman" w:hAnsi="Times New Roman" w:eastAsia="宋体" w:cs="Times New Roman"/>
                <w:color w:val="auto"/>
                <w:szCs w:val="24"/>
                <w:highlight w:val="none"/>
                <w:u w:val="none" w:color="auto"/>
              </w:rPr>
              <w:t>建设内容</w:t>
            </w:r>
          </w:p>
        </w:tc>
        <w:tc>
          <w:tcPr>
            <w:tcW w:w="4748" w:type="pct"/>
          </w:tcPr>
          <w:p w14:paraId="63E4EFBB">
            <w:pPr>
              <w:spacing w:line="500" w:lineRule="exact"/>
              <w:ind w:firstLine="482" w:firstLineChars="200"/>
              <w:rPr>
                <w:rFonts w:hint="default" w:cs="Times New Roman"/>
                <w:b/>
                <w:bCs/>
                <w:color w:val="auto"/>
                <w:kern w:val="0"/>
                <w:highlight w:val="none"/>
                <w:u w:val="none" w:color="auto"/>
                <w:lang w:val="en-US" w:eastAsia="zh-CN"/>
              </w:rPr>
            </w:pPr>
            <w:r>
              <w:rPr>
                <w:rFonts w:hint="eastAsia" w:cs="Times New Roman"/>
                <w:b/>
                <w:bCs/>
                <w:color w:val="auto"/>
                <w:kern w:val="0"/>
                <w:highlight w:val="none"/>
                <w:u w:val="none" w:color="auto"/>
                <w:lang w:val="en-US" w:eastAsia="zh-CN"/>
              </w:rPr>
              <w:t>一、项目由来</w:t>
            </w:r>
          </w:p>
          <w:p w14:paraId="1E1D125D">
            <w:pPr>
              <w:spacing w:line="500" w:lineRule="exact"/>
              <w:ind w:firstLine="480" w:firstLineChars="200"/>
              <w:rPr>
                <w:rFonts w:hint="default" w:ascii="Times New Roman" w:hAnsi="Times New Roman" w:eastAsia="宋体" w:cs="Times New Roman"/>
                <w:color w:val="auto"/>
                <w:kern w:val="0"/>
                <w:highlight w:val="none"/>
                <w:u w:val="single" w:color="auto"/>
                <w:lang w:val="en-US" w:eastAsia="zh-CN"/>
              </w:rPr>
            </w:pPr>
            <w:r>
              <w:rPr>
                <w:rFonts w:hint="eastAsia" w:cs="Times New Roman"/>
                <w:color w:val="auto"/>
                <w:kern w:val="0"/>
                <w:highlight w:val="none"/>
                <w:u w:val="none" w:color="auto"/>
                <w:lang w:eastAsia="zh-CN"/>
              </w:rPr>
              <w:t>湖南省口福轩有限公司食品加工生产建设项目</w:t>
            </w:r>
            <w:r>
              <w:rPr>
                <w:rFonts w:hint="default" w:ascii="Times New Roman" w:hAnsi="Times New Roman" w:eastAsia="宋体" w:cs="Times New Roman"/>
                <w:color w:val="auto"/>
                <w:kern w:val="0"/>
                <w:highlight w:val="none"/>
                <w:u w:val="none" w:color="auto"/>
              </w:rPr>
              <w:t>位于</w:t>
            </w:r>
            <w:r>
              <w:rPr>
                <w:rFonts w:hint="default" w:ascii="Times New Roman" w:hAnsi="Times New Roman" w:eastAsia="宋体" w:cs="Times New Roman"/>
                <w:color w:val="auto"/>
                <w:kern w:val="0"/>
                <w:highlight w:val="none"/>
                <w:u w:val="none" w:color="auto"/>
                <w:lang w:eastAsia="zh-CN"/>
              </w:rPr>
              <w:t>湖南省岳阳市汨罗市</w:t>
            </w:r>
            <w:r>
              <w:rPr>
                <w:rFonts w:hint="eastAsia" w:cs="Times New Roman"/>
                <w:color w:val="auto"/>
                <w:kern w:val="0"/>
                <w:highlight w:val="none"/>
                <w:u w:val="none" w:color="auto"/>
                <w:lang w:val="en-US" w:eastAsia="zh-CN"/>
              </w:rPr>
              <w:t>大荆镇古仑村</w:t>
            </w:r>
            <w:r>
              <w:rPr>
                <w:rFonts w:hint="default" w:ascii="Times New Roman" w:hAnsi="Times New Roman" w:eastAsia="宋体" w:cs="Times New Roman"/>
                <w:color w:val="auto"/>
                <w:kern w:val="0"/>
                <w:highlight w:val="none"/>
                <w:u w:val="none" w:color="auto"/>
              </w:rPr>
              <w:t>，总投资为</w:t>
            </w:r>
            <w:r>
              <w:rPr>
                <w:rFonts w:hint="eastAsia" w:cs="Times New Roman"/>
                <w:color w:val="auto"/>
                <w:kern w:val="0"/>
                <w:highlight w:val="none"/>
                <w:u w:val="none" w:color="auto"/>
                <w:lang w:val="en-US" w:eastAsia="zh-CN"/>
              </w:rPr>
              <w:t>2000</w:t>
            </w:r>
            <w:r>
              <w:rPr>
                <w:rFonts w:hint="default" w:ascii="Times New Roman" w:hAnsi="Times New Roman" w:eastAsia="宋体" w:cs="Times New Roman"/>
                <w:color w:val="auto"/>
                <w:kern w:val="0"/>
                <w:highlight w:val="none"/>
                <w:u w:val="none" w:color="auto"/>
              </w:rPr>
              <w:t>万元，总</w:t>
            </w:r>
            <w:r>
              <w:rPr>
                <w:rFonts w:hint="eastAsia" w:cs="Times New Roman"/>
                <w:color w:val="auto"/>
                <w:kern w:val="0"/>
                <w:highlight w:val="none"/>
                <w:u w:val="none" w:color="auto"/>
                <w:lang w:val="en-US" w:eastAsia="zh-CN"/>
              </w:rPr>
              <w:t>占地面积</w:t>
            </w:r>
            <w:r>
              <w:rPr>
                <w:rFonts w:hint="default" w:ascii="Times New Roman" w:hAnsi="Times New Roman" w:eastAsia="宋体" w:cs="Times New Roman"/>
                <w:color w:val="auto"/>
                <w:kern w:val="0"/>
                <w:highlight w:val="none"/>
                <w:u w:val="none" w:color="auto"/>
              </w:rPr>
              <w:t>为</w:t>
            </w:r>
            <w:r>
              <w:rPr>
                <w:rFonts w:hint="eastAsia" w:cs="Times New Roman"/>
                <w:color w:val="auto"/>
                <w:highlight w:val="none"/>
                <w:u w:val="none" w:color="auto"/>
                <w:lang w:val="en-US" w:eastAsia="zh-CN"/>
              </w:rPr>
              <w:t>13320</w:t>
            </w:r>
            <w:r>
              <w:rPr>
                <w:rFonts w:hint="default" w:ascii="Times New Roman" w:hAnsi="Times New Roman" w:eastAsia="宋体" w:cs="Times New Roman"/>
                <w:color w:val="auto"/>
                <w:kern w:val="0"/>
                <w:highlight w:val="none"/>
                <w:u w:val="none" w:color="auto"/>
              </w:rPr>
              <w:t>m</w:t>
            </w:r>
            <w:r>
              <w:rPr>
                <w:rFonts w:hint="default" w:ascii="Times New Roman" w:hAnsi="Times New Roman" w:eastAsia="宋体" w:cs="Times New Roman"/>
                <w:color w:val="auto"/>
                <w:kern w:val="0"/>
                <w:highlight w:val="none"/>
                <w:u w:val="none" w:color="auto"/>
                <w:vertAlign w:val="superscript"/>
              </w:rPr>
              <w:t>2</w:t>
            </w:r>
            <w:r>
              <w:rPr>
                <w:rFonts w:hint="default" w:ascii="Times New Roman" w:hAnsi="Times New Roman" w:eastAsia="宋体" w:cs="Times New Roman"/>
                <w:color w:val="auto"/>
                <w:kern w:val="0"/>
                <w:highlight w:val="none"/>
                <w:u w:val="none" w:color="auto"/>
              </w:rPr>
              <w:t>，主要</w:t>
            </w:r>
            <w:r>
              <w:rPr>
                <w:rFonts w:hint="eastAsia" w:cs="Times New Roman"/>
                <w:color w:val="auto"/>
                <w:kern w:val="0"/>
                <w:highlight w:val="none"/>
                <w:u w:val="none" w:color="auto"/>
                <w:lang w:val="en-US" w:eastAsia="zh-CN"/>
              </w:rPr>
              <w:t>建设肉制品及豆制品加工生产项目，配套设置</w:t>
            </w:r>
            <w:r>
              <w:rPr>
                <w:rFonts w:hint="eastAsia"/>
                <w:color w:val="auto"/>
                <w:sz w:val="24"/>
                <w:lang w:val="en-US" w:eastAsia="zh-CN"/>
              </w:rPr>
              <w:t>一台2.2t/h、一台2.5t/h的生物质蒸汽发生器</w:t>
            </w:r>
            <w:r>
              <w:rPr>
                <w:rFonts w:hint="eastAsia" w:cs="Times New Roman"/>
                <w:color w:val="auto"/>
                <w:kern w:val="0"/>
                <w:highlight w:val="none"/>
                <w:u w:val="none" w:color="auto"/>
                <w:lang w:val="en-US" w:eastAsia="zh-CN"/>
              </w:rPr>
              <w:t>。</w:t>
            </w:r>
          </w:p>
          <w:p w14:paraId="5F666390">
            <w:pPr>
              <w:spacing w:line="500" w:lineRule="exact"/>
              <w:ind w:firstLine="480" w:firstLineChars="200"/>
              <w:rPr>
                <w:rFonts w:hint="default" w:ascii="Times New Roman" w:hAnsi="Times New Roman" w:eastAsia="宋体" w:cs="Times New Roman"/>
                <w:color w:val="auto"/>
                <w:kern w:val="0"/>
                <w:highlight w:val="none"/>
                <w:u w:val="none" w:color="auto"/>
              </w:rPr>
            </w:pPr>
            <w:r>
              <w:rPr>
                <w:rFonts w:hint="default" w:ascii="Times New Roman" w:hAnsi="Times New Roman" w:eastAsia="宋体" w:cs="Times New Roman"/>
                <w:color w:val="auto"/>
                <w:kern w:val="0"/>
                <w:highlight w:val="none"/>
                <w:u w:val="none" w:color="auto"/>
              </w:rPr>
              <w:t>根据《中华人民共和国环境影响评价法》、国务院[2017]第682号令《国务院关于修改〈建设项目环境保护管理条例〉的决定》的有关规定，项目须进行环境影响评价。根据《建设项目环境影响评价分类管理名录》（2021年版）的有关规定，本项目</w:t>
            </w:r>
            <w:r>
              <w:rPr>
                <w:rFonts w:hint="eastAsia" w:cs="Times New Roman"/>
                <w:color w:val="auto"/>
                <w:kern w:val="0"/>
                <w:highlight w:val="none"/>
                <w:u w:val="none" w:color="auto"/>
                <w:lang w:val="en-US" w:eastAsia="zh-CN"/>
              </w:rPr>
              <w:t>肉肠生产</w:t>
            </w:r>
            <w:r>
              <w:rPr>
                <w:rFonts w:hint="default" w:ascii="Times New Roman" w:hAnsi="Times New Roman" w:eastAsia="宋体" w:cs="Times New Roman"/>
                <w:color w:val="auto"/>
                <w:kern w:val="0"/>
                <w:highlight w:val="none"/>
                <w:u w:val="none" w:color="auto"/>
              </w:rPr>
              <w:t>属于</w:t>
            </w:r>
            <w:r>
              <w:rPr>
                <w:rFonts w:hint="eastAsia" w:cs="Times New Roman"/>
                <w:color w:val="auto"/>
                <w:kern w:val="0"/>
                <w:highlight w:val="none"/>
                <w:u w:val="none" w:color="auto"/>
                <w:lang w:eastAsia="zh-CN"/>
              </w:rPr>
              <w:t>“</w:t>
            </w:r>
            <w:r>
              <w:rPr>
                <w:rFonts w:hint="default" w:ascii="Times New Roman" w:hAnsi="Times New Roman" w:eastAsia="宋体" w:cs="Times New Roman"/>
                <w:color w:val="auto"/>
                <w:kern w:val="0"/>
                <w:highlight w:val="none"/>
                <w:u w:val="none" w:color="auto"/>
              </w:rPr>
              <w:t>十、农副食品加工业13—屠宰及肉类加工135-其他肉类加工</w:t>
            </w:r>
            <w:r>
              <w:rPr>
                <w:rFonts w:hint="eastAsia" w:cs="Times New Roman"/>
                <w:color w:val="auto"/>
                <w:kern w:val="0"/>
                <w:highlight w:val="none"/>
                <w:u w:val="none" w:color="auto"/>
                <w:lang w:eastAsia="zh-CN"/>
              </w:rPr>
              <w:t>”，</w:t>
            </w:r>
            <w:r>
              <w:rPr>
                <w:rFonts w:hint="eastAsia" w:cs="Times New Roman"/>
                <w:color w:val="auto"/>
                <w:kern w:val="0"/>
                <w:highlight w:val="none"/>
                <w:u w:val="none" w:color="auto"/>
                <w:lang w:val="en-US" w:eastAsia="zh-CN"/>
              </w:rPr>
              <w:t>须办理环评登记表；生产虎皮豆腐属于“十、农副食品加工业13—其他农副食品加工139豆制品制造”，须编制环境影响报告表；配套建设的生物质锅炉，属于“</w:t>
            </w:r>
            <w:r>
              <w:rPr>
                <w:rFonts w:hint="default" w:ascii="Times New Roman" w:hAnsi="Times New Roman" w:eastAsia="宋体" w:cs="Times New Roman"/>
                <w:color w:val="auto"/>
                <w:kern w:val="0"/>
                <w:highlight w:val="none"/>
                <w:u w:val="none" w:color="auto"/>
              </w:rPr>
              <w:t>四十一、电力、热力生产和供应业—91热力生产和供应工程（包括建设单位自建自用的供热工程）—使用其他高污染燃料的</w:t>
            </w:r>
            <w:r>
              <w:rPr>
                <w:rFonts w:hint="eastAsia" w:cs="Times New Roman"/>
                <w:color w:val="auto"/>
                <w:kern w:val="0"/>
                <w:highlight w:val="none"/>
                <w:u w:val="none" w:color="auto"/>
                <w:lang w:val="en-US" w:eastAsia="zh-CN"/>
              </w:rPr>
              <w:t>”</w:t>
            </w:r>
            <w:r>
              <w:rPr>
                <w:rFonts w:hint="eastAsia" w:cs="Times New Roman"/>
                <w:color w:val="auto"/>
                <w:kern w:val="0"/>
                <w:highlight w:val="none"/>
                <w:u w:val="none" w:color="auto"/>
                <w:lang w:eastAsia="zh-CN"/>
              </w:rPr>
              <w:t>，</w:t>
            </w:r>
            <w:r>
              <w:rPr>
                <w:rFonts w:hint="eastAsia" w:cs="Times New Roman"/>
                <w:color w:val="auto"/>
                <w:kern w:val="0"/>
                <w:highlight w:val="none"/>
                <w:u w:val="none" w:color="auto"/>
                <w:lang w:val="en-US" w:eastAsia="zh-CN"/>
              </w:rPr>
              <w:t>须编制环境影响报告表。综上所述，本项目须编制环境影响报告表。</w:t>
            </w:r>
            <w:r>
              <w:rPr>
                <w:rFonts w:hint="default" w:ascii="Times New Roman" w:hAnsi="Times New Roman" w:eastAsia="宋体" w:cs="Times New Roman"/>
                <w:color w:val="auto"/>
                <w:kern w:val="0"/>
                <w:highlight w:val="none"/>
                <w:u w:val="none" w:color="auto"/>
              </w:rPr>
              <w:t>为此，</w:t>
            </w:r>
            <w:r>
              <w:rPr>
                <w:rFonts w:hint="eastAsia" w:cs="Times New Roman"/>
                <w:color w:val="auto"/>
                <w:highlight w:val="none"/>
                <w:u w:val="none" w:color="auto"/>
                <w:lang w:eastAsia="zh-CN"/>
              </w:rPr>
              <w:t>湖南省口福轩食品有限公司</w:t>
            </w:r>
            <w:r>
              <w:rPr>
                <w:rFonts w:hint="default" w:ascii="Times New Roman" w:hAnsi="Times New Roman" w:eastAsia="宋体" w:cs="Times New Roman"/>
                <w:color w:val="auto"/>
                <w:kern w:val="0"/>
                <w:highlight w:val="none"/>
                <w:u w:val="none" w:color="auto"/>
              </w:rPr>
              <w:t>特委托</w:t>
            </w:r>
            <w:r>
              <w:rPr>
                <w:rFonts w:hint="default" w:ascii="Times New Roman" w:hAnsi="Times New Roman" w:eastAsia="宋体" w:cs="Times New Roman"/>
                <w:color w:val="auto"/>
                <w:kern w:val="0"/>
                <w:highlight w:val="none"/>
                <w:u w:val="none" w:color="auto"/>
                <w:lang w:eastAsia="zh-CN"/>
              </w:rPr>
              <w:t>湖南</w:t>
            </w:r>
            <w:r>
              <w:rPr>
                <w:rFonts w:hint="eastAsia" w:cs="Times New Roman"/>
                <w:color w:val="auto"/>
                <w:kern w:val="0"/>
                <w:highlight w:val="none"/>
                <w:u w:val="none" w:color="auto"/>
                <w:lang w:val="en-US" w:eastAsia="zh-CN"/>
              </w:rPr>
              <w:t>翔鹏</w:t>
            </w:r>
            <w:r>
              <w:rPr>
                <w:rFonts w:hint="default" w:ascii="Times New Roman" w:hAnsi="Times New Roman" w:eastAsia="宋体" w:cs="Times New Roman"/>
                <w:color w:val="auto"/>
                <w:kern w:val="0"/>
                <w:highlight w:val="none"/>
                <w:u w:val="none" w:color="auto"/>
                <w:lang w:eastAsia="zh-CN"/>
              </w:rPr>
              <w:t>环保科技有限公司</w:t>
            </w:r>
            <w:r>
              <w:rPr>
                <w:rFonts w:hint="default" w:ascii="Times New Roman" w:hAnsi="Times New Roman" w:eastAsia="宋体" w:cs="Times New Roman"/>
                <w:color w:val="auto"/>
                <w:kern w:val="0"/>
                <w:highlight w:val="none"/>
                <w:u w:val="none" w:color="auto"/>
              </w:rPr>
              <w:t>承担该项目的环境影响评价工作；我公司接受委托后，通过对项目周围环境进行详细的实地勘查和相关资料的收集、核实与分析工作后，在此基础上，按照《环境影响评价技术导则》所规定的原则方法、内容及要求，编制完成了《</w:t>
            </w:r>
            <w:r>
              <w:rPr>
                <w:rFonts w:hint="eastAsia" w:cs="Times New Roman"/>
                <w:color w:val="auto"/>
                <w:highlight w:val="none"/>
                <w:u w:val="none" w:color="auto"/>
                <w:lang w:eastAsia="zh-CN"/>
              </w:rPr>
              <w:t>湖南省口福轩有限公司食品加工生产建设项目</w:t>
            </w:r>
            <w:r>
              <w:rPr>
                <w:rFonts w:hint="default" w:ascii="Times New Roman" w:hAnsi="Times New Roman" w:eastAsia="宋体" w:cs="Times New Roman"/>
                <w:color w:val="auto"/>
                <w:kern w:val="0"/>
                <w:highlight w:val="none"/>
                <w:u w:val="none" w:color="auto"/>
              </w:rPr>
              <w:t>环境影响报告表》。</w:t>
            </w:r>
          </w:p>
          <w:p w14:paraId="1E0C087D">
            <w:pPr>
              <w:spacing w:line="500" w:lineRule="exact"/>
              <w:ind w:firstLine="482" w:firstLineChars="200"/>
              <w:rPr>
                <w:rFonts w:hint="default" w:ascii="Times New Roman" w:hAnsi="Times New Roman" w:eastAsia="宋体" w:cs="Times New Roman"/>
                <w:b/>
                <w:bCs/>
                <w:color w:val="auto"/>
                <w:kern w:val="0"/>
                <w:highlight w:val="none"/>
                <w:u w:val="none" w:color="auto"/>
              </w:rPr>
            </w:pPr>
            <w:r>
              <w:rPr>
                <w:rFonts w:hint="eastAsia" w:cs="Times New Roman"/>
                <w:b/>
                <w:bCs/>
                <w:color w:val="auto"/>
                <w:kern w:val="0"/>
                <w:highlight w:val="none"/>
                <w:u w:val="none" w:color="auto"/>
                <w:lang w:val="en-US" w:eastAsia="zh-CN"/>
              </w:rPr>
              <w:t>二</w:t>
            </w:r>
            <w:r>
              <w:rPr>
                <w:rFonts w:hint="default" w:ascii="Times New Roman" w:hAnsi="Times New Roman" w:eastAsia="宋体" w:cs="Times New Roman"/>
                <w:b/>
                <w:bCs/>
                <w:color w:val="auto"/>
                <w:kern w:val="0"/>
                <w:highlight w:val="none"/>
                <w:u w:val="none" w:color="auto"/>
              </w:rPr>
              <w:t>、工程内容</w:t>
            </w:r>
          </w:p>
          <w:p w14:paraId="4CC9FD47">
            <w:pPr>
              <w:spacing w:line="500" w:lineRule="exact"/>
              <w:ind w:firstLine="480" w:firstLineChars="200"/>
              <w:rPr>
                <w:rFonts w:hint="default" w:ascii="Times New Roman" w:hAnsi="Times New Roman" w:eastAsia="宋体" w:cs="Times New Roman"/>
                <w:color w:val="auto"/>
                <w:highlight w:val="none"/>
                <w:u w:val="none" w:color="auto"/>
              </w:rPr>
            </w:pPr>
            <w:r>
              <w:rPr>
                <w:rFonts w:hint="eastAsia" w:cs="Times New Roman"/>
                <w:color w:val="auto"/>
                <w:highlight w:val="none"/>
                <w:u w:val="none" w:color="auto"/>
                <w:lang w:val="en-US" w:eastAsia="zh-CN"/>
              </w:rPr>
              <w:t>本项目主要设置两个生产车间，分别为肉制品生产车间，占地面积4800m</w:t>
            </w:r>
            <w:r>
              <w:rPr>
                <w:rFonts w:hint="eastAsia" w:cs="Times New Roman"/>
                <w:color w:val="auto"/>
                <w:highlight w:val="none"/>
                <w:u w:val="none" w:color="auto"/>
                <w:vertAlign w:val="superscript"/>
                <w:lang w:val="en-US" w:eastAsia="zh-CN"/>
              </w:rPr>
              <w:t>2</w:t>
            </w:r>
            <w:r>
              <w:rPr>
                <w:rFonts w:hint="eastAsia" w:cs="Times New Roman"/>
                <w:color w:val="auto"/>
                <w:highlight w:val="none"/>
                <w:u w:val="none" w:color="auto"/>
                <w:lang w:val="en-US" w:eastAsia="zh-CN"/>
              </w:rPr>
              <w:t>，豆制品生产车间，占地面积2400m</w:t>
            </w:r>
            <w:r>
              <w:rPr>
                <w:rFonts w:hint="eastAsia" w:cs="Times New Roman"/>
                <w:color w:val="auto"/>
                <w:highlight w:val="none"/>
                <w:u w:val="none" w:color="auto"/>
                <w:vertAlign w:val="superscript"/>
                <w:lang w:val="en-US" w:eastAsia="zh-CN"/>
              </w:rPr>
              <w:t>2</w:t>
            </w:r>
            <w:r>
              <w:rPr>
                <w:rFonts w:hint="eastAsia" w:cs="Times New Roman"/>
                <w:color w:val="auto"/>
                <w:highlight w:val="none"/>
                <w:u w:val="none" w:color="auto"/>
                <w:lang w:val="en-US" w:eastAsia="zh-CN"/>
              </w:rPr>
              <w:t>。</w:t>
            </w:r>
            <w:r>
              <w:rPr>
                <w:rFonts w:hint="default" w:ascii="Times New Roman" w:hAnsi="Times New Roman" w:eastAsia="宋体" w:cs="Times New Roman"/>
                <w:color w:val="auto"/>
                <w:highlight w:val="none"/>
                <w:u w:val="none" w:color="auto"/>
              </w:rPr>
              <w:t>项目主要建设内容具体情况见表2-1。</w:t>
            </w:r>
          </w:p>
          <w:p w14:paraId="2A2BE52B">
            <w:pPr>
              <w:pStyle w:val="100"/>
              <w:adjustRightInd/>
              <w:spacing w:before="120" w:beforeLines="50"/>
              <w:jc w:val="center"/>
              <w:rPr>
                <w:rFonts w:hint="default" w:ascii="Times New Roman" w:hAnsi="Times New Roman" w:eastAsia="宋体" w:cs="Times New Roman"/>
                <w:b/>
                <w:color w:val="auto"/>
                <w:sz w:val="21"/>
                <w:szCs w:val="24"/>
                <w:highlight w:val="none"/>
                <w:u w:val="none" w:color="auto"/>
              </w:rPr>
            </w:pPr>
            <w:r>
              <w:rPr>
                <w:rFonts w:hint="default" w:ascii="Times New Roman" w:hAnsi="Times New Roman" w:eastAsia="宋体" w:cs="Times New Roman"/>
                <w:b/>
                <w:color w:val="auto"/>
                <w:sz w:val="21"/>
                <w:szCs w:val="24"/>
                <w:highlight w:val="none"/>
                <w:u w:val="none" w:color="auto"/>
              </w:rPr>
              <w:t>表2-1  项目主要建设内容一览表</w:t>
            </w:r>
          </w:p>
          <w:tbl>
            <w:tblPr>
              <w:tblStyle w:val="42"/>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764"/>
              <w:gridCol w:w="553"/>
              <w:gridCol w:w="1059"/>
              <w:gridCol w:w="1613"/>
              <w:gridCol w:w="112"/>
              <w:gridCol w:w="4256"/>
            </w:tblGrid>
            <w:tr w14:paraId="5AFD79F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64" w:type="dxa"/>
                  <w:tcBorders>
                    <w:tl2br w:val="nil"/>
                    <w:tr2bl w:val="nil"/>
                  </w:tcBorders>
                  <w:vAlign w:val="center"/>
                </w:tcPr>
                <w:p w14:paraId="60D7D6CC">
                  <w:pPr>
                    <w:pStyle w:val="103"/>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项目</w:t>
                  </w:r>
                </w:p>
              </w:tc>
              <w:tc>
                <w:tcPr>
                  <w:tcW w:w="3225" w:type="dxa"/>
                  <w:gridSpan w:val="3"/>
                  <w:tcBorders>
                    <w:tl2br w:val="nil"/>
                    <w:tr2bl w:val="nil"/>
                  </w:tcBorders>
                  <w:vAlign w:val="center"/>
                </w:tcPr>
                <w:p w14:paraId="5A550DA6">
                  <w:pPr>
                    <w:pStyle w:val="103"/>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工程内容</w:t>
                  </w:r>
                </w:p>
              </w:tc>
              <w:tc>
                <w:tcPr>
                  <w:tcW w:w="4368" w:type="dxa"/>
                  <w:gridSpan w:val="2"/>
                  <w:tcBorders>
                    <w:tl2br w:val="nil"/>
                    <w:tr2bl w:val="nil"/>
                  </w:tcBorders>
                  <w:vAlign w:val="center"/>
                </w:tcPr>
                <w:p w14:paraId="1E5F749C">
                  <w:pPr>
                    <w:pStyle w:val="103"/>
                    <w:rPr>
                      <w:rFonts w:hint="default" w:ascii="Times New Roman" w:hAnsi="Times New Roman" w:eastAsia="宋体" w:cs="Times New Roman"/>
                      <w:color w:val="auto"/>
                      <w:sz w:val="21"/>
                      <w:szCs w:val="21"/>
                      <w:highlight w:val="none"/>
                      <w:u w:val="none" w:color="auto"/>
                    </w:rPr>
                  </w:pPr>
                  <w:r>
                    <w:rPr>
                      <w:rFonts w:hint="eastAsia" w:cs="Times New Roman"/>
                      <w:color w:val="auto"/>
                      <w:sz w:val="21"/>
                      <w:szCs w:val="21"/>
                      <w:highlight w:val="none"/>
                      <w:u w:val="none" w:color="auto"/>
                      <w:lang w:val="en-US" w:eastAsia="zh-CN"/>
                    </w:rPr>
                    <w:t>建设内容及规模</w:t>
                  </w:r>
                </w:p>
              </w:tc>
            </w:tr>
            <w:tr w14:paraId="37DBDC1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64" w:type="dxa"/>
                  <w:vMerge w:val="restart"/>
                  <w:tcBorders>
                    <w:tl2br w:val="nil"/>
                    <w:tr2bl w:val="nil"/>
                  </w:tcBorders>
                  <w:vAlign w:val="center"/>
                </w:tcPr>
                <w:p w14:paraId="6C342E25">
                  <w:pPr>
                    <w:pStyle w:val="103"/>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肉制品生产车间</w:t>
                  </w:r>
                </w:p>
              </w:tc>
              <w:tc>
                <w:tcPr>
                  <w:tcW w:w="1612" w:type="dxa"/>
                  <w:gridSpan w:val="2"/>
                  <w:vMerge w:val="restart"/>
                  <w:tcBorders>
                    <w:tl2br w:val="nil"/>
                    <w:tr2bl w:val="nil"/>
                  </w:tcBorders>
                  <w:vAlign w:val="center"/>
                </w:tcPr>
                <w:p w14:paraId="5373FD8C">
                  <w:pPr>
                    <w:pStyle w:val="103"/>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主体工程</w:t>
                  </w:r>
                </w:p>
              </w:tc>
              <w:tc>
                <w:tcPr>
                  <w:tcW w:w="1613" w:type="dxa"/>
                  <w:tcBorders>
                    <w:tl2br w:val="nil"/>
                    <w:tr2bl w:val="nil"/>
                  </w:tcBorders>
                  <w:shd w:val="clear" w:color="auto" w:fill="auto"/>
                  <w:vAlign w:val="center"/>
                </w:tcPr>
                <w:p w14:paraId="36B3858A">
                  <w:pPr>
                    <w:pStyle w:val="103"/>
                    <w:rPr>
                      <w:rFonts w:hint="eastAsia" w:ascii="Times New Roman" w:hAnsi="Times New Roman" w:eastAsia="宋体" w:cs="Times New Roman"/>
                      <w:color w:val="auto"/>
                      <w:kern w:val="0"/>
                      <w:sz w:val="21"/>
                      <w:szCs w:val="21"/>
                      <w:highlight w:val="none"/>
                      <w:u w:val="none" w:color="auto"/>
                      <w:lang w:val="en-US" w:eastAsia="zh-CN" w:bidi="ar-SA"/>
                    </w:rPr>
                  </w:pPr>
                  <w:r>
                    <w:rPr>
                      <w:rFonts w:hint="eastAsia" w:cs="Times New Roman"/>
                      <w:color w:val="auto"/>
                      <w:sz w:val="21"/>
                      <w:szCs w:val="21"/>
                      <w:highlight w:val="none"/>
                      <w:u w:val="none" w:color="auto"/>
                      <w:lang w:val="en-US" w:eastAsia="zh-CN"/>
                    </w:rPr>
                    <w:t>腌制间</w:t>
                  </w:r>
                </w:p>
              </w:tc>
              <w:tc>
                <w:tcPr>
                  <w:tcW w:w="4368" w:type="dxa"/>
                  <w:gridSpan w:val="2"/>
                  <w:tcBorders>
                    <w:tl2br w:val="nil"/>
                    <w:tr2bl w:val="nil"/>
                  </w:tcBorders>
                  <w:vAlign w:val="center"/>
                </w:tcPr>
                <w:p w14:paraId="119079A2">
                  <w:pPr>
                    <w:jc w:val="center"/>
                    <w:rPr>
                      <w:rFonts w:hint="default" w:ascii="Times New Roman" w:hAnsi="Times New Roman" w:eastAsia="宋体" w:cs="Times New Roman"/>
                      <w:color w:val="auto"/>
                      <w:sz w:val="21"/>
                      <w:szCs w:val="21"/>
                      <w:highlight w:val="none"/>
                      <w:u w:val="none" w:color="auto"/>
                    </w:rPr>
                  </w:pPr>
                  <w:r>
                    <w:rPr>
                      <w:rFonts w:hint="eastAsia" w:cs="Times New Roman"/>
                      <w:color w:val="auto"/>
                      <w:sz w:val="21"/>
                      <w:szCs w:val="21"/>
                      <w:highlight w:val="none"/>
                      <w:u w:val="none" w:color="auto"/>
                      <w:lang w:val="en-US" w:eastAsia="zh-CN"/>
                    </w:rPr>
                    <w:t>93.09m</w:t>
                  </w:r>
                  <w:r>
                    <w:rPr>
                      <w:rFonts w:hint="eastAsia" w:cs="Times New Roman"/>
                      <w:color w:val="auto"/>
                      <w:sz w:val="21"/>
                      <w:szCs w:val="21"/>
                      <w:highlight w:val="none"/>
                      <w:u w:val="none" w:color="auto"/>
                      <w:vertAlign w:val="superscript"/>
                      <w:lang w:val="en-US" w:eastAsia="zh-CN"/>
                    </w:rPr>
                    <w:t>2</w:t>
                  </w:r>
                </w:p>
              </w:tc>
            </w:tr>
            <w:tr w14:paraId="2D17A35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64" w:type="dxa"/>
                  <w:vMerge w:val="continue"/>
                  <w:tcBorders>
                    <w:tl2br w:val="nil"/>
                    <w:tr2bl w:val="nil"/>
                  </w:tcBorders>
                  <w:vAlign w:val="center"/>
                </w:tcPr>
                <w:p w14:paraId="29473AB1">
                  <w:pPr>
                    <w:pStyle w:val="103"/>
                    <w:rPr>
                      <w:rFonts w:hint="default" w:ascii="Times New Roman" w:hAnsi="Times New Roman" w:eastAsia="宋体" w:cs="Times New Roman"/>
                      <w:color w:val="auto"/>
                      <w:sz w:val="21"/>
                      <w:szCs w:val="21"/>
                      <w:highlight w:val="none"/>
                      <w:u w:val="none" w:color="auto"/>
                    </w:rPr>
                  </w:pPr>
                </w:p>
              </w:tc>
              <w:tc>
                <w:tcPr>
                  <w:tcW w:w="1612" w:type="dxa"/>
                  <w:gridSpan w:val="2"/>
                  <w:vMerge w:val="continue"/>
                  <w:tcBorders>
                    <w:tl2br w:val="nil"/>
                    <w:tr2bl w:val="nil"/>
                  </w:tcBorders>
                  <w:vAlign w:val="center"/>
                </w:tcPr>
                <w:p w14:paraId="4A3C622E">
                  <w:pPr>
                    <w:pStyle w:val="103"/>
                    <w:rPr>
                      <w:rFonts w:hint="default" w:ascii="Times New Roman" w:hAnsi="Times New Roman" w:eastAsia="宋体" w:cs="Times New Roman"/>
                      <w:color w:val="auto"/>
                      <w:sz w:val="21"/>
                      <w:szCs w:val="21"/>
                      <w:highlight w:val="none"/>
                      <w:u w:val="none" w:color="auto"/>
                      <w:lang w:val="en-US" w:eastAsia="zh-CN"/>
                    </w:rPr>
                  </w:pPr>
                </w:p>
              </w:tc>
              <w:tc>
                <w:tcPr>
                  <w:tcW w:w="1613" w:type="dxa"/>
                  <w:tcBorders>
                    <w:tl2br w:val="nil"/>
                    <w:tr2bl w:val="nil"/>
                  </w:tcBorders>
                  <w:shd w:val="clear" w:color="auto" w:fill="auto"/>
                  <w:vAlign w:val="center"/>
                </w:tcPr>
                <w:p w14:paraId="3D96DDE3">
                  <w:pPr>
                    <w:pStyle w:val="103"/>
                    <w:rPr>
                      <w:rFonts w:hint="eastAsia" w:ascii="Times New Roman" w:hAnsi="Times New Roman" w:eastAsia="宋体" w:cs="Times New Roman"/>
                      <w:color w:val="auto"/>
                      <w:kern w:val="0"/>
                      <w:sz w:val="21"/>
                      <w:szCs w:val="21"/>
                      <w:highlight w:val="none"/>
                      <w:u w:val="none" w:color="auto"/>
                      <w:lang w:val="en-US" w:eastAsia="zh-CN" w:bidi="ar-SA"/>
                    </w:rPr>
                  </w:pPr>
                  <w:r>
                    <w:rPr>
                      <w:rFonts w:hint="eastAsia" w:cs="Times New Roman"/>
                      <w:color w:val="auto"/>
                      <w:sz w:val="21"/>
                      <w:szCs w:val="21"/>
                      <w:highlight w:val="none"/>
                      <w:u w:val="none" w:color="auto"/>
                      <w:lang w:val="en-US" w:eastAsia="zh-CN"/>
                    </w:rPr>
                    <w:t>加熏蒸煮间</w:t>
                  </w:r>
                </w:p>
              </w:tc>
              <w:tc>
                <w:tcPr>
                  <w:tcW w:w="4368" w:type="dxa"/>
                  <w:gridSpan w:val="2"/>
                  <w:tcBorders>
                    <w:tl2br w:val="nil"/>
                    <w:tr2bl w:val="nil"/>
                  </w:tcBorders>
                  <w:vAlign w:val="center"/>
                </w:tcPr>
                <w:p w14:paraId="35545BB2">
                  <w:pPr>
                    <w:jc w:val="center"/>
                    <w:rPr>
                      <w:rFonts w:hint="default" w:ascii="Times New Roman" w:hAnsi="Times New Roman" w:eastAsia="宋体" w:cs="Times New Roman"/>
                      <w:color w:val="auto"/>
                      <w:sz w:val="21"/>
                      <w:szCs w:val="21"/>
                      <w:highlight w:val="none"/>
                      <w:u w:val="none" w:color="auto"/>
                    </w:rPr>
                  </w:pPr>
                  <w:r>
                    <w:rPr>
                      <w:rFonts w:hint="eastAsia" w:cs="Times New Roman"/>
                      <w:color w:val="auto"/>
                      <w:sz w:val="21"/>
                      <w:szCs w:val="21"/>
                      <w:highlight w:val="none"/>
                      <w:u w:val="none" w:color="auto"/>
                      <w:lang w:val="en-US" w:eastAsia="zh-CN"/>
                    </w:rPr>
                    <w:t>170.78m</w:t>
                  </w:r>
                  <w:r>
                    <w:rPr>
                      <w:rFonts w:hint="eastAsia" w:cs="Times New Roman"/>
                      <w:color w:val="auto"/>
                      <w:sz w:val="21"/>
                      <w:szCs w:val="21"/>
                      <w:highlight w:val="none"/>
                      <w:u w:val="none" w:color="auto"/>
                      <w:vertAlign w:val="superscript"/>
                      <w:lang w:val="en-US" w:eastAsia="zh-CN"/>
                    </w:rPr>
                    <w:t>2</w:t>
                  </w:r>
                </w:p>
              </w:tc>
            </w:tr>
            <w:tr w14:paraId="666D88D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64" w:type="dxa"/>
                  <w:vMerge w:val="continue"/>
                  <w:tcBorders>
                    <w:tl2br w:val="nil"/>
                    <w:tr2bl w:val="nil"/>
                  </w:tcBorders>
                  <w:vAlign w:val="center"/>
                </w:tcPr>
                <w:p w14:paraId="2B4F55DD">
                  <w:pPr>
                    <w:pStyle w:val="103"/>
                    <w:rPr>
                      <w:rFonts w:hint="default" w:ascii="Times New Roman" w:hAnsi="Times New Roman" w:eastAsia="宋体" w:cs="Times New Roman"/>
                      <w:color w:val="auto"/>
                      <w:sz w:val="21"/>
                      <w:szCs w:val="21"/>
                      <w:highlight w:val="none"/>
                      <w:u w:val="none" w:color="auto"/>
                    </w:rPr>
                  </w:pPr>
                </w:p>
              </w:tc>
              <w:tc>
                <w:tcPr>
                  <w:tcW w:w="1612" w:type="dxa"/>
                  <w:gridSpan w:val="2"/>
                  <w:vMerge w:val="continue"/>
                  <w:tcBorders>
                    <w:tl2br w:val="nil"/>
                    <w:tr2bl w:val="nil"/>
                  </w:tcBorders>
                  <w:vAlign w:val="center"/>
                </w:tcPr>
                <w:p w14:paraId="7375CEAB">
                  <w:pPr>
                    <w:pStyle w:val="103"/>
                    <w:rPr>
                      <w:rFonts w:hint="default" w:ascii="Times New Roman" w:hAnsi="Times New Roman" w:eastAsia="宋体" w:cs="Times New Roman"/>
                      <w:color w:val="auto"/>
                      <w:sz w:val="21"/>
                      <w:szCs w:val="21"/>
                      <w:highlight w:val="none"/>
                      <w:u w:val="none" w:color="auto"/>
                      <w:lang w:val="en-US" w:eastAsia="zh-CN"/>
                    </w:rPr>
                  </w:pPr>
                </w:p>
              </w:tc>
              <w:tc>
                <w:tcPr>
                  <w:tcW w:w="1613" w:type="dxa"/>
                  <w:tcBorders>
                    <w:tl2br w:val="nil"/>
                    <w:tr2bl w:val="nil"/>
                  </w:tcBorders>
                  <w:shd w:val="clear" w:color="auto" w:fill="auto"/>
                  <w:vAlign w:val="center"/>
                </w:tcPr>
                <w:p w14:paraId="69FA7C13">
                  <w:pPr>
                    <w:pStyle w:val="103"/>
                    <w:rPr>
                      <w:rFonts w:hint="eastAsia" w:ascii="Times New Roman" w:hAnsi="Times New Roman" w:eastAsia="宋体" w:cs="Times New Roman"/>
                      <w:color w:val="auto"/>
                      <w:kern w:val="0"/>
                      <w:sz w:val="21"/>
                      <w:szCs w:val="21"/>
                      <w:highlight w:val="none"/>
                      <w:u w:val="none" w:color="auto"/>
                      <w:lang w:val="en-US" w:eastAsia="zh-CN" w:bidi="ar-SA"/>
                    </w:rPr>
                  </w:pPr>
                  <w:r>
                    <w:rPr>
                      <w:rFonts w:hint="eastAsia" w:cs="Times New Roman"/>
                      <w:color w:val="auto"/>
                      <w:sz w:val="21"/>
                      <w:szCs w:val="21"/>
                      <w:highlight w:val="none"/>
                      <w:u w:val="none" w:color="auto"/>
                      <w:lang w:val="en-US" w:eastAsia="zh-CN"/>
                    </w:rPr>
                    <w:t>清洗杀菌间</w:t>
                  </w:r>
                </w:p>
              </w:tc>
              <w:tc>
                <w:tcPr>
                  <w:tcW w:w="4368" w:type="dxa"/>
                  <w:gridSpan w:val="2"/>
                  <w:tcBorders>
                    <w:tl2br w:val="nil"/>
                    <w:tr2bl w:val="nil"/>
                  </w:tcBorders>
                  <w:vAlign w:val="center"/>
                </w:tcPr>
                <w:p w14:paraId="007EBAC3">
                  <w:pPr>
                    <w:jc w:val="center"/>
                    <w:rPr>
                      <w:rFonts w:hint="default" w:ascii="Times New Roman" w:hAnsi="Times New Roman" w:eastAsia="宋体" w:cs="Times New Roman"/>
                      <w:color w:val="auto"/>
                      <w:sz w:val="21"/>
                      <w:szCs w:val="21"/>
                      <w:highlight w:val="none"/>
                      <w:u w:val="none" w:color="auto"/>
                    </w:rPr>
                  </w:pPr>
                  <w:r>
                    <w:rPr>
                      <w:rFonts w:hint="eastAsia" w:cs="Times New Roman"/>
                      <w:color w:val="auto"/>
                      <w:sz w:val="21"/>
                      <w:szCs w:val="21"/>
                      <w:highlight w:val="none"/>
                      <w:u w:val="none" w:color="auto"/>
                      <w:lang w:val="en-US" w:eastAsia="zh-CN"/>
                    </w:rPr>
                    <w:t>297.44m</w:t>
                  </w:r>
                  <w:r>
                    <w:rPr>
                      <w:rFonts w:hint="eastAsia" w:cs="Times New Roman"/>
                      <w:color w:val="auto"/>
                      <w:sz w:val="21"/>
                      <w:szCs w:val="21"/>
                      <w:highlight w:val="none"/>
                      <w:u w:val="none" w:color="auto"/>
                      <w:vertAlign w:val="superscript"/>
                      <w:lang w:val="en-US" w:eastAsia="zh-CN"/>
                    </w:rPr>
                    <w:t>2</w:t>
                  </w:r>
                </w:p>
              </w:tc>
            </w:tr>
            <w:tr w14:paraId="6D9818A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64" w:type="dxa"/>
                  <w:vMerge w:val="continue"/>
                  <w:tcBorders>
                    <w:tl2br w:val="nil"/>
                    <w:tr2bl w:val="nil"/>
                  </w:tcBorders>
                  <w:vAlign w:val="center"/>
                </w:tcPr>
                <w:p w14:paraId="45C9E28D">
                  <w:pPr>
                    <w:pStyle w:val="103"/>
                    <w:rPr>
                      <w:rFonts w:hint="default" w:ascii="Times New Roman" w:hAnsi="Times New Roman" w:eastAsia="宋体" w:cs="Times New Roman"/>
                      <w:color w:val="auto"/>
                      <w:sz w:val="21"/>
                      <w:szCs w:val="21"/>
                      <w:highlight w:val="none"/>
                      <w:u w:val="none" w:color="auto"/>
                    </w:rPr>
                  </w:pPr>
                </w:p>
              </w:tc>
              <w:tc>
                <w:tcPr>
                  <w:tcW w:w="1612" w:type="dxa"/>
                  <w:gridSpan w:val="2"/>
                  <w:vMerge w:val="continue"/>
                  <w:tcBorders>
                    <w:tl2br w:val="nil"/>
                    <w:tr2bl w:val="nil"/>
                  </w:tcBorders>
                  <w:vAlign w:val="center"/>
                </w:tcPr>
                <w:p w14:paraId="144D5BCD">
                  <w:pPr>
                    <w:pStyle w:val="103"/>
                    <w:rPr>
                      <w:rFonts w:hint="default" w:ascii="Times New Roman" w:hAnsi="Times New Roman" w:eastAsia="宋体" w:cs="Times New Roman"/>
                      <w:color w:val="auto"/>
                      <w:sz w:val="21"/>
                      <w:szCs w:val="21"/>
                      <w:highlight w:val="none"/>
                      <w:u w:val="none" w:color="auto"/>
                      <w:lang w:val="en-US" w:eastAsia="zh-CN"/>
                    </w:rPr>
                  </w:pPr>
                </w:p>
              </w:tc>
              <w:tc>
                <w:tcPr>
                  <w:tcW w:w="1613" w:type="dxa"/>
                  <w:tcBorders>
                    <w:tl2br w:val="nil"/>
                    <w:tr2bl w:val="nil"/>
                  </w:tcBorders>
                  <w:shd w:val="clear" w:color="auto" w:fill="auto"/>
                  <w:vAlign w:val="center"/>
                </w:tcPr>
                <w:p w14:paraId="2EDF2616">
                  <w:pPr>
                    <w:pStyle w:val="103"/>
                    <w:rPr>
                      <w:rFonts w:hint="eastAsia" w:ascii="Times New Roman" w:hAnsi="Times New Roman" w:eastAsia="宋体" w:cs="Times New Roman"/>
                      <w:color w:val="auto"/>
                      <w:kern w:val="0"/>
                      <w:sz w:val="21"/>
                      <w:szCs w:val="21"/>
                      <w:highlight w:val="none"/>
                      <w:u w:val="none" w:color="auto"/>
                      <w:lang w:val="en-US" w:eastAsia="zh-CN" w:bidi="ar-SA"/>
                    </w:rPr>
                  </w:pPr>
                  <w:r>
                    <w:rPr>
                      <w:rFonts w:hint="eastAsia" w:cs="Times New Roman"/>
                      <w:color w:val="auto"/>
                      <w:sz w:val="21"/>
                      <w:szCs w:val="21"/>
                      <w:highlight w:val="none"/>
                      <w:u w:val="none" w:color="auto"/>
                      <w:lang w:val="en-US" w:eastAsia="zh-CN"/>
                    </w:rPr>
                    <w:t>配料间</w:t>
                  </w:r>
                </w:p>
              </w:tc>
              <w:tc>
                <w:tcPr>
                  <w:tcW w:w="4368" w:type="dxa"/>
                  <w:gridSpan w:val="2"/>
                  <w:tcBorders>
                    <w:tl2br w:val="nil"/>
                    <w:tr2bl w:val="nil"/>
                  </w:tcBorders>
                  <w:vAlign w:val="center"/>
                </w:tcPr>
                <w:p w14:paraId="21095254">
                  <w:pPr>
                    <w:jc w:val="center"/>
                    <w:rPr>
                      <w:rFonts w:hint="default" w:ascii="Times New Roman" w:hAnsi="Times New Roman" w:eastAsia="宋体" w:cs="Times New Roman"/>
                      <w:color w:val="auto"/>
                      <w:sz w:val="21"/>
                      <w:szCs w:val="21"/>
                      <w:highlight w:val="none"/>
                      <w:u w:val="none" w:color="auto"/>
                    </w:rPr>
                  </w:pPr>
                  <w:r>
                    <w:rPr>
                      <w:rFonts w:hint="eastAsia" w:cs="Times New Roman"/>
                      <w:color w:val="auto"/>
                      <w:sz w:val="21"/>
                      <w:szCs w:val="21"/>
                      <w:highlight w:val="none"/>
                      <w:u w:val="none" w:color="auto"/>
                      <w:lang w:val="en-US" w:eastAsia="zh-CN"/>
                    </w:rPr>
                    <w:t>65.15m</w:t>
                  </w:r>
                  <w:r>
                    <w:rPr>
                      <w:rFonts w:hint="eastAsia" w:cs="Times New Roman"/>
                      <w:color w:val="auto"/>
                      <w:sz w:val="21"/>
                      <w:szCs w:val="21"/>
                      <w:highlight w:val="none"/>
                      <w:u w:val="none" w:color="auto"/>
                      <w:vertAlign w:val="superscript"/>
                      <w:lang w:val="en-US" w:eastAsia="zh-CN"/>
                    </w:rPr>
                    <w:t>2</w:t>
                  </w:r>
                </w:p>
              </w:tc>
            </w:tr>
            <w:tr w14:paraId="7E8A71A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64" w:type="dxa"/>
                  <w:vMerge w:val="continue"/>
                  <w:tcBorders>
                    <w:tl2br w:val="nil"/>
                    <w:tr2bl w:val="nil"/>
                  </w:tcBorders>
                  <w:vAlign w:val="center"/>
                </w:tcPr>
                <w:p w14:paraId="47CC729B">
                  <w:pPr>
                    <w:pStyle w:val="103"/>
                    <w:rPr>
                      <w:rFonts w:hint="default" w:ascii="Times New Roman" w:hAnsi="Times New Roman" w:eastAsia="宋体" w:cs="Times New Roman"/>
                      <w:color w:val="auto"/>
                      <w:sz w:val="21"/>
                      <w:szCs w:val="21"/>
                      <w:highlight w:val="none"/>
                      <w:u w:val="none" w:color="auto"/>
                    </w:rPr>
                  </w:pPr>
                </w:p>
              </w:tc>
              <w:tc>
                <w:tcPr>
                  <w:tcW w:w="1612" w:type="dxa"/>
                  <w:gridSpan w:val="2"/>
                  <w:vMerge w:val="continue"/>
                  <w:tcBorders>
                    <w:tl2br w:val="nil"/>
                    <w:tr2bl w:val="nil"/>
                  </w:tcBorders>
                  <w:vAlign w:val="center"/>
                </w:tcPr>
                <w:p w14:paraId="05D23ADB">
                  <w:pPr>
                    <w:pStyle w:val="103"/>
                    <w:rPr>
                      <w:rFonts w:hint="default" w:cs="Times New Roman"/>
                      <w:color w:val="auto"/>
                      <w:sz w:val="21"/>
                      <w:szCs w:val="21"/>
                      <w:highlight w:val="none"/>
                      <w:u w:val="none" w:color="auto"/>
                      <w:lang w:val="en-US" w:eastAsia="zh-CN"/>
                    </w:rPr>
                  </w:pPr>
                </w:p>
              </w:tc>
              <w:tc>
                <w:tcPr>
                  <w:tcW w:w="1613" w:type="dxa"/>
                  <w:tcBorders>
                    <w:tl2br w:val="nil"/>
                    <w:tr2bl w:val="nil"/>
                  </w:tcBorders>
                  <w:shd w:val="clear" w:color="auto" w:fill="auto"/>
                  <w:vAlign w:val="center"/>
                </w:tcPr>
                <w:p w14:paraId="76596A93">
                  <w:pPr>
                    <w:pStyle w:val="103"/>
                    <w:rPr>
                      <w:rFonts w:hint="eastAsia" w:ascii="Times New Roman" w:hAnsi="Times New Roman" w:eastAsia="宋体" w:cs="Times New Roman"/>
                      <w:color w:val="auto"/>
                      <w:kern w:val="0"/>
                      <w:sz w:val="21"/>
                      <w:szCs w:val="21"/>
                      <w:highlight w:val="none"/>
                      <w:u w:val="none" w:color="auto"/>
                      <w:lang w:val="en-US" w:eastAsia="zh-CN" w:bidi="ar-SA"/>
                    </w:rPr>
                  </w:pPr>
                  <w:r>
                    <w:rPr>
                      <w:rFonts w:hint="eastAsia" w:cs="Times New Roman"/>
                      <w:color w:val="auto"/>
                      <w:sz w:val="21"/>
                      <w:szCs w:val="21"/>
                      <w:highlight w:val="none"/>
                      <w:u w:val="none" w:color="auto"/>
                      <w:lang w:val="en-US" w:eastAsia="zh-CN"/>
                    </w:rPr>
                    <w:t>脱包间</w:t>
                  </w:r>
                </w:p>
              </w:tc>
              <w:tc>
                <w:tcPr>
                  <w:tcW w:w="4368" w:type="dxa"/>
                  <w:gridSpan w:val="2"/>
                  <w:tcBorders>
                    <w:tl2br w:val="nil"/>
                    <w:tr2bl w:val="nil"/>
                  </w:tcBorders>
                  <w:vAlign w:val="center"/>
                </w:tcPr>
                <w:p w14:paraId="4C911138">
                  <w:pPr>
                    <w:jc w:val="center"/>
                    <w:rPr>
                      <w:rFonts w:hint="default" w:ascii="Times New Roman" w:hAnsi="Times New Roman" w:eastAsia="宋体" w:cs="Times New Roman"/>
                      <w:color w:val="auto"/>
                      <w:sz w:val="21"/>
                      <w:szCs w:val="21"/>
                      <w:highlight w:val="none"/>
                      <w:u w:val="none" w:color="auto"/>
                    </w:rPr>
                  </w:pPr>
                  <w:r>
                    <w:rPr>
                      <w:rFonts w:hint="eastAsia" w:cs="Times New Roman"/>
                      <w:color w:val="auto"/>
                      <w:sz w:val="21"/>
                      <w:szCs w:val="21"/>
                      <w:highlight w:val="none"/>
                      <w:u w:val="none" w:color="auto"/>
                      <w:lang w:val="en-US" w:eastAsia="zh-CN"/>
                    </w:rPr>
                    <w:t>23.31m</w:t>
                  </w:r>
                  <w:r>
                    <w:rPr>
                      <w:rFonts w:hint="eastAsia" w:cs="Times New Roman"/>
                      <w:color w:val="auto"/>
                      <w:sz w:val="21"/>
                      <w:szCs w:val="21"/>
                      <w:highlight w:val="none"/>
                      <w:u w:val="none" w:color="auto"/>
                      <w:vertAlign w:val="superscript"/>
                      <w:lang w:val="en-US" w:eastAsia="zh-CN"/>
                    </w:rPr>
                    <w:t>2</w:t>
                  </w:r>
                </w:p>
              </w:tc>
            </w:tr>
            <w:tr w14:paraId="3ADCEB2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64" w:type="dxa"/>
                  <w:vMerge w:val="continue"/>
                  <w:tcBorders>
                    <w:tl2br w:val="nil"/>
                    <w:tr2bl w:val="nil"/>
                  </w:tcBorders>
                  <w:vAlign w:val="center"/>
                </w:tcPr>
                <w:p w14:paraId="795C2E75">
                  <w:pPr>
                    <w:pStyle w:val="103"/>
                    <w:rPr>
                      <w:rFonts w:hint="default" w:ascii="Times New Roman" w:hAnsi="Times New Roman" w:eastAsia="宋体" w:cs="Times New Roman"/>
                      <w:color w:val="auto"/>
                      <w:sz w:val="21"/>
                      <w:szCs w:val="21"/>
                      <w:highlight w:val="none"/>
                      <w:u w:val="none" w:color="auto"/>
                    </w:rPr>
                  </w:pPr>
                </w:p>
              </w:tc>
              <w:tc>
                <w:tcPr>
                  <w:tcW w:w="1612" w:type="dxa"/>
                  <w:gridSpan w:val="2"/>
                  <w:vMerge w:val="continue"/>
                  <w:tcBorders>
                    <w:tl2br w:val="nil"/>
                    <w:tr2bl w:val="nil"/>
                  </w:tcBorders>
                  <w:vAlign w:val="center"/>
                </w:tcPr>
                <w:p w14:paraId="0673102E">
                  <w:pPr>
                    <w:pStyle w:val="103"/>
                    <w:rPr>
                      <w:rFonts w:hint="default" w:cs="Times New Roman"/>
                      <w:color w:val="auto"/>
                      <w:sz w:val="21"/>
                      <w:szCs w:val="21"/>
                      <w:highlight w:val="none"/>
                      <w:u w:val="none" w:color="auto"/>
                      <w:lang w:val="en-US" w:eastAsia="zh-CN"/>
                    </w:rPr>
                  </w:pPr>
                </w:p>
              </w:tc>
              <w:tc>
                <w:tcPr>
                  <w:tcW w:w="1613" w:type="dxa"/>
                  <w:tcBorders>
                    <w:tl2br w:val="nil"/>
                    <w:tr2bl w:val="nil"/>
                  </w:tcBorders>
                  <w:shd w:val="clear" w:color="auto" w:fill="auto"/>
                  <w:vAlign w:val="center"/>
                </w:tcPr>
                <w:p w14:paraId="368D224A">
                  <w:pPr>
                    <w:pStyle w:val="103"/>
                    <w:rPr>
                      <w:rFonts w:hint="eastAsia" w:ascii="Times New Roman" w:hAnsi="Times New Roman" w:eastAsia="宋体" w:cs="Times New Roman"/>
                      <w:color w:val="auto"/>
                      <w:kern w:val="0"/>
                      <w:sz w:val="21"/>
                      <w:szCs w:val="21"/>
                      <w:highlight w:val="none"/>
                      <w:u w:val="none" w:color="auto"/>
                      <w:lang w:val="en-US" w:eastAsia="zh-CN" w:bidi="ar-SA"/>
                    </w:rPr>
                  </w:pPr>
                  <w:r>
                    <w:rPr>
                      <w:rFonts w:hint="eastAsia" w:cs="Times New Roman"/>
                      <w:color w:val="auto"/>
                      <w:sz w:val="21"/>
                      <w:szCs w:val="21"/>
                      <w:highlight w:val="none"/>
                      <w:u w:val="none" w:color="auto"/>
                      <w:lang w:val="en-US" w:eastAsia="zh-CN"/>
                    </w:rPr>
                    <w:t>解冻间</w:t>
                  </w:r>
                </w:p>
              </w:tc>
              <w:tc>
                <w:tcPr>
                  <w:tcW w:w="4368" w:type="dxa"/>
                  <w:gridSpan w:val="2"/>
                  <w:tcBorders>
                    <w:tl2br w:val="nil"/>
                    <w:tr2bl w:val="nil"/>
                  </w:tcBorders>
                  <w:vAlign w:val="center"/>
                </w:tcPr>
                <w:p w14:paraId="6418F2B7">
                  <w:pPr>
                    <w:jc w:val="center"/>
                    <w:rPr>
                      <w:rFonts w:hint="default" w:ascii="Times New Roman" w:hAnsi="Times New Roman" w:eastAsia="宋体" w:cs="Times New Roman"/>
                      <w:color w:val="auto"/>
                      <w:sz w:val="21"/>
                      <w:szCs w:val="21"/>
                      <w:highlight w:val="none"/>
                      <w:u w:val="none" w:color="auto"/>
                    </w:rPr>
                  </w:pPr>
                  <w:r>
                    <w:rPr>
                      <w:rFonts w:hint="eastAsia" w:cs="Times New Roman"/>
                      <w:color w:val="auto"/>
                      <w:sz w:val="21"/>
                      <w:szCs w:val="21"/>
                      <w:highlight w:val="none"/>
                      <w:u w:val="none" w:color="auto"/>
                      <w:lang w:val="en-US" w:eastAsia="zh-CN"/>
                    </w:rPr>
                    <w:t>90.59m</w:t>
                  </w:r>
                  <w:r>
                    <w:rPr>
                      <w:rFonts w:hint="eastAsia" w:cs="Times New Roman"/>
                      <w:color w:val="auto"/>
                      <w:sz w:val="21"/>
                      <w:szCs w:val="21"/>
                      <w:highlight w:val="none"/>
                      <w:u w:val="none" w:color="auto"/>
                      <w:vertAlign w:val="superscript"/>
                      <w:lang w:val="en-US" w:eastAsia="zh-CN"/>
                    </w:rPr>
                    <w:t>2</w:t>
                  </w:r>
                </w:p>
              </w:tc>
            </w:tr>
            <w:tr w14:paraId="303C81A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64" w:type="dxa"/>
                  <w:vMerge w:val="continue"/>
                  <w:tcBorders>
                    <w:tl2br w:val="nil"/>
                    <w:tr2bl w:val="nil"/>
                  </w:tcBorders>
                  <w:vAlign w:val="center"/>
                </w:tcPr>
                <w:p w14:paraId="116F57E1">
                  <w:pPr>
                    <w:pStyle w:val="103"/>
                    <w:rPr>
                      <w:rFonts w:hint="default" w:ascii="Times New Roman" w:hAnsi="Times New Roman" w:eastAsia="宋体" w:cs="Times New Roman"/>
                      <w:color w:val="auto"/>
                      <w:sz w:val="21"/>
                      <w:szCs w:val="21"/>
                      <w:highlight w:val="none"/>
                      <w:u w:val="none" w:color="auto"/>
                    </w:rPr>
                  </w:pPr>
                </w:p>
              </w:tc>
              <w:tc>
                <w:tcPr>
                  <w:tcW w:w="1612" w:type="dxa"/>
                  <w:gridSpan w:val="2"/>
                  <w:vMerge w:val="continue"/>
                  <w:tcBorders>
                    <w:tl2br w:val="nil"/>
                    <w:tr2bl w:val="nil"/>
                  </w:tcBorders>
                  <w:vAlign w:val="center"/>
                </w:tcPr>
                <w:p w14:paraId="0F190460">
                  <w:pPr>
                    <w:pStyle w:val="103"/>
                    <w:jc w:val="center"/>
                    <w:rPr>
                      <w:rFonts w:hint="default" w:cs="Times New Roman"/>
                      <w:color w:val="auto"/>
                      <w:sz w:val="21"/>
                      <w:szCs w:val="21"/>
                      <w:highlight w:val="none"/>
                      <w:u w:val="none" w:color="auto"/>
                      <w:lang w:val="en-US" w:eastAsia="zh-CN"/>
                    </w:rPr>
                  </w:pPr>
                </w:p>
              </w:tc>
              <w:tc>
                <w:tcPr>
                  <w:tcW w:w="1613" w:type="dxa"/>
                  <w:tcBorders>
                    <w:tl2br w:val="nil"/>
                    <w:tr2bl w:val="nil"/>
                  </w:tcBorders>
                  <w:shd w:val="clear" w:color="auto" w:fill="auto"/>
                  <w:vAlign w:val="center"/>
                </w:tcPr>
                <w:p w14:paraId="78A6A0AF">
                  <w:pPr>
                    <w:pStyle w:val="103"/>
                    <w:jc w:val="center"/>
                    <w:rPr>
                      <w:rFonts w:hint="eastAsia" w:ascii="Times New Roman" w:hAnsi="Times New Roman" w:eastAsia="宋体" w:cs="Times New Roman"/>
                      <w:color w:val="auto"/>
                      <w:kern w:val="0"/>
                      <w:sz w:val="21"/>
                      <w:szCs w:val="21"/>
                      <w:highlight w:val="none"/>
                      <w:u w:val="none" w:color="auto"/>
                      <w:lang w:val="en-US" w:eastAsia="zh-CN" w:bidi="ar-SA"/>
                    </w:rPr>
                  </w:pPr>
                  <w:r>
                    <w:rPr>
                      <w:rFonts w:hint="eastAsia" w:cs="Times New Roman"/>
                      <w:color w:val="auto"/>
                      <w:sz w:val="21"/>
                      <w:szCs w:val="21"/>
                      <w:highlight w:val="none"/>
                      <w:u w:val="none" w:color="auto"/>
                      <w:lang w:val="en-US" w:eastAsia="zh-CN"/>
                    </w:rPr>
                    <w:t>半成品加工车间</w:t>
                  </w:r>
                </w:p>
              </w:tc>
              <w:tc>
                <w:tcPr>
                  <w:tcW w:w="4368" w:type="dxa"/>
                  <w:gridSpan w:val="2"/>
                  <w:tcBorders>
                    <w:tl2br w:val="nil"/>
                    <w:tr2bl w:val="nil"/>
                  </w:tcBorders>
                  <w:vAlign w:val="center"/>
                </w:tcPr>
                <w:p w14:paraId="4397CCBE">
                  <w:pPr>
                    <w:jc w:val="center"/>
                    <w:rPr>
                      <w:rFonts w:hint="default" w:ascii="Times New Roman" w:hAnsi="Times New Roman" w:eastAsia="宋体" w:cs="Times New Roman"/>
                      <w:color w:val="auto"/>
                      <w:sz w:val="21"/>
                      <w:szCs w:val="21"/>
                      <w:highlight w:val="none"/>
                      <w:u w:val="none" w:color="auto"/>
                    </w:rPr>
                  </w:pPr>
                  <w:r>
                    <w:rPr>
                      <w:rFonts w:hint="eastAsia" w:cs="Times New Roman"/>
                      <w:color w:val="auto"/>
                      <w:sz w:val="21"/>
                      <w:szCs w:val="21"/>
                      <w:highlight w:val="none"/>
                      <w:u w:val="none" w:color="auto"/>
                      <w:lang w:val="en-US" w:eastAsia="zh-CN"/>
                    </w:rPr>
                    <w:t>365.30m</w:t>
                  </w:r>
                  <w:r>
                    <w:rPr>
                      <w:rFonts w:hint="eastAsia" w:cs="Times New Roman"/>
                      <w:color w:val="auto"/>
                      <w:sz w:val="21"/>
                      <w:szCs w:val="21"/>
                      <w:highlight w:val="none"/>
                      <w:u w:val="none" w:color="auto"/>
                      <w:vertAlign w:val="superscript"/>
                      <w:lang w:val="en-US" w:eastAsia="zh-CN"/>
                    </w:rPr>
                    <w:t>2</w:t>
                  </w:r>
                </w:p>
              </w:tc>
            </w:tr>
            <w:tr w14:paraId="5EC6B45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64" w:type="dxa"/>
                  <w:vMerge w:val="continue"/>
                  <w:tcBorders>
                    <w:tl2br w:val="nil"/>
                    <w:tr2bl w:val="nil"/>
                  </w:tcBorders>
                  <w:vAlign w:val="center"/>
                </w:tcPr>
                <w:p w14:paraId="27ADF5B0">
                  <w:pPr>
                    <w:pStyle w:val="103"/>
                    <w:rPr>
                      <w:rFonts w:hint="default" w:ascii="Times New Roman" w:hAnsi="Times New Roman" w:eastAsia="宋体" w:cs="Times New Roman"/>
                      <w:color w:val="auto"/>
                      <w:sz w:val="21"/>
                      <w:szCs w:val="21"/>
                      <w:highlight w:val="none"/>
                      <w:u w:val="none" w:color="auto"/>
                    </w:rPr>
                  </w:pPr>
                </w:p>
              </w:tc>
              <w:tc>
                <w:tcPr>
                  <w:tcW w:w="1612" w:type="dxa"/>
                  <w:gridSpan w:val="2"/>
                  <w:vMerge w:val="continue"/>
                  <w:tcBorders>
                    <w:tl2br w:val="nil"/>
                    <w:tr2bl w:val="nil"/>
                  </w:tcBorders>
                  <w:vAlign w:val="center"/>
                </w:tcPr>
                <w:p w14:paraId="09ECE99D">
                  <w:pPr>
                    <w:pStyle w:val="103"/>
                    <w:jc w:val="center"/>
                    <w:rPr>
                      <w:rFonts w:hint="default" w:cs="Times New Roman"/>
                      <w:color w:val="auto"/>
                      <w:sz w:val="21"/>
                      <w:szCs w:val="21"/>
                      <w:highlight w:val="none"/>
                      <w:u w:val="none" w:color="auto"/>
                      <w:lang w:val="en-US" w:eastAsia="zh-CN"/>
                    </w:rPr>
                  </w:pPr>
                </w:p>
              </w:tc>
              <w:tc>
                <w:tcPr>
                  <w:tcW w:w="1613" w:type="dxa"/>
                  <w:tcBorders>
                    <w:tl2br w:val="nil"/>
                    <w:tr2bl w:val="nil"/>
                  </w:tcBorders>
                  <w:shd w:val="clear" w:color="auto" w:fill="auto"/>
                  <w:vAlign w:val="center"/>
                </w:tcPr>
                <w:p w14:paraId="0B4D523E">
                  <w:pPr>
                    <w:pStyle w:val="103"/>
                    <w:jc w:val="center"/>
                    <w:rPr>
                      <w:rFonts w:hint="eastAsia" w:ascii="Times New Roman" w:hAnsi="Times New Roman" w:eastAsia="宋体" w:cs="Times New Roman"/>
                      <w:color w:val="auto"/>
                      <w:kern w:val="0"/>
                      <w:sz w:val="21"/>
                      <w:szCs w:val="21"/>
                      <w:highlight w:val="none"/>
                      <w:u w:val="none" w:color="auto"/>
                      <w:lang w:val="en-US" w:eastAsia="zh-CN" w:bidi="ar-SA"/>
                    </w:rPr>
                  </w:pPr>
                  <w:r>
                    <w:rPr>
                      <w:rFonts w:hint="eastAsia" w:cs="Times New Roman"/>
                      <w:color w:val="auto"/>
                      <w:sz w:val="21"/>
                      <w:szCs w:val="21"/>
                      <w:highlight w:val="none"/>
                      <w:u w:val="none" w:color="auto"/>
                      <w:lang w:val="en-US" w:eastAsia="zh-CN"/>
                    </w:rPr>
                    <w:t>冷却间</w:t>
                  </w:r>
                </w:p>
              </w:tc>
              <w:tc>
                <w:tcPr>
                  <w:tcW w:w="4368" w:type="dxa"/>
                  <w:gridSpan w:val="2"/>
                  <w:tcBorders>
                    <w:tl2br w:val="nil"/>
                    <w:tr2bl w:val="nil"/>
                  </w:tcBorders>
                  <w:vAlign w:val="center"/>
                </w:tcPr>
                <w:p w14:paraId="54A70233">
                  <w:pPr>
                    <w:jc w:val="center"/>
                    <w:rPr>
                      <w:rFonts w:hint="default" w:ascii="Times New Roman" w:hAnsi="Times New Roman" w:eastAsia="宋体" w:cs="Times New Roman"/>
                      <w:color w:val="auto"/>
                      <w:sz w:val="21"/>
                      <w:szCs w:val="21"/>
                      <w:highlight w:val="none"/>
                      <w:u w:val="none" w:color="auto"/>
                    </w:rPr>
                  </w:pPr>
                  <w:r>
                    <w:rPr>
                      <w:rFonts w:hint="eastAsia" w:cs="Times New Roman"/>
                      <w:color w:val="auto"/>
                      <w:sz w:val="21"/>
                      <w:szCs w:val="21"/>
                      <w:highlight w:val="none"/>
                      <w:u w:val="none" w:color="auto"/>
                      <w:lang w:val="en-US" w:eastAsia="zh-CN"/>
                    </w:rPr>
                    <w:t>61.33m</w:t>
                  </w:r>
                  <w:r>
                    <w:rPr>
                      <w:rFonts w:hint="eastAsia" w:cs="Times New Roman"/>
                      <w:color w:val="auto"/>
                      <w:sz w:val="21"/>
                      <w:szCs w:val="21"/>
                      <w:highlight w:val="none"/>
                      <w:u w:val="none" w:color="auto"/>
                      <w:vertAlign w:val="superscript"/>
                      <w:lang w:val="en-US" w:eastAsia="zh-CN"/>
                    </w:rPr>
                    <w:t>2</w:t>
                  </w:r>
                </w:p>
              </w:tc>
            </w:tr>
            <w:tr w14:paraId="77F88E5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64" w:type="dxa"/>
                  <w:vMerge w:val="continue"/>
                  <w:tcBorders>
                    <w:tl2br w:val="nil"/>
                    <w:tr2bl w:val="nil"/>
                  </w:tcBorders>
                  <w:vAlign w:val="center"/>
                </w:tcPr>
                <w:p w14:paraId="49E7D945">
                  <w:pPr>
                    <w:pStyle w:val="103"/>
                    <w:rPr>
                      <w:rFonts w:hint="default" w:ascii="Times New Roman" w:hAnsi="Times New Roman" w:eastAsia="宋体" w:cs="Times New Roman"/>
                      <w:color w:val="auto"/>
                      <w:sz w:val="21"/>
                      <w:szCs w:val="21"/>
                      <w:highlight w:val="none"/>
                      <w:u w:val="none" w:color="auto"/>
                    </w:rPr>
                  </w:pPr>
                </w:p>
              </w:tc>
              <w:tc>
                <w:tcPr>
                  <w:tcW w:w="1612" w:type="dxa"/>
                  <w:gridSpan w:val="2"/>
                  <w:vMerge w:val="continue"/>
                  <w:tcBorders>
                    <w:tl2br w:val="nil"/>
                    <w:tr2bl w:val="nil"/>
                  </w:tcBorders>
                  <w:vAlign w:val="center"/>
                </w:tcPr>
                <w:p w14:paraId="0F9BDED1">
                  <w:pPr>
                    <w:pStyle w:val="103"/>
                    <w:rPr>
                      <w:rFonts w:hint="default" w:cs="Times New Roman"/>
                      <w:color w:val="auto"/>
                      <w:sz w:val="21"/>
                      <w:szCs w:val="21"/>
                      <w:highlight w:val="none"/>
                      <w:u w:val="none" w:color="auto"/>
                      <w:lang w:val="en-US" w:eastAsia="zh-CN"/>
                    </w:rPr>
                  </w:pPr>
                </w:p>
              </w:tc>
              <w:tc>
                <w:tcPr>
                  <w:tcW w:w="1613" w:type="dxa"/>
                  <w:tcBorders>
                    <w:tl2br w:val="nil"/>
                    <w:tr2bl w:val="nil"/>
                  </w:tcBorders>
                  <w:shd w:val="clear" w:color="auto" w:fill="auto"/>
                  <w:vAlign w:val="center"/>
                </w:tcPr>
                <w:p w14:paraId="71B60F30">
                  <w:pPr>
                    <w:pStyle w:val="103"/>
                    <w:rPr>
                      <w:rFonts w:hint="eastAsia" w:ascii="Times New Roman" w:hAnsi="Times New Roman" w:eastAsia="宋体" w:cs="Times New Roman"/>
                      <w:color w:val="auto"/>
                      <w:kern w:val="0"/>
                      <w:sz w:val="21"/>
                      <w:szCs w:val="21"/>
                      <w:highlight w:val="none"/>
                      <w:u w:val="none" w:color="auto"/>
                      <w:lang w:val="en-US" w:eastAsia="zh-CN" w:bidi="ar-SA"/>
                    </w:rPr>
                  </w:pPr>
                  <w:r>
                    <w:rPr>
                      <w:rFonts w:hint="eastAsia" w:cs="Times New Roman"/>
                      <w:color w:val="auto"/>
                      <w:sz w:val="21"/>
                      <w:szCs w:val="21"/>
                      <w:highlight w:val="none"/>
                      <w:u w:val="none" w:color="auto"/>
                      <w:lang w:val="en-US" w:eastAsia="zh-CN"/>
                    </w:rPr>
                    <w:t>内包车间</w:t>
                  </w:r>
                </w:p>
              </w:tc>
              <w:tc>
                <w:tcPr>
                  <w:tcW w:w="4368" w:type="dxa"/>
                  <w:gridSpan w:val="2"/>
                  <w:tcBorders>
                    <w:tl2br w:val="nil"/>
                    <w:tr2bl w:val="nil"/>
                  </w:tcBorders>
                  <w:vAlign w:val="center"/>
                </w:tcPr>
                <w:p w14:paraId="267C589E">
                  <w:pPr>
                    <w:jc w:val="center"/>
                    <w:rPr>
                      <w:rFonts w:hint="default" w:ascii="Times New Roman" w:hAnsi="Times New Roman" w:eastAsia="宋体" w:cs="Times New Roman"/>
                      <w:color w:val="auto"/>
                      <w:sz w:val="21"/>
                      <w:szCs w:val="21"/>
                      <w:highlight w:val="none"/>
                      <w:u w:val="none" w:color="auto"/>
                    </w:rPr>
                  </w:pPr>
                  <w:r>
                    <w:rPr>
                      <w:rFonts w:hint="eastAsia" w:cs="Times New Roman"/>
                      <w:color w:val="auto"/>
                      <w:sz w:val="21"/>
                      <w:szCs w:val="21"/>
                      <w:highlight w:val="none"/>
                      <w:u w:val="none" w:color="auto"/>
                      <w:lang w:val="en-US" w:eastAsia="zh-CN"/>
                    </w:rPr>
                    <w:t>447.47m</w:t>
                  </w:r>
                  <w:r>
                    <w:rPr>
                      <w:rFonts w:hint="eastAsia" w:cs="Times New Roman"/>
                      <w:color w:val="auto"/>
                      <w:sz w:val="21"/>
                      <w:szCs w:val="21"/>
                      <w:highlight w:val="none"/>
                      <w:u w:val="none" w:color="auto"/>
                      <w:vertAlign w:val="superscript"/>
                      <w:lang w:val="en-US" w:eastAsia="zh-CN"/>
                    </w:rPr>
                    <w:t>2</w:t>
                  </w:r>
                </w:p>
              </w:tc>
            </w:tr>
            <w:tr w14:paraId="545C1A7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64" w:type="dxa"/>
                  <w:vMerge w:val="continue"/>
                  <w:tcBorders>
                    <w:tl2br w:val="nil"/>
                    <w:tr2bl w:val="nil"/>
                  </w:tcBorders>
                  <w:vAlign w:val="center"/>
                </w:tcPr>
                <w:p w14:paraId="29250E3B">
                  <w:pPr>
                    <w:pStyle w:val="103"/>
                    <w:rPr>
                      <w:rFonts w:hint="default" w:ascii="Times New Roman" w:hAnsi="Times New Roman" w:eastAsia="宋体" w:cs="Times New Roman"/>
                      <w:color w:val="auto"/>
                      <w:sz w:val="21"/>
                      <w:szCs w:val="21"/>
                      <w:highlight w:val="none"/>
                      <w:u w:val="none" w:color="auto"/>
                    </w:rPr>
                  </w:pPr>
                </w:p>
              </w:tc>
              <w:tc>
                <w:tcPr>
                  <w:tcW w:w="1612" w:type="dxa"/>
                  <w:gridSpan w:val="2"/>
                  <w:vMerge w:val="continue"/>
                  <w:tcBorders>
                    <w:tl2br w:val="nil"/>
                    <w:tr2bl w:val="nil"/>
                  </w:tcBorders>
                  <w:vAlign w:val="center"/>
                </w:tcPr>
                <w:p w14:paraId="11F6705F">
                  <w:pPr>
                    <w:pStyle w:val="103"/>
                    <w:rPr>
                      <w:rFonts w:hint="default" w:cs="Times New Roman"/>
                      <w:color w:val="auto"/>
                      <w:sz w:val="21"/>
                      <w:szCs w:val="21"/>
                      <w:highlight w:val="none"/>
                      <w:u w:val="none" w:color="auto"/>
                      <w:lang w:val="en-US" w:eastAsia="zh-CN"/>
                    </w:rPr>
                  </w:pPr>
                </w:p>
              </w:tc>
              <w:tc>
                <w:tcPr>
                  <w:tcW w:w="1613" w:type="dxa"/>
                  <w:tcBorders>
                    <w:tl2br w:val="nil"/>
                    <w:tr2bl w:val="nil"/>
                  </w:tcBorders>
                  <w:shd w:val="clear" w:color="auto" w:fill="auto"/>
                  <w:vAlign w:val="center"/>
                </w:tcPr>
                <w:p w14:paraId="4543163C">
                  <w:pPr>
                    <w:pStyle w:val="103"/>
                    <w:rPr>
                      <w:rFonts w:hint="eastAsia" w:ascii="Times New Roman" w:hAnsi="Times New Roman" w:eastAsia="宋体" w:cs="Times New Roman"/>
                      <w:color w:val="auto"/>
                      <w:kern w:val="0"/>
                      <w:sz w:val="21"/>
                      <w:szCs w:val="21"/>
                      <w:highlight w:val="none"/>
                      <w:u w:val="none" w:color="auto"/>
                      <w:lang w:val="en-US" w:eastAsia="zh-CN" w:bidi="ar-SA"/>
                    </w:rPr>
                  </w:pPr>
                  <w:r>
                    <w:rPr>
                      <w:rFonts w:hint="eastAsia" w:cs="Times New Roman"/>
                      <w:color w:val="auto"/>
                      <w:sz w:val="21"/>
                      <w:szCs w:val="21"/>
                      <w:highlight w:val="none"/>
                      <w:u w:val="none" w:color="auto"/>
                      <w:lang w:val="en-US" w:eastAsia="zh-CN"/>
                    </w:rPr>
                    <w:t>内包材喷码间</w:t>
                  </w:r>
                </w:p>
              </w:tc>
              <w:tc>
                <w:tcPr>
                  <w:tcW w:w="4368" w:type="dxa"/>
                  <w:gridSpan w:val="2"/>
                  <w:tcBorders>
                    <w:tl2br w:val="nil"/>
                    <w:tr2bl w:val="nil"/>
                  </w:tcBorders>
                  <w:vAlign w:val="center"/>
                </w:tcPr>
                <w:p w14:paraId="2412E96D">
                  <w:pPr>
                    <w:jc w:val="center"/>
                    <w:rPr>
                      <w:rFonts w:hint="default" w:ascii="Times New Roman" w:hAnsi="Times New Roman" w:eastAsia="宋体" w:cs="Times New Roman"/>
                      <w:color w:val="auto"/>
                      <w:sz w:val="21"/>
                      <w:szCs w:val="21"/>
                      <w:highlight w:val="none"/>
                      <w:u w:val="none" w:color="auto"/>
                    </w:rPr>
                  </w:pPr>
                  <w:r>
                    <w:rPr>
                      <w:rFonts w:hint="eastAsia" w:cs="Times New Roman"/>
                      <w:color w:val="auto"/>
                      <w:sz w:val="21"/>
                      <w:szCs w:val="21"/>
                      <w:highlight w:val="none"/>
                      <w:u w:val="none" w:color="auto"/>
                      <w:lang w:val="en-US" w:eastAsia="zh-CN"/>
                    </w:rPr>
                    <w:t>16.75m</w:t>
                  </w:r>
                  <w:r>
                    <w:rPr>
                      <w:rFonts w:hint="eastAsia" w:cs="Times New Roman"/>
                      <w:color w:val="auto"/>
                      <w:sz w:val="21"/>
                      <w:szCs w:val="21"/>
                      <w:highlight w:val="none"/>
                      <w:u w:val="none" w:color="auto"/>
                      <w:vertAlign w:val="superscript"/>
                      <w:lang w:val="en-US" w:eastAsia="zh-CN"/>
                    </w:rPr>
                    <w:t>2</w:t>
                  </w:r>
                </w:p>
              </w:tc>
            </w:tr>
            <w:tr w14:paraId="5A082AC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64" w:type="dxa"/>
                  <w:vMerge w:val="continue"/>
                  <w:tcBorders>
                    <w:tl2br w:val="nil"/>
                    <w:tr2bl w:val="nil"/>
                  </w:tcBorders>
                  <w:vAlign w:val="center"/>
                </w:tcPr>
                <w:p w14:paraId="526F09BE">
                  <w:pPr>
                    <w:pStyle w:val="103"/>
                    <w:rPr>
                      <w:rFonts w:hint="default" w:ascii="Times New Roman" w:hAnsi="Times New Roman" w:eastAsia="宋体" w:cs="Times New Roman"/>
                      <w:color w:val="auto"/>
                      <w:sz w:val="21"/>
                      <w:szCs w:val="21"/>
                      <w:highlight w:val="none"/>
                      <w:u w:val="none" w:color="auto"/>
                    </w:rPr>
                  </w:pPr>
                </w:p>
              </w:tc>
              <w:tc>
                <w:tcPr>
                  <w:tcW w:w="1612" w:type="dxa"/>
                  <w:gridSpan w:val="2"/>
                  <w:vMerge w:val="continue"/>
                  <w:tcBorders>
                    <w:tl2br w:val="nil"/>
                    <w:tr2bl w:val="nil"/>
                  </w:tcBorders>
                  <w:vAlign w:val="center"/>
                </w:tcPr>
                <w:p w14:paraId="2CA4531D">
                  <w:pPr>
                    <w:pStyle w:val="103"/>
                    <w:rPr>
                      <w:rFonts w:hint="default" w:cs="Times New Roman"/>
                      <w:color w:val="auto"/>
                      <w:sz w:val="21"/>
                      <w:szCs w:val="21"/>
                      <w:highlight w:val="none"/>
                      <w:u w:val="none" w:color="auto"/>
                      <w:lang w:val="en-US" w:eastAsia="zh-CN"/>
                    </w:rPr>
                  </w:pPr>
                </w:p>
              </w:tc>
              <w:tc>
                <w:tcPr>
                  <w:tcW w:w="1613" w:type="dxa"/>
                  <w:tcBorders>
                    <w:tl2br w:val="nil"/>
                    <w:tr2bl w:val="nil"/>
                  </w:tcBorders>
                  <w:shd w:val="clear" w:color="auto" w:fill="auto"/>
                  <w:vAlign w:val="center"/>
                </w:tcPr>
                <w:p w14:paraId="438F6B67">
                  <w:pPr>
                    <w:pStyle w:val="103"/>
                    <w:rPr>
                      <w:rFonts w:hint="eastAsia" w:ascii="Times New Roman" w:hAnsi="Times New Roman" w:eastAsia="宋体" w:cs="Times New Roman"/>
                      <w:color w:val="auto"/>
                      <w:kern w:val="0"/>
                      <w:sz w:val="21"/>
                      <w:szCs w:val="21"/>
                      <w:highlight w:val="none"/>
                      <w:u w:val="none" w:color="auto"/>
                      <w:lang w:val="en-US" w:eastAsia="zh-CN" w:bidi="ar-SA"/>
                    </w:rPr>
                  </w:pPr>
                  <w:r>
                    <w:rPr>
                      <w:rFonts w:hint="eastAsia" w:cs="Times New Roman"/>
                      <w:color w:val="auto"/>
                      <w:sz w:val="21"/>
                      <w:szCs w:val="21"/>
                      <w:highlight w:val="none"/>
                      <w:u w:val="none" w:color="auto"/>
                      <w:lang w:val="en-US" w:eastAsia="zh-CN"/>
                    </w:rPr>
                    <w:t>外包车间</w:t>
                  </w:r>
                </w:p>
              </w:tc>
              <w:tc>
                <w:tcPr>
                  <w:tcW w:w="4368" w:type="dxa"/>
                  <w:gridSpan w:val="2"/>
                  <w:tcBorders>
                    <w:tl2br w:val="nil"/>
                    <w:tr2bl w:val="nil"/>
                  </w:tcBorders>
                  <w:vAlign w:val="center"/>
                </w:tcPr>
                <w:p w14:paraId="2A5D72FB">
                  <w:pPr>
                    <w:jc w:val="center"/>
                    <w:rPr>
                      <w:rFonts w:hint="default" w:ascii="Times New Roman" w:hAnsi="Times New Roman" w:eastAsia="宋体" w:cs="Times New Roman"/>
                      <w:color w:val="auto"/>
                      <w:sz w:val="21"/>
                      <w:szCs w:val="21"/>
                      <w:highlight w:val="none"/>
                      <w:u w:val="none" w:color="auto"/>
                    </w:rPr>
                  </w:pPr>
                  <w:r>
                    <w:rPr>
                      <w:rFonts w:hint="eastAsia" w:cs="Times New Roman"/>
                      <w:color w:val="auto"/>
                      <w:sz w:val="21"/>
                      <w:szCs w:val="21"/>
                      <w:highlight w:val="none"/>
                      <w:u w:val="none" w:color="auto"/>
                      <w:lang w:val="en-US" w:eastAsia="zh-CN"/>
                    </w:rPr>
                    <w:t>181.51m</w:t>
                  </w:r>
                  <w:r>
                    <w:rPr>
                      <w:rFonts w:hint="eastAsia" w:cs="Times New Roman"/>
                      <w:color w:val="auto"/>
                      <w:sz w:val="21"/>
                      <w:szCs w:val="21"/>
                      <w:highlight w:val="none"/>
                      <w:u w:val="none" w:color="auto"/>
                      <w:vertAlign w:val="superscript"/>
                      <w:lang w:val="en-US" w:eastAsia="zh-CN"/>
                    </w:rPr>
                    <w:t>2</w:t>
                  </w:r>
                </w:p>
              </w:tc>
            </w:tr>
            <w:tr w14:paraId="7D7B746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64" w:type="dxa"/>
                  <w:vMerge w:val="continue"/>
                  <w:tcBorders>
                    <w:tl2br w:val="nil"/>
                    <w:tr2bl w:val="nil"/>
                  </w:tcBorders>
                  <w:vAlign w:val="center"/>
                </w:tcPr>
                <w:p w14:paraId="6A6FF912">
                  <w:pPr>
                    <w:pStyle w:val="103"/>
                    <w:rPr>
                      <w:rFonts w:hint="default" w:ascii="Times New Roman" w:hAnsi="Times New Roman" w:eastAsia="宋体" w:cs="Times New Roman"/>
                      <w:color w:val="auto"/>
                      <w:sz w:val="21"/>
                      <w:szCs w:val="21"/>
                      <w:highlight w:val="none"/>
                      <w:u w:val="none" w:color="auto"/>
                      <w:lang w:val="en-US" w:eastAsia="zh-CN"/>
                    </w:rPr>
                  </w:pPr>
                </w:p>
              </w:tc>
              <w:tc>
                <w:tcPr>
                  <w:tcW w:w="1612" w:type="dxa"/>
                  <w:gridSpan w:val="2"/>
                  <w:tcBorders>
                    <w:tl2br w:val="nil"/>
                    <w:tr2bl w:val="nil"/>
                  </w:tcBorders>
                  <w:vAlign w:val="center"/>
                </w:tcPr>
                <w:p w14:paraId="48E0C227">
                  <w:pPr>
                    <w:pStyle w:val="103"/>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储运工程</w:t>
                  </w:r>
                </w:p>
              </w:tc>
              <w:tc>
                <w:tcPr>
                  <w:tcW w:w="1613" w:type="dxa"/>
                  <w:tcBorders>
                    <w:tl2br w:val="nil"/>
                    <w:tr2bl w:val="nil"/>
                  </w:tcBorders>
                  <w:vAlign w:val="center"/>
                </w:tcPr>
                <w:p w14:paraId="5F46C8C6">
                  <w:pPr>
                    <w:pStyle w:val="103"/>
                    <w:rPr>
                      <w:rFonts w:hint="eastAsia"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速冻库</w:t>
                  </w:r>
                </w:p>
              </w:tc>
              <w:tc>
                <w:tcPr>
                  <w:tcW w:w="4368" w:type="dxa"/>
                  <w:gridSpan w:val="2"/>
                  <w:tcBorders>
                    <w:tl2br w:val="nil"/>
                    <w:tr2bl w:val="nil"/>
                  </w:tcBorders>
                  <w:vAlign w:val="center"/>
                </w:tcPr>
                <w:p w14:paraId="0E4183B7">
                  <w:pPr>
                    <w:jc w:val="center"/>
                    <w:rPr>
                      <w:rFonts w:hint="default" w:ascii="Times New Roman" w:hAnsi="Times New Roman" w:eastAsia="宋体" w:cs="Times New Roman"/>
                      <w:color w:val="auto"/>
                      <w:sz w:val="21"/>
                      <w:szCs w:val="21"/>
                      <w:highlight w:val="none"/>
                      <w:u w:val="none" w:color="auto"/>
                    </w:rPr>
                  </w:pPr>
                  <w:r>
                    <w:rPr>
                      <w:rFonts w:hint="eastAsia" w:cs="Times New Roman"/>
                      <w:color w:val="auto"/>
                      <w:sz w:val="21"/>
                      <w:szCs w:val="21"/>
                      <w:highlight w:val="none"/>
                      <w:u w:val="none" w:color="auto"/>
                      <w:lang w:val="en-US" w:eastAsia="zh-CN"/>
                    </w:rPr>
                    <w:t>57.91 m</w:t>
                  </w:r>
                  <w:r>
                    <w:rPr>
                      <w:rFonts w:hint="eastAsia" w:cs="Times New Roman"/>
                      <w:color w:val="auto"/>
                      <w:sz w:val="21"/>
                      <w:szCs w:val="21"/>
                      <w:highlight w:val="none"/>
                      <w:u w:val="none" w:color="auto"/>
                      <w:vertAlign w:val="superscript"/>
                      <w:lang w:val="en-US" w:eastAsia="zh-CN"/>
                    </w:rPr>
                    <w:t>2</w:t>
                  </w:r>
                </w:p>
              </w:tc>
            </w:tr>
            <w:tr w14:paraId="3F248B8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64" w:type="dxa"/>
                  <w:vMerge w:val="continue"/>
                  <w:tcBorders>
                    <w:tl2br w:val="nil"/>
                    <w:tr2bl w:val="nil"/>
                  </w:tcBorders>
                  <w:vAlign w:val="center"/>
                </w:tcPr>
                <w:p w14:paraId="0BB99F1B">
                  <w:pPr>
                    <w:pStyle w:val="103"/>
                    <w:rPr>
                      <w:rFonts w:hint="default" w:ascii="Times New Roman" w:hAnsi="Times New Roman" w:eastAsia="宋体" w:cs="Times New Roman"/>
                      <w:color w:val="auto"/>
                      <w:sz w:val="21"/>
                      <w:szCs w:val="21"/>
                      <w:highlight w:val="none"/>
                      <w:u w:val="none" w:color="auto"/>
                      <w:lang w:val="en-US" w:eastAsia="zh-CN"/>
                    </w:rPr>
                  </w:pPr>
                </w:p>
              </w:tc>
              <w:tc>
                <w:tcPr>
                  <w:tcW w:w="1612" w:type="dxa"/>
                  <w:gridSpan w:val="2"/>
                  <w:vMerge w:val="restart"/>
                  <w:tcBorders>
                    <w:tl2br w:val="nil"/>
                    <w:tr2bl w:val="nil"/>
                  </w:tcBorders>
                  <w:vAlign w:val="center"/>
                </w:tcPr>
                <w:p w14:paraId="777B6742">
                  <w:pPr>
                    <w:pStyle w:val="103"/>
                    <w:rPr>
                      <w:rFonts w:hint="eastAsia"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辅助工程</w:t>
                  </w:r>
                </w:p>
              </w:tc>
              <w:tc>
                <w:tcPr>
                  <w:tcW w:w="1613" w:type="dxa"/>
                  <w:tcBorders>
                    <w:tl2br w:val="nil"/>
                    <w:tr2bl w:val="nil"/>
                  </w:tcBorders>
                  <w:shd w:val="clear" w:color="auto" w:fill="auto"/>
                  <w:vAlign w:val="center"/>
                </w:tcPr>
                <w:p w14:paraId="6121FE6D">
                  <w:pPr>
                    <w:pStyle w:val="103"/>
                    <w:rPr>
                      <w:rFonts w:hint="eastAsia" w:ascii="Times New Roman" w:hAnsi="Times New Roman" w:eastAsia="宋体" w:cs="Times New Roman"/>
                      <w:color w:val="auto"/>
                      <w:kern w:val="0"/>
                      <w:sz w:val="21"/>
                      <w:szCs w:val="21"/>
                      <w:highlight w:val="none"/>
                      <w:u w:val="none" w:color="auto"/>
                      <w:lang w:val="en-US" w:eastAsia="zh-CN" w:bidi="ar-SA"/>
                    </w:rPr>
                  </w:pPr>
                  <w:r>
                    <w:rPr>
                      <w:rFonts w:hint="eastAsia" w:cs="Times New Roman"/>
                      <w:color w:val="auto"/>
                      <w:sz w:val="21"/>
                      <w:szCs w:val="21"/>
                      <w:highlight w:val="none"/>
                      <w:u w:val="none" w:color="auto"/>
                      <w:lang w:val="en-US" w:eastAsia="zh-CN"/>
                    </w:rPr>
                    <w:t>更衣室</w:t>
                  </w:r>
                </w:p>
              </w:tc>
              <w:tc>
                <w:tcPr>
                  <w:tcW w:w="4368" w:type="dxa"/>
                  <w:gridSpan w:val="2"/>
                  <w:tcBorders>
                    <w:tl2br w:val="nil"/>
                    <w:tr2bl w:val="nil"/>
                  </w:tcBorders>
                  <w:shd w:val="clear" w:color="auto" w:fill="auto"/>
                  <w:vAlign w:val="center"/>
                </w:tcPr>
                <w:p w14:paraId="150C7019">
                  <w:pPr>
                    <w:jc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sz w:val="21"/>
                      <w:szCs w:val="21"/>
                      <w:highlight w:val="none"/>
                      <w:u w:val="none" w:color="auto"/>
                      <w:lang w:val="en-US" w:eastAsia="zh-CN"/>
                    </w:rPr>
                    <w:t>四个，占地分别为20m</w:t>
                  </w:r>
                  <w:r>
                    <w:rPr>
                      <w:rFonts w:hint="eastAsia" w:cs="Times New Roman"/>
                      <w:color w:val="auto"/>
                      <w:sz w:val="21"/>
                      <w:szCs w:val="21"/>
                      <w:highlight w:val="none"/>
                      <w:u w:val="none" w:color="auto"/>
                      <w:vertAlign w:val="superscript"/>
                      <w:lang w:val="en-US" w:eastAsia="zh-CN"/>
                    </w:rPr>
                    <w:t>2</w:t>
                  </w:r>
                  <w:r>
                    <w:rPr>
                      <w:rFonts w:hint="eastAsia" w:cs="Times New Roman"/>
                      <w:color w:val="auto"/>
                      <w:sz w:val="21"/>
                      <w:szCs w:val="21"/>
                      <w:highlight w:val="none"/>
                      <w:u w:val="none" w:color="auto"/>
                      <w:lang w:val="en-US" w:eastAsia="zh-CN"/>
                    </w:rPr>
                    <w:t>、16.15m</w:t>
                  </w:r>
                  <w:r>
                    <w:rPr>
                      <w:rFonts w:hint="eastAsia" w:cs="Times New Roman"/>
                      <w:color w:val="auto"/>
                      <w:sz w:val="21"/>
                      <w:szCs w:val="21"/>
                      <w:highlight w:val="none"/>
                      <w:u w:val="none" w:color="auto"/>
                      <w:vertAlign w:val="superscript"/>
                      <w:lang w:val="en-US" w:eastAsia="zh-CN"/>
                    </w:rPr>
                    <w:t>2</w:t>
                  </w:r>
                  <w:r>
                    <w:rPr>
                      <w:rFonts w:hint="eastAsia" w:cs="Times New Roman"/>
                      <w:color w:val="auto"/>
                      <w:sz w:val="21"/>
                      <w:szCs w:val="21"/>
                      <w:highlight w:val="none"/>
                      <w:u w:val="none" w:color="auto"/>
                      <w:lang w:val="en-US" w:eastAsia="zh-CN"/>
                    </w:rPr>
                    <w:t>、9.29m</w:t>
                  </w:r>
                  <w:r>
                    <w:rPr>
                      <w:rFonts w:hint="eastAsia" w:cs="Times New Roman"/>
                      <w:color w:val="auto"/>
                      <w:sz w:val="21"/>
                      <w:szCs w:val="21"/>
                      <w:highlight w:val="none"/>
                      <w:u w:val="none" w:color="auto"/>
                      <w:vertAlign w:val="superscript"/>
                      <w:lang w:val="en-US" w:eastAsia="zh-CN"/>
                    </w:rPr>
                    <w:t>2</w:t>
                  </w:r>
                  <w:r>
                    <w:rPr>
                      <w:rFonts w:hint="eastAsia" w:cs="Times New Roman"/>
                      <w:color w:val="auto"/>
                      <w:sz w:val="21"/>
                      <w:szCs w:val="21"/>
                      <w:highlight w:val="none"/>
                      <w:u w:val="none" w:color="auto"/>
                      <w:lang w:val="en-US" w:eastAsia="zh-CN"/>
                    </w:rPr>
                    <w:t>、19.58m</w:t>
                  </w:r>
                  <w:r>
                    <w:rPr>
                      <w:rFonts w:hint="eastAsia" w:cs="Times New Roman"/>
                      <w:color w:val="auto"/>
                      <w:sz w:val="21"/>
                      <w:szCs w:val="21"/>
                      <w:highlight w:val="none"/>
                      <w:u w:val="none" w:color="auto"/>
                      <w:vertAlign w:val="superscript"/>
                      <w:lang w:val="en-US" w:eastAsia="zh-CN"/>
                    </w:rPr>
                    <w:t>2</w:t>
                  </w:r>
                </w:p>
              </w:tc>
            </w:tr>
            <w:tr w14:paraId="765FB9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64" w:type="dxa"/>
                  <w:vMerge w:val="continue"/>
                  <w:tcBorders>
                    <w:tl2br w:val="nil"/>
                    <w:tr2bl w:val="nil"/>
                  </w:tcBorders>
                  <w:vAlign w:val="center"/>
                </w:tcPr>
                <w:p w14:paraId="39621D12">
                  <w:pPr>
                    <w:pStyle w:val="103"/>
                    <w:rPr>
                      <w:rFonts w:hint="default" w:ascii="Times New Roman" w:hAnsi="Times New Roman" w:eastAsia="宋体" w:cs="Times New Roman"/>
                      <w:color w:val="auto"/>
                      <w:sz w:val="21"/>
                      <w:szCs w:val="21"/>
                      <w:highlight w:val="none"/>
                      <w:u w:val="none" w:color="auto"/>
                      <w:lang w:val="en-US" w:eastAsia="zh-CN"/>
                    </w:rPr>
                  </w:pPr>
                </w:p>
              </w:tc>
              <w:tc>
                <w:tcPr>
                  <w:tcW w:w="1612" w:type="dxa"/>
                  <w:gridSpan w:val="2"/>
                  <w:vMerge w:val="continue"/>
                  <w:tcBorders>
                    <w:tl2br w:val="nil"/>
                    <w:tr2bl w:val="nil"/>
                  </w:tcBorders>
                  <w:vAlign w:val="center"/>
                </w:tcPr>
                <w:p w14:paraId="5B351BEB">
                  <w:pPr>
                    <w:pStyle w:val="103"/>
                    <w:rPr>
                      <w:rFonts w:hint="eastAsia" w:cs="Times New Roman"/>
                      <w:color w:val="auto"/>
                      <w:sz w:val="21"/>
                      <w:szCs w:val="21"/>
                      <w:highlight w:val="none"/>
                      <w:u w:val="none" w:color="auto"/>
                      <w:lang w:val="en-US" w:eastAsia="zh-CN"/>
                    </w:rPr>
                  </w:pPr>
                </w:p>
              </w:tc>
              <w:tc>
                <w:tcPr>
                  <w:tcW w:w="1613" w:type="dxa"/>
                  <w:tcBorders>
                    <w:tl2br w:val="nil"/>
                    <w:tr2bl w:val="nil"/>
                  </w:tcBorders>
                  <w:shd w:val="clear" w:color="auto" w:fill="auto"/>
                  <w:vAlign w:val="center"/>
                </w:tcPr>
                <w:p w14:paraId="0C97DAFD">
                  <w:pPr>
                    <w:pStyle w:val="103"/>
                    <w:rPr>
                      <w:rFonts w:hint="eastAsia" w:ascii="Times New Roman" w:hAnsi="Times New Roman" w:eastAsia="宋体" w:cs="Times New Roman"/>
                      <w:color w:val="auto"/>
                      <w:kern w:val="0"/>
                      <w:sz w:val="21"/>
                      <w:szCs w:val="21"/>
                      <w:highlight w:val="none"/>
                      <w:u w:val="none" w:color="auto"/>
                      <w:lang w:val="en-US" w:eastAsia="zh-CN" w:bidi="ar-SA"/>
                    </w:rPr>
                  </w:pPr>
                  <w:r>
                    <w:rPr>
                      <w:rFonts w:hint="eastAsia" w:cs="Times New Roman"/>
                      <w:color w:val="auto"/>
                      <w:sz w:val="21"/>
                      <w:szCs w:val="21"/>
                      <w:highlight w:val="none"/>
                      <w:u w:val="none" w:color="auto"/>
                      <w:lang w:val="en-US" w:eastAsia="zh-CN"/>
                    </w:rPr>
                    <w:t>换鞋间</w:t>
                  </w:r>
                </w:p>
              </w:tc>
              <w:tc>
                <w:tcPr>
                  <w:tcW w:w="4368" w:type="dxa"/>
                  <w:gridSpan w:val="2"/>
                  <w:tcBorders>
                    <w:tl2br w:val="nil"/>
                    <w:tr2bl w:val="nil"/>
                  </w:tcBorders>
                  <w:shd w:val="clear" w:color="auto" w:fill="auto"/>
                  <w:vAlign w:val="center"/>
                </w:tcPr>
                <w:p w14:paraId="6B6A35E3">
                  <w:pPr>
                    <w:jc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sz w:val="21"/>
                      <w:szCs w:val="21"/>
                      <w:highlight w:val="none"/>
                      <w:u w:val="none" w:color="auto"/>
                      <w:lang w:val="en-US" w:eastAsia="zh-CN"/>
                    </w:rPr>
                    <w:t>两个，占地分别为19.52m</w:t>
                  </w:r>
                  <w:r>
                    <w:rPr>
                      <w:rFonts w:hint="eastAsia" w:cs="Times New Roman"/>
                      <w:color w:val="auto"/>
                      <w:sz w:val="21"/>
                      <w:szCs w:val="21"/>
                      <w:highlight w:val="none"/>
                      <w:u w:val="none" w:color="auto"/>
                      <w:vertAlign w:val="superscript"/>
                      <w:lang w:val="en-US" w:eastAsia="zh-CN"/>
                    </w:rPr>
                    <w:t>2</w:t>
                  </w:r>
                  <w:r>
                    <w:rPr>
                      <w:rFonts w:hint="eastAsia" w:cs="Times New Roman"/>
                      <w:color w:val="auto"/>
                      <w:sz w:val="21"/>
                      <w:szCs w:val="21"/>
                      <w:highlight w:val="none"/>
                      <w:u w:val="none" w:color="auto"/>
                      <w:lang w:val="en-US" w:eastAsia="zh-CN"/>
                    </w:rPr>
                    <w:t>、12.37m</w:t>
                  </w:r>
                  <w:r>
                    <w:rPr>
                      <w:rFonts w:hint="eastAsia" w:cs="Times New Roman"/>
                      <w:color w:val="auto"/>
                      <w:sz w:val="21"/>
                      <w:szCs w:val="21"/>
                      <w:highlight w:val="none"/>
                      <w:u w:val="none" w:color="auto"/>
                      <w:vertAlign w:val="superscript"/>
                      <w:lang w:val="en-US" w:eastAsia="zh-CN"/>
                    </w:rPr>
                    <w:t>2</w:t>
                  </w:r>
                </w:p>
              </w:tc>
            </w:tr>
            <w:tr w14:paraId="028699D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64" w:type="dxa"/>
                  <w:vMerge w:val="continue"/>
                  <w:tcBorders>
                    <w:bottom w:val="single" w:color="auto" w:sz="4" w:space="0"/>
                    <w:tl2br w:val="nil"/>
                    <w:tr2bl w:val="nil"/>
                  </w:tcBorders>
                  <w:vAlign w:val="center"/>
                </w:tcPr>
                <w:p w14:paraId="60B0CD3C">
                  <w:pPr>
                    <w:pStyle w:val="103"/>
                    <w:rPr>
                      <w:rFonts w:hint="default" w:ascii="Times New Roman" w:hAnsi="Times New Roman" w:eastAsia="宋体" w:cs="Times New Roman"/>
                      <w:color w:val="auto"/>
                      <w:sz w:val="21"/>
                      <w:szCs w:val="21"/>
                      <w:highlight w:val="none"/>
                      <w:u w:val="none" w:color="auto"/>
                      <w:lang w:val="en-US" w:eastAsia="zh-CN"/>
                    </w:rPr>
                  </w:pPr>
                </w:p>
              </w:tc>
              <w:tc>
                <w:tcPr>
                  <w:tcW w:w="1612" w:type="dxa"/>
                  <w:gridSpan w:val="2"/>
                  <w:vMerge w:val="continue"/>
                  <w:tcBorders>
                    <w:tl2br w:val="nil"/>
                    <w:tr2bl w:val="nil"/>
                  </w:tcBorders>
                  <w:vAlign w:val="center"/>
                </w:tcPr>
                <w:p w14:paraId="0F3DDCE9">
                  <w:pPr>
                    <w:pStyle w:val="103"/>
                    <w:rPr>
                      <w:rFonts w:hint="eastAsia" w:cs="Times New Roman"/>
                      <w:color w:val="auto"/>
                      <w:sz w:val="21"/>
                      <w:szCs w:val="21"/>
                      <w:highlight w:val="none"/>
                      <w:u w:val="none" w:color="auto"/>
                      <w:lang w:val="en-US" w:eastAsia="zh-CN"/>
                    </w:rPr>
                  </w:pPr>
                </w:p>
              </w:tc>
              <w:tc>
                <w:tcPr>
                  <w:tcW w:w="1613" w:type="dxa"/>
                  <w:tcBorders>
                    <w:tl2br w:val="nil"/>
                    <w:tr2bl w:val="nil"/>
                  </w:tcBorders>
                  <w:shd w:val="clear" w:color="auto" w:fill="auto"/>
                  <w:vAlign w:val="center"/>
                </w:tcPr>
                <w:p w14:paraId="3C7603F1">
                  <w:pPr>
                    <w:pStyle w:val="103"/>
                    <w:rPr>
                      <w:rFonts w:hint="eastAsia" w:ascii="Times New Roman" w:hAnsi="Times New Roman" w:eastAsia="宋体" w:cs="Times New Roman"/>
                      <w:color w:val="auto"/>
                      <w:kern w:val="0"/>
                      <w:sz w:val="21"/>
                      <w:szCs w:val="21"/>
                      <w:highlight w:val="none"/>
                      <w:u w:val="none" w:color="auto"/>
                      <w:lang w:val="en-US" w:eastAsia="zh-CN" w:bidi="ar-SA"/>
                    </w:rPr>
                  </w:pPr>
                  <w:r>
                    <w:rPr>
                      <w:rFonts w:hint="eastAsia" w:cs="Times New Roman"/>
                      <w:color w:val="auto"/>
                      <w:sz w:val="21"/>
                      <w:szCs w:val="21"/>
                      <w:highlight w:val="none"/>
                      <w:u w:val="none" w:color="auto"/>
                      <w:lang w:val="en-US" w:eastAsia="zh-CN"/>
                    </w:rPr>
                    <w:t>手消室</w:t>
                  </w:r>
                </w:p>
              </w:tc>
              <w:tc>
                <w:tcPr>
                  <w:tcW w:w="4368" w:type="dxa"/>
                  <w:gridSpan w:val="2"/>
                  <w:tcBorders>
                    <w:tl2br w:val="nil"/>
                    <w:tr2bl w:val="nil"/>
                  </w:tcBorders>
                  <w:shd w:val="clear" w:color="auto" w:fill="auto"/>
                  <w:vAlign w:val="center"/>
                </w:tcPr>
                <w:p w14:paraId="70A2AC96">
                  <w:pPr>
                    <w:jc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sz w:val="21"/>
                      <w:szCs w:val="21"/>
                      <w:highlight w:val="none"/>
                      <w:u w:val="none" w:color="auto"/>
                      <w:lang w:val="en-US" w:eastAsia="zh-CN"/>
                    </w:rPr>
                    <w:t>两个，占地分别为21.76m</w:t>
                  </w:r>
                  <w:r>
                    <w:rPr>
                      <w:rFonts w:hint="eastAsia" w:cs="Times New Roman"/>
                      <w:color w:val="auto"/>
                      <w:sz w:val="21"/>
                      <w:szCs w:val="21"/>
                      <w:highlight w:val="none"/>
                      <w:u w:val="none" w:color="auto"/>
                      <w:vertAlign w:val="superscript"/>
                      <w:lang w:val="en-US" w:eastAsia="zh-CN"/>
                    </w:rPr>
                    <w:t>2</w:t>
                  </w:r>
                  <w:r>
                    <w:rPr>
                      <w:rFonts w:hint="eastAsia" w:cs="Times New Roman"/>
                      <w:color w:val="auto"/>
                      <w:sz w:val="21"/>
                      <w:szCs w:val="21"/>
                      <w:highlight w:val="none"/>
                      <w:u w:val="none" w:color="auto"/>
                      <w:lang w:val="en-US" w:eastAsia="zh-CN"/>
                    </w:rPr>
                    <w:t>、22.7m</w:t>
                  </w:r>
                  <w:r>
                    <w:rPr>
                      <w:rFonts w:hint="eastAsia" w:cs="Times New Roman"/>
                      <w:color w:val="auto"/>
                      <w:sz w:val="21"/>
                      <w:szCs w:val="21"/>
                      <w:highlight w:val="none"/>
                      <w:u w:val="none" w:color="auto"/>
                      <w:vertAlign w:val="superscript"/>
                      <w:lang w:val="en-US" w:eastAsia="zh-CN"/>
                    </w:rPr>
                    <w:t>2</w:t>
                  </w:r>
                </w:p>
              </w:tc>
            </w:tr>
            <w:tr w14:paraId="78FEB70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64" w:type="dxa"/>
                  <w:vMerge w:val="restart"/>
                  <w:tcBorders>
                    <w:tl2br w:val="nil"/>
                    <w:tr2bl w:val="nil"/>
                  </w:tcBorders>
                  <w:vAlign w:val="center"/>
                </w:tcPr>
                <w:p w14:paraId="04BE7894">
                  <w:pPr>
                    <w:pStyle w:val="103"/>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豆制品车间</w:t>
                  </w:r>
                </w:p>
              </w:tc>
              <w:tc>
                <w:tcPr>
                  <w:tcW w:w="1612" w:type="dxa"/>
                  <w:gridSpan w:val="2"/>
                  <w:vMerge w:val="restart"/>
                  <w:tcBorders>
                    <w:tl2br w:val="nil"/>
                    <w:tr2bl w:val="nil"/>
                  </w:tcBorders>
                  <w:vAlign w:val="center"/>
                </w:tcPr>
                <w:p w14:paraId="5B4DABC0">
                  <w:pPr>
                    <w:pStyle w:val="103"/>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主体工程</w:t>
                  </w:r>
                </w:p>
              </w:tc>
              <w:tc>
                <w:tcPr>
                  <w:tcW w:w="1613" w:type="dxa"/>
                  <w:tcBorders>
                    <w:tl2br w:val="nil"/>
                    <w:tr2bl w:val="nil"/>
                  </w:tcBorders>
                  <w:shd w:val="clear" w:color="auto" w:fill="auto"/>
                  <w:vAlign w:val="center"/>
                </w:tcPr>
                <w:p w14:paraId="09A2A859">
                  <w:pPr>
                    <w:pStyle w:val="103"/>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生产区</w:t>
                  </w:r>
                </w:p>
              </w:tc>
              <w:tc>
                <w:tcPr>
                  <w:tcW w:w="4368" w:type="dxa"/>
                  <w:gridSpan w:val="2"/>
                  <w:tcBorders>
                    <w:tl2br w:val="nil"/>
                    <w:tr2bl w:val="nil"/>
                  </w:tcBorders>
                  <w:shd w:val="clear" w:color="auto" w:fill="auto"/>
                  <w:vAlign w:val="center"/>
                </w:tcPr>
                <w:p w14:paraId="0927514D">
                  <w:pPr>
                    <w:jc w:val="center"/>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主要包括浸泡漂洗、粉碎、洗浆、煮浆、点卤、定性、晾干，占地面积3200m</w:t>
                  </w:r>
                  <w:r>
                    <w:rPr>
                      <w:rFonts w:hint="eastAsia" w:cs="Times New Roman"/>
                      <w:color w:val="auto"/>
                      <w:sz w:val="21"/>
                      <w:szCs w:val="21"/>
                      <w:highlight w:val="none"/>
                      <w:u w:val="none" w:color="auto"/>
                      <w:vertAlign w:val="superscript"/>
                      <w:lang w:val="en-US" w:eastAsia="zh-CN"/>
                    </w:rPr>
                    <w:t>2</w:t>
                  </w:r>
                </w:p>
              </w:tc>
            </w:tr>
            <w:tr w14:paraId="6AC193B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64" w:type="dxa"/>
                  <w:vMerge w:val="continue"/>
                  <w:tcBorders>
                    <w:tl2br w:val="nil"/>
                    <w:tr2bl w:val="nil"/>
                  </w:tcBorders>
                  <w:vAlign w:val="center"/>
                </w:tcPr>
                <w:p w14:paraId="62051CBF">
                  <w:pPr>
                    <w:pStyle w:val="103"/>
                    <w:rPr>
                      <w:rFonts w:hint="default" w:ascii="Times New Roman" w:hAnsi="Times New Roman" w:eastAsia="宋体" w:cs="Times New Roman"/>
                      <w:color w:val="auto"/>
                      <w:sz w:val="21"/>
                      <w:szCs w:val="21"/>
                      <w:highlight w:val="none"/>
                      <w:u w:val="none" w:color="auto"/>
                      <w:lang w:val="en-US" w:eastAsia="zh-CN"/>
                    </w:rPr>
                  </w:pPr>
                </w:p>
              </w:tc>
              <w:tc>
                <w:tcPr>
                  <w:tcW w:w="1612" w:type="dxa"/>
                  <w:gridSpan w:val="2"/>
                  <w:vMerge w:val="continue"/>
                  <w:tcBorders>
                    <w:tl2br w:val="nil"/>
                    <w:tr2bl w:val="nil"/>
                  </w:tcBorders>
                  <w:vAlign w:val="center"/>
                </w:tcPr>
                <w:p w14:paraId="0CAC4B4F">
                  <w:pPr>
                    <w:pStyle w:val="103"/>
                    <w:rPr>
                      <w:rFonts w:hint="eastAsia" w:cs="Times New Roman"/>
                      <w:color w:val="auto"/>
                      <w:sz w:val="21"/>
                      <w:szCs w:val="21"/>
                      <w:highlight w:val="none"/>
                      <w:u w:val="none" w:color="auto"/>
                      <w:lang w:val="en-US" w:eastAsia="zh-CN"/>
                    </w:rPr>
                  </w:pPr>
                </w:p>
              </w:tc>
              <w:tc>
                <w:tcPr>
                  <w:tcW w:w="1613" w:type="dxa"/>
                  <w:tcBorders>
                    <w:tl2br w:val="nil"/>
                    <w:tr2bl w:val="nil"/>
                  </w:tcBorders>
                  <w:shd w:val="clear" w:color="auto" w:fill="auto"/>
                  <w:vAlign w:val="center"/>
                </w:tcPr>
                <w:p w14:paraId="4FB11F95">
                  <w:pPr>
                    <w:pStyle w:val="103"/>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油炸车间</w:t>
                  </w:r>
                </w:p>
              </w:tc>
              <w:tc>
                <w:tcPr>
                  <w:tcW w:w="4368" w:type="dxa"/>
                  <w:gridSpan w:val="2"/>
                  <w:tcBorders>
                    <w:tl2br w:val="nil"/>
                    <w:tr2bl w:val="nil"/>
                  </w:tcBorders>
                  <w:shd w:val="clear" w:color="auto" w:fill="auto"/>
                  <w:vAlign w:val="center"/>
                </w:tcPr>
                <w:p w14:paraId="1CF7F5A9">
                  <w:pPr>
                    <w:jc w:val="center"/>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128m</w:t>
                  </w:r>
                  <w:r>
                    <w:rPr>
                      <w:rFonts w:hint="eastAsia" w:cs="Times New Roman"/>
                      <w:color w:val="auto"/>
                      <w:sz w:val="21"/>
                      <w:szCs w:val="21"/>
                      <w:highlight w:val="none"/>
                      <w:u w:val="none" w:color="auto"/>
                      <w:vertAlign w:val="superscript"/>
                      <w:lang w:val="en-US" w:eastAsia="zh-CN"/>
                    </w:rPr>
                    <w:t>2</w:t>
                  </w:r>
                </w:p>
              </w:tc>
            </w:tr>
            <w:tr w14:paraId="1594F96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64" w:type="dxa"/>
                  <w:vMerge w:val="continue"/>
                  <w:tcBorders>
                    <w:tl2br w:val="nil"/>
                    <w:tr2bl w:val="nil"/>
                  </w:tcBorders>
                  <w:vAlign w:val="center"/>
                </w:tcPr>
                <w:p w14:paraId="5AA7B491">
                  <w:pPr>
                    <w:pStyle w:val="103"/>
                    <w:rPr>
                      <w:rFonts w:hint="default" w:ascii="Times New Roman" w:hAnsi="Times New Roman" w:eastAsia="宋体" w:cs="Times New Roman"/>
                      <w:color w:val="auto"/>
                      <w:sz w:val="21"/>
                      <w:szCs w:val="21"/>
                      <w:highlight w:val="none"/>
                      <w:u w:val="none" w:color="auto"/>
                      <w:lang w:val="en-US" w:eastAsia="zh-CN"/>
                    </w:rPr>
                  </w:pPr>
                </w:p>
              </w:tc>
              <w:tc>
                <w:tcPr>
                  <w:tcW w:w="1612" w:type="dxa"/>
                  <w:gridSpan w:val="2"/>
                  <w:vMerge w:val="continue"/>
                  <w:tcBorders>
                    <w:tl2br w:val="nil"/>
                    <w:tr2bl w:val="nil"/>
                  </w:tcBorders>
                  <w:vAlign w:val="center"/>
                </w:tcPr>
                <w:p w14:paraId="1AB0EB86">
                  <w:pPr>
                    <w:pStyle w:val="103"/>
                    <w:rPr>
                      <w:rFonts w:hint="default" w:cs="Times New Roman"/>
                      <w:color w:val="auto"/>
                      <w:sz w:val="21"/>
                      <w:szCs w:val="21"/>
                      <w:highlight w:val="none"/>
                      <w:u w:val="none" w:color="auto"/>
                      <w:lang w:val="en-US" w:eastAsia="zh-CN"/>
                    </w:rPr>
                  </w:pPr>
                </w:p>
              </w:tc>
              <w:tc>
                <w:tcPr>
                  <w:tcW w:w="1613" w:type="dxa"/>
                  <w:tcBorders>
                    <w:tl2br w:val="nil"/>
                    <w:tr2bl w:val="nil"/>
                  </w:tcBorders>
                  <w:shd w:val="clear" w:color="auto" w:fill="auto"/>
                  <w:vAlign w:val="center"/>
                </w:tcPr>
                <w:p w14:paraId="1769F0F7">
                  <w:pPr>
                    <w:pStyle w:val="103"/>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解包间</w:t>
                  </w:r>
                </w:p>
              </w:tc>
              <w:tc>
                <w:tcPr>
                  <w:tcW w:w="4368" w:type="dxa"/>
                  <w:gridSpan w:val="2"/>
                  <w:tcBorders>
                    <w:tl2br w:val="nil"/>
                    <w:tr2bl w:val="nil"/>
                  </w:tcBorders>
                  <w:shd w:val="clear" w:color="auto" w:fill="auto"/>
                  <w:vAlign w:val="center"/>
                </w:tcPr>
                <w:p w14:paraId="65B9139B">
                  <w:pPr>
                    <w:jc w:val="center"/>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20m</w:t>
                  </w:r>
                  <w:r>
                    <w:rPr>
                      <w:rFonts w:hint="eastAsia" w:cs="Times New Roman"/>
                      <w:color w:val="auto"/>
                      <w:sz w:val="21"/>
                      <w:szCs w:val="21"/>
                      <w:highlight w:val="none"/>
                      <w:u w:val="none" w:color="auto"/>
                      <w:vertAlign w:val="superscript"/>
                      <w:lang w:val="en-US" w:eastAsia="zh-CN"/>
                    </w:rPr>
                    <w:t>2</w:t>
                  </w:r>
                </w:p>
              </w:tc>
            </w:tr>
            <w:tr w14:paraId="3AFC865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64" w:type="dxa"/>
                  <w:vMerge w:val="continue"/>
                  <w:tcBorders>
                    <w:tl2br w:val="nil"/>
                    <w:tr2bl w:val="nil"/>
                  </w:tcBorders>
                  <w:vAlign w:val="center"/>
                </w:tcPr>
                <w:p w14:paraId="712B4EBD">
                  <w:pPr>
                    <w:pStyle w:val="103"/>
                    <w:rPr>
                      <w:rFonts w:hint="default" w:ascii="Times New Roman" w:hAnsi="Times New Roman" w:eastAsia="宋体" w:cs="Times New Roman"/>
                      <w:color w:val="auto"/>
                      <w:sz w:val="21"/>
                      <w:szCs w:val="21"/>
                      <w:highlight w:val="none"/>
                      <w:u w:val="none" w:color="auto"/>
                      <w:lang w:val="en-US" w:eastAsia="zh-CN"/>
                    </w:rPr>
                  </w:pPr>
                </w:p>
              </w:tc>
              <w:tc>
                <w:tcPr>
                  <w:tcW w:w="1612" w:type="dxa"/>
                  <w:gridSpan w:val="2"/>
                  <w:vMerge w:val="continue"/>
                  <w:tcBorders>
                    <w:tl2br w:val="nil"/>
                    <w:tr2bl w:val="nil"/>
                  </w:tcBorders>
                  <w:vAlign w:val="center"/>
                </w:tcPr>
                <w:p w14:paraId="6BB52CB2">
                  <w:pPr>
                    <w:pStyle w:val="103"/>
                    <w:rPr>
                      <w:rFonts w:hint="eastAsia" w:cs="Times New Roman"/>
                      <w:color w:val="auto"/>
                      <w:sz w:val="21"/>
                      <w:szCs w:val="21"/>
                      <w:highlight w:val="none"/>
                      <w:u w:val="none" w:color="auto"/>
                      <w:lang w:val="en-US" w:eastAsia="zh-CN"/>
                    </w:rPr>
                  </w:pPr>
                </w:p>
              </w:tc>
              <w:tc>
                <w:tcPr>
                  <w:tcW w:w="1613" w:type="dxa"/>
                  <w:tcBorders>
                    <w:tl2br w:val="nil"/>
                    <w:tr2bl w:val="nil"/>
                  </w:tcBorders>
                  <w:shd w:val="clear" w:color="auto" w:fill="auto"/>
                  <w:vAlign w:val="center"/>
                </w:tcPr>
                <w:p w14:paraId="2BD389D8">
                  <w:pPr>
                    <w:pStyle w:val="103"/>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配料间</w:t>
                  </w:r>
                </w:p>
              </w:tc>
              <w:tc>
                <w:tcPr>
                  <w:tcW w:w="4368" w:type="dxa"/>
                  <w:gridSpan w:val="2"/>
                  <w:tcBorders>
                    <w:tl2br w:val="nil"/>
                    <w:tr2bl w:val="nil"/>
                  </w:tcBorders>
                  <w:shd w:val="clear" w:color="auto" w:fill="auto"/>
                  <w:vAlign w:val="center"/>
                </w:tcPr>
                <w:p w14:paraId="1A029FD9">
                  <w:pPr>
                    <w:jc w:val="center"/>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18m</w:t>
                  </w:r>
                  <w:r>
                    <w:rPr>
                      <w:rFonts w:hint="eastAsia" w:cs="Times New Roman"/>
                      <w:color w:val="auto"/>
                      <w:sz w:val="21"/>
                      <w:szCs w:val="21"/>
                      <w:highlight w:val="none"/>
                      <w:u w:val="none" w:color="auto"/>
                      <w:vertAlign w:val="superscript"/>
                      <w:lang w:val="en-US" w:eastAsia="zh-CN"/>
                    </w:rPr>
                    <w:t>2</w:t>
                  </w:r>
                </w:p>
              </w:tc>
            </w:tr>
            <w:tr w14:paraId="1F2488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64" w:type="dxa"/>
                  <w:vMerge w:val="continue"/>
                  <w:tcBorders>
                    <w:tl2br w:val="nil"/>
                    <w:tr2bl w:val="nil"/>
                  </w:tcBorders>
                  <w:vAlign w:val="center"/>
                </w:tcPr>
                <w:p w14:paraId="2B0531A9">
                  <w:pPr>
                    <w:pStyle w:val="103"/>
                    <w:rPr>
                      <w:rFonts w:hint="default" w:ascii="Times New Roman" w:hAnsi="Times New Roman" w:eastAsia="宋体" w:cs="Times New Roman"/>
                      <w:color w:val="auto"/>
                      <w:sz w:val="21"/>
                      <w:szCs w:val="21"/>
                      <w:highlight w:val="none"/>
                      <w:u w:val="none" w:color="auto"/>
                      <w:lang w:val="en-US" w:eastAsia="zh-CN"/>
                    </w:rPr>
                  </w:pPr>
                </w:p>
              </w:tc>
              <w:tc>
                <w:tcPr>
                  <w:tcW w:w="1612" w:type="dxa"/>
                  <w:gridSpan w:val="2"/>
                  <w:vMerge w:val="continue"/>
                  <w:tcBorders>
                    <w:tl2br w:val="nil"/>
                    <w:tr2bl w:val="nil"/>
                  </w:tcBorders>
                  <w:vAlign w:val="center"/>
                </w:tcPr>
                <w:p w14:paraId="66950BB7">
                  <w:pPr>
                    <w:pStyle w:val="103"/>
                    <w:rPr>
                      <w:rFonts w:hint="eastAsia" w:cs="Times New Roman"/>
                      <w:color w:val="auto"/>
                      <w:sz w:val="21"/>
                      <w:szCs w:val="21"/>
                      <w:highlight w:val="none"/>
                      <w:u w:val="none" w:color="auto"/>
                      <w:lang w:val="en-US" w:eastAsia="zh-CN"/>
                    </w:rPr>
                  </w:pPr>
                </w:p>
              </w:tc>
              <w:tc>
                <w:tcPr>
                  <w:tcW w:w="1613" w:type="dxa"/>
                  <w:tcBorders>
                    <w:tl2br w:val="nil"/>
                    <w:tr2bl w:val="nil"/>
                  </w:tcBorders>
                  <w:shd w:val="clear" w:color="auto" w:fill="auto"/>
                  <w:vAlign w:val="center"/>
                </w:tcPr>
                <w:p w14:paraId="6C830F3D">
                  <w:pPr>
                    <w:pStyle w:val="103"/>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冷却外包间</w:t>
                  </w:r>
                </w:p>
              </w:tc>
              <w:tc>
                <w:tcPr>
                  <w:tcW w:w="4368" w:type="dxa"/>
                  <w:gridSpan w:val="2"/>
                  <w:tcBorders>
                    <w:tl2br w:val="nil"/>
                    <w:tr2bl w:val="nil"/>
                  </w:tcBorders>
                  <w:shd w:val="clear" w:color="auto" w:fill="auto"/>
                  <w:vAlign w:val="center"/>
                </w:tcPr>
                <w:p w14:paraId="64A1CA1F">
                  <w:pPr>
                    <w:jc w:val="center"/>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56m</w:t>
                  </w:r>
                  <w:r>
                    <w:rPr>
                      <w:rFonts w:hint="eastAsia" w:cs="Times New Roman"/>
                      <w:color w:val="auto"/>
                      <w:sz w:val="21"/>
                      <w:szCs w:val="21"/>
                      <w:highlight w:val="none"/>
                      <w:u w:val="none" w:color="auto"/>
                      <w:vertAlign w:val="superscript"/>
                      <w:lang w:val="en-US" w:eastAsia="zh-CN"/>
                    </w:rPr>
                    <w:t>2</w:t>
                  </w:r>
                </w:p>
              </w:tc>
            </w:tr>
            <w:tr w14:paraId="04A5935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64" w:type="dxa"/>
                  <w:vMerge w:val="continue"/>
                  <w:tcBorders>
                    <w:tl2br w:val="nil"/>
                    <w:tr2bl w:val="nil"/>
                  </w:tcBorders>
                  <w:vAlign w:val="center"/>
                </w:tcPr>
                <w:p w14:paraId="1215CDEA">
                  <w:pPr>
                    <w:pStyle w:val="103"/>
                    <w:rPr>
                      <w:rFonts w:hint="default" w:ascii="Times New Roman" w:hAnsi="Times New Roman" w:eastAsia="宋体" w:cs="Times New Roman"/>
                      <w:color w:val="auto"/>
                      <w:sz w:val="21"/>
                      <w:szCs w:val="21"/>
                      <w:highlight w:val="none"/>
                      <w:u w:val="none" w:color="auto"/>
                      <w:lang w:val="en-US" w:eastAsia="zh-CN"/>
                    </w:rPr>
                  </w:pPr>
                </w:p>
              </w:tc>
              <w:tc>
                <w:tcPr>
                  <w:tcW w:w="1612" w:type="dxa"/>
                  <w:gridSpan w:val="2"/>
                  <w:vMerge w:val="restart"/>
                  <w:tcBorders>
                    <w:tl2br w:val="nil"/>
                    <w:tr2bl w:val="nil"/>
                  </w:tcBorders>
                  <w:vAlign w:val="center"/>
                </w:tcPr>
                <w:p w14:paraId="7C2C919D">
                  <w:pPr>
                    <w:pStyle w:val="103"/>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储运工程</w:t>
                  </w:r>
                </w:p>
              </w:tc>
              <w:tc>
                <w:tcPr>
                  <w:tcW w:w="1613" w:type="dxa"/>
                  <w:tcBorders>
                    <w:tl2br w:val="nil"/>
                    <w:tr2bl w:val="nil"/>
                  </w:tcBorders>
                  <w:shd w:val="clear" w:color="auto" w:fill="auto"/>
                  <w:vAlign w:val="center"/>
                </w:tcPr>
                <w:p w14:paraId="7DB51D7E">
                  <w:pPr>
                    <w:pStyle w:val="103"/>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原料库</w:t>
                  </w:r>
                </w:p>
              </w:tc>
              <w:tc>
                <w:tcPr>
                  <w:tcW w:w="4368" w:type="dxa"/>
                  <w:gridSpan w:val="2"/>
                  <w:tcBorders>
                    <w:tl2br w:val="nil"/>
                    <w:tr2bl w:val="nil"/>
                  </w:tcBorders>
                  <w:shd w:val="clear" w:color="auto" w:fill="auto"/>
                  <w:vAlign w:val="center"/>
                </w:tcPr>
                <w:p w14:paraId="4AC1F55F">
                  <w:pPr>
                    <w:jc w:val="center"/>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64m</w:t>
                  </w:r>
                  <w:r>
                    <w:rPr>
                      <w:rFonts w:hint="eastAsia" w:cs="Times New Roman"/>
                      <w:color w:val="auto"/>
                      <w:sz w:val="21"/>
                      <w:szCs w:val="21"/>
                      <w:highlight w:val="none"/>
                      <w:u w:val="none" w:color="auto"/>
                      <w:vertAlign w:val="superscript"/>
                      <w:lang w:val="en-US" w:eastAsia="zh-CN"/>
                    </w:rPr>
                    <w:t>2</w:t>
                  </w:r>
                </w:p>
              </w:tc>
            </w:tr>
            <w:tr w14:paraId="1852185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64" w:type="dxa"/>
                  <w:vMerge w:val="continue"/>
                  <w:tcBorders>
                    <w:tl2br w:val="nil"/>
                    <w:tr2bl w:val="nil"/>
                  </w:tcBorders>
                  <w:vAlign w:val="center"/>
                </w:tcPr>
                <w:p w14:paraId="77CAC334">
                  <w:pPr>
                    <w:pStyle w:val="103"/>
                    <w:rPr>
                      <w:rFonts w:hint="default" w:ascii="Times New Roman" w:hAnsi="Times New Roman" w:eastAsia="宋体" w:cs="Times New Roman"/>
                      <w:color w:val="auto"/>
                      <w:sz w:val="21"/>
                      <w:szCs w:val="21"/>
                      <w:highlight w:val="none"/>
                      <w:u w:val="none" w:color="auto"/>
                      <w:lang w:val="en-US" w:eastAsia="zh-CN"/>
                    </w:rPr>
                  </w:pPr>
                </w:p>
              </w:tc>
              <w:tc>
                <w:tcPr>
                  <w:tcW w:w="1612" w:type="dxa"/>
                  <w:gridSpan w:val="2"/>
                  <w:vMerge w:val="continue"/>
                  <w:tcBorders>
                    <w:tl2br w:val="nil"/>
                    <w:tr2bl w:val="nil"/>
                  </w:tcBorders>
                  <w:vAlign w:val="center"/>
                </w:tcPr>
                <w:p w14:paraId="33E31EF6">
                  <w:pPr>
                    <w:pStyle w:val="103"/>
                    <w:rPr>
                      <w:rFonts w:hint="eastAsia" w:cs="Times New Roman"/>
                      <w:color w:val="auto"/>
                      <w:sz w:val="21"/>
                      <w:szCs w:val="21"/>
                      <w:highlight w:val="none"/>
                      <w:u w:val="none" w:color="auto"/>
                      <w:lang w:val="en-US" w:eastAsia="zh-CN"/>
                    </w:rPr>
                  </w:pPr>
                </w:p>
              </w:tc>
              <w:tc>
                <w:tcPr>
                  <w:tcW w:w="1613" w:type="dxa"/>
                  <w:tcBorders>
                    <w:tl2br w:val="nil"/>
                    <w:tr2bl w:val="nil"/>
                  </w:tcBorders>
                  <w:shd w:val="clear" w:color="auto" w:fill="auto"/>
                  <w:vAlign w:val="center"/>
                </w:tcPr>
                <w:p w14:paraId="7D392EAC">
                  <w:pPr>
                    <w:pStyle w:val="103"/>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外包材库</w:t>
                  </w:r>
                </w:p>
              </w:tc>
              <w:tc>
                <w:tcPr>
                  <w:tcW w:w="4368" w:type="dxa"/>
                  <w:gridSpan w:val="2"/>
                  <w:tcBorders>
                    <w:tl2br w:val="nil"/>
                    <w:tr2bl w:val="nil"/>
                  </w:tcBorders>
                  <w:shd w:val="clear" w:color="auto" w:fill="auto"/>
                  <w:vAlign w:val="center"/>
                </w:tcPr>
                <w:p w14:paraId="60C698D4">
                  <w:pPr>
                    <w:jc w:val="center"/>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64m</w:t>
                  </w:r>
                  <w:r>
                    <w:rPr>
                      <w:rFonts w:hint="eastAsia" w:cs="Times New Roman"/>
                      <w:color w:val="auto"/>
                      <w:sz w:val="21"/>
                      <w:szCs w:val="21"/>
                      <w:highlight w:val="none"/>
                      <w:u w:val="none" w:color="auto"/>
                      <w:vertAlign w:val="superscript"/>
                      <w:lang w:val="en-US" w:eastAsia="zh-CN"/>
                    </w:rPr>
                    <w:t>2</w:t>
                  </w:r>
                </w:p>
              </w:tc>
            </w:tr>
            <w:tr w14:paraId="3F8B94A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64" w:type="dxa"/>
                  <w:vMerge w:val="continue"/>
                  <w:tcBorders>
                    <w:tl2br w:val="nil"/>
                    <w:tr2bl w:val="nil"/>
                  </w:tcBorders>
                  <w:vAlign w:val="center"/>
                </w:tcPr>
                <w:p w14:paraId="35FF7885">
                  <w:pPr>
                    <w:pStyle w:val="103"/>
                    <w:rPr>
                      <w:rFonts w:hint="default" w:ascii="Times New Roman" w:hAnsi="Times New Roman" w:eastAsia="宋体" w:cs="Times New Roman"/>
                      <w:color w:val="auto"/>
                      <w:sz w:val="21"/>
                      <w:szCs w:val="21"/>
                      <w:highlight w:val="none"/>
                      <w:u w:val="none" w:color="auto"/>
                      <w:lang w:val="en-US" w:eastAsia="zh-CN"/>
                    </w:rPr>
                  </w:pPr>
                </w:p>
              </w:tc>
              <w:tc>
                <w:tcPr>
                  <w:tcW w:w="1612" w:type="dxa"/>
                  <w:gridSpan w:val="2"/>
                  <w:vMerge w:val="continue"/>
                  <w:tcBorders>
                    <w:tl2br w:val="nil"/>
                    <w:tr2bl w:val="nil"/>
                  </w:tcBorders>
                  <w:vAlign w:val="center"/>
                </w:tcPr>
                <w:p w14:paraId="7C4FB7D0">
                  <w:pPr>
                    <w:pStyle w:val="103"/>
                    <w:rPr>
                      <w:rFonts w:hint="eastAsia" w:cs="Times New Roman"/>
                      <w:color w:val="auto"/>
                      <w:sz w:val="21"/>
                      <w:szCs w:val="21"/>
                      <w:highlight w:val="none"/>
                      <w:u w:val="none" w:color="auto"/>
                      <w:lang w:val="en-US" w:eastAsia="zh-CN"/>
                    </w:rPr>
                  </w:pPr>
                </w:p>
              </w:tc>
              <w:tc>
                <w:tcPr>
                  <w:tcW w:w="1613" w:type="dxa"/>
                  <w:tcBorders>
                    <w:tl2br w:val="nil"/>
                    <w:tr2bl w:val="nil"/>
                  </w:tcBorders>
                  <w:shd w:val="clear" w:color="auto" w:fill="auto"/>
                  <w:vAlign w:val="center"/>
                </w:tcPr>
                <w:p w14:paraId="588E815E">
                  <w:pPr>
                    <w:pStyle w:val="103"/>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内包材库</w:t>
                  </w:r>
                </w:p>
              </w:tc>
              <w:tc>
                <w:tcPr>
                  <w:tcW w:w="4368" w:type="dxa"/>
                  <w:gridSpan w:val="2"/>
                  <w:tcBorders>
                    <w:tl2br w:val="nil"/>
                    <w:tr2bl w:val="nil"/>
                  </w:tcBorders>
                  <w:shd w:val="clear" w:color="auto" w:fill="auto"/>
                  <w:vAlign w:val="center"/>
                </w:tcPr>
                <w:p w14:paraId="77BBE661">
                  <w:pPr>
                    <w:jc w:val="center"/>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48m</w:t>
                  </w:r>
                  <w:r>
                    <w:rPr>
                      <w:rFonts w:hint="eastAsia" w:cs="Times New Roman"/>
                      <w:color w:val="auto"/>
                      <w:sz w:val="21"/>
                      <w:szCs w:val="21"/>
                      <w:highlight w:val="none"/>
                      <w:u w:val="none" w:color="auto"/>
                      <w:vertAlign w:val="superscript"/>
                      <w:lang w:val="en-US" w:eastAsia="zh-CN"/>
                    </w:rPr>
                    <w:t>2</w:t>
                  </w:r>
                </w:p>
              </w:tc>
            </w:tr>
            <w:tr w14:paraId="7CB39D8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64" w:type="dxa"/>
                  <w:vMerge w:val="continue"/>
                  <w:tcBorders>
                    <w:tl2br w:val="nil"/>
                    <w:tr2bl w:val="nil"/>
                  </w:tcBorders>
                  <w:vAlign w:val="center"/>
                </w:tcPr>
                <w:p w14:paraId="6F758251">
                  <w:pPr>
                    <w:pStyle w:val="103"/>
                    <w:rPr>
                      <w:rFonts w:hint="default" w:ascii="Times New Roman" w:hAnsi="Times New Roman" w:eastAsia="宋体" w:cs="Times New Roman"/>
                      <w:color w:val="auto"/>
                      <w:sz w:val="21"/>
                      <w:szCs w:val="21"/>
                      <w:highlight w:val="none"/>
                      <w:u w:val="none" w:color="auto"/>
                      <w:lang w:val="en-US" w:eastAsia="zh-CN"/>
                    </w:rPr>
                  </w:pPr>
                </w:p>
              </w:tc>
              <w:tc>
                <w:tcPr>
                  <w:tcW w:w="1612" w:type="dxa"/>
                  <w:gridSpan w:val="2"/>
                  <w:vMerge w:val="continue"/>
                  <w:tcBorders>
                    <w:tl2br w:val="nil"/>
                    <w:tr2bl w:val="nil"/>
                  </w:tcBorders>
                  <w:vAlign w:val="center"/>
                </w:tcPr>
                <w:p w14:paraId="735D5D11">
                  <w:pPr>
                    <w:pStyle w:val="103"/>
                    <w:rPr>
                      <w:rFonts w:hint="eastAsia" w:cs="Times New Roman"/>
                      <w:color w:val="auto"/>
                      <w:sz w:val="21"/>
                      <w:szCs w:val="21"/>
                      <w:highlight w:val="none"/>
                      <w:u w:val="none" w:color="auto"/>
                      <w:lang w:val="en-US" w:eastAsia="zh-CN"/>
                    </w:rPr>
                  </w:pPr>
                </w:p>
              </w:tc>
              <w:tc>
                <w:tcPr>
                  <w:tcW w:w="1613" w:type="dxa"/>
                  <w:tcBorders>
                    <w:tl2br w:val="nil"/>
                    <w:tr2bl w:val="nil"/>
                  </w:tcBorders>
                  <w:shd w:val="clear" w:color="auto" w:fill="auto"/>
                  <w:vAlign w:val="center"/>
                </w:tcPr>
                <w:p w14:paraId="40F4F13C">
                  <w:pPr>
                    <w:pStyle w:val="103"/>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成品库</w:t>
                  </w:r>
                </w:p>
              </w:tc>
              <w:tc>
                <w:tcPr>
                  <w:tcW w:w="4368" w:type="dxa"/>
                  <w:gridSpan w:val="2"/>
                  <w:tcBorders>
                    <w:tl2br w:val="nil"/>
                    <w:tr2bl w:val="nil"/>
                  </w:tcBorders>
                  <w:shd w:val="clear" w:color="auto" w:fill="auto"/>
                  <w:vAlign w:val="center"/>
                </w:tcPr>
                <w:p w14:paraId="7AE5EC9B">
                  <w:pPr>
                    <w:jc w:val="center"/>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56m</w:t>
                  </w:r>
                  <w:r>
                    <w:rPr>
                      <w:rFonts w:hint="eastAsia" w:cs="Times New Roman"/>
                      <w:color w:val="auto"/>
                      <w:sz w:val="21"/>
                      <w:szCs w:val="21"/>
                      <w:highlight w:val="none"/>
                      <w:u w:val="none" w:color="auto"/>
                      <w:vertAlign w:val="superscript"/>
                      <w:lang w:val="en-US" w:eastAsia="zh-CN"/>
                    </w:rPr>
                    <w:t>2</w:t>
                  </w:r>
                </w:p>
              </w:tc>
            </w:tr>
            <w:tr w14:paraId="78A39E4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64" w:type="dxa"/>
                  <w:vMerge w:val="continue"/>
                  <w:tcBorders>
                    <w:tl2br w:val="nil"/>
                    <w:tr2bl w:val="nil"/>
                  </w:tcBorders>
                  <w:vAlign w:val="center"/>
                </w:tcPr>
                <w:p w14:paraId="56F954F6">
                  <w:pPr>
                    <w:pStyle w:val="103"/>
                    <w:rPr>
                      <w:rFonts w:hint="default" w:ascii="Times New Roman" w:hAnsi="Times New Roman" w:eastAsia="宋体" w:cs="Times New Roman"/>
                      <w:color w:val="auto"/>
                      <w:sz w:val="21"/>
                      <w:szCs w:val="21"/>
                      <w:highlight w:val="none"/>
                      <w:u w:val="none" w:color="auto"/>
                      <w:lang w:val="en-US" w:eastAsia="zh-CN"/>
                    </w:rPr>
                  </w:pPr>
                </w:p>
              </w:tc>
              <w:tc>
                <w:tcPr>
                  <w:tcW w:w="1612" w:type="dxa"/>
                  <w:gridSpan w:val="2"/>
                  <w:vMerge w:val="continue"/>
                  <w:tcBorders>
                    <w:tl2br w:val="nil"/>
                    <w:tr2bl w:val="nil"/>
                  </w:tcBorders>
                  <w:vAlign w:val="center"/>
                </w:tcPr>
                <w:p w14:paraId="328DC65B">
                  <w:pPr>
                    <w:pStyle w:val="103"/>
                    <w:rPr>
                      <w:rFonts w:hint="eastAsia" w:cs="Times New Roman"/>
                      <w:color w:val="auto"/>
                      <w:sz w:val="21"/>
                      <w:szCs w:val="21"/>
                      <w:highlight w:val="none"/>
                      <w:u w:val="none" w:color="auto"/>
                      <w:lang w:val="en-US" w:eastAsia="zh-CN"/>
                    </w:rPr>
                  </w:pPr>
                </w:p>
              </w:tc>
              <w:tc>
                <w:tcPr>
                  <w:tcW w:w="1613" w:type="dxa"/>
                  <w:tcBorders>
                    <w:tl2br w:val="nil"/>
                    <w:tr2bl w:val="nil"/>
                  </w:tcBorders>
                  <w:shd w:val="clear" w:color="auto" w:fill="auto"/>
                  <w:vAlign w:val="center"/>
                </w:tcPr>
                <w:p w14:paraId="252B098E">
                  <w:pPr>
                    <w:pStyle w:val="103"/>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保鲜库</w:t>
                  </w:r>
                </w:p>
              </w:tc>
              <w:tc>
                <w:tcPr>
                  <w:tcW w:w="4368" w:type="dxa"/>
                  <w:gridSpan w:val="2"/>
                  <w:tcBorders>
                    <w:tl2br w:val="nil"/>
                    <w:tr2bl w:val="nil"/>
                  </w:tcBorders>
                  <w:shd w:val="clear" w:color="auto" w:fill="auto"/>
                  <w:vAlign w:val="center"/>
                </w:tcPr>
                <w:p w14:paraId="1CDFB834">
                  <w:pPr>
                    <w:jc w:val="center"/>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48m</w:t>
                  </w:r>
                  <w:r>
                    <w:rPr>
                      <w:rFonts w:hint="eastAsia" w:cs="Times New Roman"/>
                      <w:color w:val="auto"/>
                      <w:sz w:val="21"/>
                      <w:szCs w:val="21"/>
                      <w:highlight w:val="none"/>
                      <w:u w:val="none" w:color="auto"/>
                      <w:vertAlign w:val="superscript"/>
                      <w:lang w:val="en-US" w:eastAsia="zh-CN"/>
                    </w:rPr>
                    <w:t>2</w:t>
                  </w:r>
                </w:p>
              </w:tc>
            </w:tr>
            <w:tr w14:paraId="0F6F61B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64" w:type="dxa"/>
                  <w:vMerge w:val="continue"/>
                  <w:tcBorders>
                    <w:tl2br w:val="nil"/>
                    <w:tr2bl w:val="nil"/>
                  </w:tcBorders>
                  <w:vAlign w:val="center"/>
                </w:tcPr>
                <w:p w14:paraId="4F1AE4B2">
                  <w:pPr>
                    <w:pStyle w:val="103"/>
                    <w:rPr>
                      <w:rFonts w:hint="default" w:ascii="Times New Roman" w:hAnsi="Times New Roman" w:eastAsia="宋体" w:cs="Times New Roman"/>
                      <w:color w:val="auto"/>
                      <w:sz w:val="21"/>
                      <w:szCs w:val="21"/>
                      <w:highlight w:val="none"/>
                      <w:u w:val="none" w:color="auto"/>
                      <w:lang w:val="en-US" w:eastAsia="zh-CN"/>
                    </w:rPr>
                  </w:pPr>
                </w:p>
              </w:tc>
              <w:tc>
                <w:tcPr>
                  <w:tcW w:w="1612" w:type="dxa"/>
                  <w:gridSpan w:val="2"/>
                  <w:vMerge w:val="restart"/>
                  <w:tcBorders>
                    <w:tl2br w:val="nil"/>
                    <w:tr2bl w:val="nil"/>
                  </w:tcBorders>
                  <w:vAlign w:val="center"/>
                </w:tcPr>
                <w:p w14:paraId="007B3C22">
                  <w:pPr>
                    <w:pStyle w:val="103"/>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辅助工程</w:t>
                  </w:r>
                </w:p>
              </w:tc>
              <w:tc>
                <w:tcPr>
                  <w:tcW w:w="1613" w:type="dxa"/>
                  <w:tcBorders>
                    <w:tl2br w:val="nil"/>
                    <w:tr2bl w:val="nil"/>
                  </w:tcBorders>
                  <w:shd w:val="clear" w:color="auto" w:fill="auto"/>
                  <w:vAlign w:val="center"/>
                </w:tcPr>
                <w:p w14:paraId="3E6C79DF">
                  <w:pPr>
                    <w:pStyle w:val="103"/>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清洗间</w:t>
                  </w:r>
                </w:p>
              </w:tc>
              <w:tc>
                <w:tcPr>
                  <w:tcW w:w="4368" w:type="dxa"/>
                  <w:gridSpan w:val="2"/>
                  <w:tcBorders>
                    <w:tl2br w:val="nil"/>
                    <w:tr2bl w:val="nil"/>
                  </w:tcBorders>
                  <w:shd w:val="clear" w:color="auto" w:fill="auto"/>
                  <w:vAlign w:val="center"/>
                </w:tcPr>
                <w:p w14:paraId="1CEF1ECD">
                  <w:pPr>
                    <w:jc w:val="center"/>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12m</w:t>
                  </w:r>
                  <w:r>
                    <w:rPr>
                      <w:rFonts w:hint="eastAsia" w:cs="Times New Roman"/>
                      <w:color w:val="auto"/>
                      <w:sz w:val="21"/>
                      <w:szCs w:val="21"/>
                      <w:highlight w:val="none"/>
                      <w:u w:val="none" w:color="auto"/>
                      <w:vertAlign w:val="superscript"/>
                      <w:lang w:val="en-US" w:eastAsia="zh-CN"/>
                    </w:rPr>
                    <w:t>2</w:t>
                  </w:r>
                </w:p>
              </w:tc>
            </w:tr>
            <w:tr w14:paraId="734D7BF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64" w:type="dxa"/>
                  <w:vMerge w:val="continue"/>
                  <w:tcBorders>
                    <w:tl2br w:val="nil"/>
                    <w:tr2bl w:val="nil"/>
                  </w:tcBorders>
                  <w:vAlign w:val="center"/>
                </w:tcPr>
                <w:p w14:paraId="49F0B60F">
                  <w:pPr>
                    <w:pStyle w:val="103"/>
                    <w:rPr>
                      <w:rFonts w:hint="default" w:ascii="Times New Roman" w:hAnsi="Times New Roman" w:eastAsia="宋体" w:cs="Times New Roman"/>
                      <w:color w:val="auto"/>
                      <w:sz w:val="21"/>
                      <w:szCs w:val="21"/>
                      <w:highlight w:val="none"/>
                      <w:u w:val="none" w:color="auto"/>
                      <w:lang w:val="en-US" w:eastAsia="zh-CN"/>
                    </w:rPr>
                  </w:pPr>
                </w:p>
              </w:tc>
              <w:tc>
                <w:tcPr>
                  <w:tcW w:w="1612" w:type="dxa"/>
                  <w:gridSpan w:val="2"/>
                  <w:vMerge w:val="continue"/>
                  <w:tcBorders>
                    <w:tl2br w:val="nil"/>
                    <w:tr2bl w:val="nil"/>
                  </w:tcBorders>
                  <w:vAlign w:val="center"/>
                </w:tcPr>
                <w:p w14:paraId="4AC0377D">
                  <w:pPr>
                    <w:pStyle w:val="103"/>
                    <w:rPr>
                      <w:rFonts w:hint="eastAsia" w:cs="Times New Roman"/>
                      <w:color w:val="auto"/>
                      <w:sz w:val="21"/>
                      <w:szCs w:val="21"/>
                      <w:highlight w:val="none"/>
                      <w:u w:val="none" w:color="auto"/>
                      <w:lang w:val="en-US" w:eastAsia="zh-CN"/>
                    </w:rPr>
                  </w:pPr>
                </w:p>
              </w:tc>
              <w:tc>
                <w:tcPr>
                  <w:tcW w:w="1613" w:type="dxa"/>
                  <w:tcBorders>
                    <w:tl2br w:val="nil"/>
                    <w:tr2bl w:val="nil"/>
                  </w:tcBorders>
                  <w:shd w:val="clear" w:color="auto" w:fill="auto"/>
                  <w:vAlign w:val="center"/>
                </w:tcPr>
                <w:p w14:paraId="64EE2691">
                  <w:pPr>
                    <w:pStyle w:val="103"/>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更衣室</w:t>
                  </w:r>
                </w:p>
              </w:tc>
              <w:tc>
                <w:tcPr>
                  <w:tcW w:w="4368" w:type="dxa"/>
                  <w:gridSpan w:val="2"/>
                  <w:tcBorders>
                    <w:tl2br w:val="nil"/>
                    <w:tr2bl w:val="nil"/>
                  </w:tcBorders>
                  <w:shd w:val="clear" w:color="auto" w:fill="auto"/>
                  <w:vAlign w:val="center"/>
                </w:tcPr>
                <w:p w14:paraId="550861D9">
                  <w:pPr>
                    <w:jc w:val="center"/>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两个，面积均为12m</w:t>
                  </w:r>
                  <w:r>
                    <w:rPr>
                      <w:rFonts w:hint="eastAsia" w:cs="Times New Roman"/>
                      <w:color w:val="auto"/>
                      <w:sz w:val="21"/>
                      <w:szCs w:val="21"/>
                      <w:highlight w:val="none"/>
                      <w:u w:val="none" w:color="auto"/>
                      <w:vertAlign w:val="superscript"/>
                      <w:lang w:val="en-US" w:eastAsia="zh-CN"/>
                    </w:rPr>
                    <w:t>2</w:t>
                  </w:r>
                </w:p>
              </w:tc>
            </w:tr>
            <w:tr w14:paraId="6E7380A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64" w:type="dxa"/>
                  <w:vMerge w:val="continue"/>
                  <w:tcBorders>
                    <w:tl2br w:val="nil"/>
                    <w:tr2bl w:val="nil"/>
                  </w:tcBorders>
                  <w:vAlign w:val="center"/>
                </w:tcPr>
                <w:p w14:paraId="1CCA6A9B">
                  <w:pPr>
                    <w:pStyle w:val="103"/>
                    <w:rPr>
                      <w:rFonts w:hint="default" w:ascii="Times New Roman" w:hAnsi="Times New Roman" w:eastAsia="宋体" w:cs="Times New Roman"/>
                      <w:color w:val="auto"/>
                      <w:sz w:val="21"/>
                      <w:szCs w:val="21"/>
                      <w:highlight w:val="none"/>
                      <w:u w:val="none" w:color="auto"/>
                      <w:lang w:val="en-US" w:eastAsia="zh-CN"/>
                    </w:rPr>
                  </w:pPr>
                </w:p>
              </w:tc>
              <w:tc>
                <w:tcPr>
                  <w:tcW w:w="1612" w:type="dxa"/>
                  <w:gridSpan w:val="2"/>
                  <w:vMerge w:val="continue"/>
                  <w:tcBorders>
                    <w:tl2br w:val="nil"/>
                    <w:tr2bl w:val="nil"/>
                  </w:tcBorders>
                  <w:vAlign w:val="center"/>
                </w:tcPr>
                <w:p w14:paraId="1B7C5313">
                  <w:pPr>
                    <w:pStyle w:val="103"/>
                    <w:rPr>
                      <w:rFonts w:hint="eastAsia" w:cs="Times New Roman"/>
                      <w:color w:val="auto"/>
                      <w:sz w:val="21"/>
                      <w:szCs w:val="21"/>
                      <w:highlight w:val="none"/>
                      <w:u w:val="none" w:color="auto"/>
                      <w:lang w:val="en-US" w:eastAsia="zh-CN"/>
                    </w:rPr>
                  </w:pPr>
                </w:p>
              </w:tc>
              <w:tc>
                <w:tcPr>
                  <w:tcW w:w="1613" w:type="dxa"/>
                  <w:tcBorders>
                    <w:tl2br w:val="nil"/>
                    <w:tr2bl w:val="nil"/>
                  </w:tcBorders>
                  <w:shd w:val="clear" w:color="auto" w:fill="auto"/>
                  <w:vAlign w:val="center"/>
                </w:tcPr>
                <w:p w14:paraId="1036C4C4">
                  <w:pPr>
                    <w:pStyle w:val="103"/>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更鞋间</w:t>
                  </w:r>
                </w:p>
              </w:tc>
              <w:tc>
                <w:tcPr>
                  <w:tcW w:w="4368" w:type="dxa"/>
                  <w:gridSpan w:val="2"/>
                  <w:tcBorders>
                    <w:tl2br w:val="nil"/>
                    <w:tr2bl w:val="nil"/>
                  </w:tcBorders>
                  <w:shd w:val="clear" w:color="auto" w:fill="auto"/>
                  <w:vAlign w:val="center"/>
                </w:tcPr>
                <w:p w14:paraId="554CE62C">
                  <w:pPr>
                    <w:jc w:val="center"/>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12m</w:t>
                  </w:r>
                  <w:r>
                    <w:rPr>
                      <w:rFonts w:hint="eastAsia" w:cs="Times New Roman"/>
                      <w:color w:val="auto"/>
                      <w:sz w:val="21"/>
                      <w:szCs w:val="21"/>
                      <w:highlight w:val="none"/>
                      <w:u w:val="none" w:color="auto"/>
                      <w:vertAlign w:val="superscript"/>
                      <w:lang w:val="en-US" w:eastAsia="zh-CN"/>
                    </w:rPr>
                    <w:t>2</w:t>
                  </w:r>
                </w:p>
              </w:tc>
            </w:tr>
            <w:tr w14:paraId="2529C71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64" w:type="dxa"/>
                  <w:vMerge w:val="continue"/>
                  <w:tcBorders>
                    <w:tl2br w:val="nil"/>
                    <w:tr2bl w:val="nil"/>
                  </w:tcBorders>
                  <w:vAlign w:val="center"/>
                </w:tcPr>
                <w:p w14:paraId="7AA5E48F">
                  <w:pPr>
                    <w:pStyle w:val="103"/>
                    <w:rPr>
                      <w:rFonts w:hint="default" w:ascii="Times New Roman" w:hAnsi="Times New Roman" w:eastAsia="宋体" w:cs="Times New Roman"/>
                      <w:color w:val="auto"/>
                      <w:sz w:val="21"/>
                      <w:szCs w:val="21"/>
                      <w:highlight w:val="none"/>
                      <w:u w:val="none" w:color="auto"/>
                      <w:lang w:val="en-US" w:eastAsia="zh-CN"/>
                    </w:rPr>
                  </w:pPr>
                </w:p>
              </w:tc>
              <w:tc>
                <w:tcPr>
                  <w:tcW w:w="1612" w:type="dxa"/>
                  <w:gridSpan w:val="2"/>
                  <w:vMerge w:val="continue"/>
                  <w:tcBorders>
                    <w:tl2br w:val="nil"/>
                    <w:tr2bl w:val="nil"/>
                  </w:tcBorders>
                  <w:vAlign w:val="center"/>
                </w:tcPr>
                <w:p w14:paraId="396C5594">
                  <w:pPr>
                    <w:pStyle w:val="103"/>
                    <w:rPr>
                      <w:rFonts w:hint="eastAsia" w:cs="Times New Roman"/>
                      <w:color w:val="auto"/>
                      <w:sz w:val="21"/>
                      <w:szCs w:val="21"/>
                      <w:highlight w:val="none"/>
                      <w:u w:val="none" w:color="auto"/>
                      <w:lang w:val="en-US" w:eastAsia="zh-CN"/>
                    </w:rPr>
                  </w:pPr>
                </w:p>
              </w:tc>
              <w:tc>
                <w:tcPr>
                  <w:tcW w:w="1613" w:type="dxa"/>
                  <w:tcBorders>
                    <w:tl2br w:val="nil"/>
                    <w:tr2bl w:val="nil"/>
                  </w:tcBorders>
                  <w:shd w:val="clear" w:color="auto" w:fill="auto"/>
                  <w:vAlign w:val="center"/>
                </w:tcPr>
                <w:p w14:paraId="6C8C47A3">
                  <w:pPr>
                    <w:pStyle w:val="103"/>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手消室</w:t>
                  </w:r>
                </w:p>
              </w:tc>
              <w:tc>
                <w:tcPr>
                  <w:tcW w:w="4368" w:type="dxa"/>
                  <w:gridSpan w:val="2"/>
                  <w:tcBorders>
                    <w:tl2br w:val="nil"/>
                    <w:tr2bl w:val="nil"/>
                  </w:tcBorders>
                  <w:shd w:val="clear" w:color="auto" w:fill="auto"/>
                  <w:vAlign w:val="center"/>
                </w:tcPr>
                <w:p w14:paraId="0A64329A">
                  <w:pPr>
                    <w:jc w:val="center"/>
                    <w:rPr>
                      <w:rFonts w:hint="eastAsia"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12m</w:t>
                  </w:r>
                  <w:r>
                    <w:rPr>
                      <w:rFonts w:hint="eastAsia" w:cs="Times New Roman"/>
                      <w:color w:val="auto"/>
                      <w:sz w:val="21"/>
                      <w:szCs w:val="21"/>
                      <w:highlight w:val="none"/>
                      <w:u w:val="none" w:color="auto"/>
                      <w:vertAlign w:val="superscript"/>
                      <w:lang w:val="en-US" w:eastAsia="zh-CN"/>
                    </w:rPr>
                    <w:t>2</w:t>
                  </w:r>
                </w:p>
              </w:tc>
            </w:tr>
            <w:tr w14:paraId="06D85B6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64" w:type="dxa"/>
                  <w:vMerge w:val="continue"/>
                  <w:tcBorders>
                    <w:tl2br w:val="nil"/>
                    <w:tr2bl w:val="nil"/>
                  </w:tcBorders>
                  <w:vAlign w:val="center"/>
                </w:tcPr>
                <w:p w14:paraId="342394F5">
                  <w:pPr>
                    <w:pStyle w:val="103"/>
                    <w:rPr>
                      <w:rFonts w:hint="default" w:ascii="Times New Roman" w:hAnsi="Times New Roman" w:eastAsia="宋体" w:cs="Times New Roman"/>
                      <w:color w:val="auto"/>
                      <w:sz w:val="21"/>
                      <w:szCs w:val="21"/>
                      <w:highlight w:val="none"/>
                      <w:u w:val="none" w:color="auto"/>
                      <w:lang w:val="en-US" w:eastAsia="zh-CN"/>
                    </w:rPr>
                  </w:pPr>
                </w:p>
              </w:tc>
              <w:tc>
                <w:tcPr>
                  <w:tcW w:w="1612" w:type="dxa"/>
                  <w:gridSpan w:val="2"/>
                  <w:vMerge w:val="continue"/>
                  <w:tcBorders>
                    <w:tl2br w:val="nil"/>
                    <w:tr2bl w:val="nil"/>
                  </w:tcBorders>
                  <w:vAlign w:val="center"/>
                </w:tcPr>
                <w:p w14:paraId="5E9E1B63">
                  <w:pPr>
                    <w:pStyle w:val="103"/>
                    <w:rPr>
                      <w:rFonts w:hint="eastAsia" w:cs="Times New Roman"/>
                      <w:color w:val="auto"/>
                      <w:sz w:val="21"/>
                      <w:szCs w:val="21"/>
                      <w:highlight w:val="none"/>
                      <w:u w:val="none" w:color="auto"/>
                      <w:lang w:val="en-US" w:eastAsia="zh-CN"/>
                    </w:rPr>
                  </w:pPr>
                </w:p>
              </w:tc>
              <w:tc>
                <w:tcPr>
                  <w:tcW w:w="1613" w:type="dxa"/>
                  <w:tcBorders>
                    <w:tl2br w:val="nil"/>
                    <w:tr2bl w:val="nil"/>
                  </w:tcBorders>
                  <w:shd w:val="clear" w:color="auto" w:fill="auto"/>
                  <w:vAlign w:val="center"/>
                </w:tcPr>
                <w:p w14:paraId="6569EC43">
                  <w:pPr>
                    <w:pStyle w:val="103"/>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生产办公室</w:t>
                  </w:r>
                </w:p>
              </w:tc>
              <w:tc>
                <w:tcPr>
                  <w:tcW w:w="4368" w:type="dxa"/>
                  <w:gridSpan w:val="2"/>
                  <w:tcBorders>
                    <w:tl2br w:val="nil"/>
                    <w:tr2bl w:val="nil"/>
                  </w:tcBorders>
                  <w:shd w:val="clear" w:color="auto" w:fill="auto"/>
                  <w:vAlign w:val="center"/>
                </w:tcPr>
                <w:p w14:paraId="303F6F6F">
                  <w:pPr>
                    <w:jc w:val="center"/>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30m</w:t>
                  </w:r>
                  <w:r>
                    <w:rPr>
                      <w:rFonts w:hint="eastAsia" w:cs="Times New Roman"/>
                      <w:color w:val="auto"/>
                      <w:sz w:val="21"/>
                      <w:szCs w:val="21"/>
                      <w:highlight w:val="none"/>
                      <w:u w:val="none" w:color="auto"/>
                      <w:vertAlign w:val="superscript"/>
                      <w:lang w:val="en-US" w:eastAsia="zh-CN"/>
                    </w:rPr>
                    <w:t>2</w:t>
                  </w:r>
                </w:p>
              </w:tc>
            </w:tr>
            <w:tr w14:paraId="6675DDD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64" w:type="dxa"/>
                  <w:vMerge w:val="continue"/>
                  <w:tcBorders>
                    <w:bottom w:val="single" w:color="auto" w:sz="4" w:space="0"/>
                    <w:tl2br w:val="nil"/>
                    <w:tr2bl w:val="nil"/>
                  </w:tcBorders>
                  <w:vAlign w:val="center"/>
                </w:tcPr>
                <w:p w14:paraId="15C41AF6">
                  <w:pPr>
                    <w:pStyle w:val="103"/>
                    <w:rPr>
                      <w:rFonts w:hint="default" w:ascii="Times New Roman" w:hAnsi="Times New Roman" w:eastAsia="宋体" w:cs="Times New Roman"/>
                      <w:color w:val="auto"/>
                      <w:sz w:val="21"/>
                      <w:szCs w:val="21"/>
                      <w:highlight w:val="none"/>
                      <w:u w:val="none" w:color="auto"/>
                      <w:lang w:val="en-US" w:eastAsia="zh-CN"/>
                    </w:rPr>
                  </w:pPr>
                </w:p>
              </w:tc>
              <w:tc>
                <w:tcPr>
                  <w:tcW w:w="1612" w:type="dxa"/>
                  <w:gridSpan w:val="2"/>
                  <w:vMerge w:val="continue"/>
                  <w:tcBorders>
                    <w:tl2br w:val="nil"/>
                    <w:tr2bl w:val="nil"/>
                  </w:tcBorders>
                  <w:vAlign w:val="center"/>
                </w:tcPr>
                <w:p w14:paraId="3C6CDE97">
                  <w:pPr>
                    <w:pStyle w:val="103"/>
                    <w:rPr>
                      <w:rFonts w:hint="eastAsia" w:cs="Times New Roman"/>
                      <w:color w:val="auto"/>
                      <w:sz w:val="21"/>
                      <w:szCs w:val="21"/>
                      <w:highlight w:val="none"/>
                      <w:u w:val="none" w:color="auto"/>
                      <w:lang w:val="en-US" w:eastAsia="zh-CN"/>
                    </w:rPr>
                  </w:pPr>
                </w:p>
              </w:tc>
              <w:tc>
                <w:tcPr>
                  <w:tcW w:w="1613" w:type="dxa"/>
                  <w:tcBorders>
                    <w:tl2br w:val="nil"/>
                    <w:tr2bl w:val="nil"/>
                  </w:tcBorders>
                  <w:shd w:val="clear" w:color="auto" w:fill="auto"/>
                  <w:vAlign w:val="center"/>
                </w:tcPr>
                <w:p w14:paraId="3950D585">
                  <w:pPr>
                    <w:pStyle w:val="103"/>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出库办公室</w:t>
                  </w:r>
                </w:p>
              </w:tc>
              <w:tc>
                <w:tcPr>
                  <w:tcW w:w="4368" w:type="dxa"/>
                  <w:gridSpan w:val="2"/>
                  <w:tcBorders>
                    <w:tl2br w:val="nil"/>
                    <w:tr2bl w:val="nil"/>
                  </w:tcBorders>
                  <w:shd w:val="clear" w:color="auto" w:fill="auto"/>
                  <w:vAlign w:val="center"/>
                </w:tcPr>
                <w:p w14:paraId="41C8BF8A">
                  <w:pPr>
                    <w:jc w:val="center"/>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24m</w:t>
                  </w:r>
                  <w:r>
                    <w:rPr>
                      <w:rFonts w:hint="eastAsia" w:cs="Times New Roman"/>
                      <w:color w:val="auto"/>
                      <w:sz w:val="21"/>
                      <w:szCs w:val="21"/>
                      <w:highlight w:val="none"/>
                      <w:u w:val="none" w:color="auto"/>
                      <w:vertAlign w:val="superscript"/>
                      <w:lang w:val="en-US" w:eastAsia="zh-CN"/>
                    </w:rPr>
                    <w:t>2</w:t>
                  </w:r>
                </w:p>
              </w:tc>
            </w:tr>
            <w:tr w14:paraId="10EC85C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64" w:type="dxa"/>
                  <w:vMerge w:val="restart"/>
                  <w:tcBorders>
                    <w:top w:val="single" w:color="auto" w:sz="4" w:space="0"/>
                    <w:tl2br w:val="nil"/>
                    <w:tr2bl w:val="nil"/>
                  </w:tcBorders>
                  <w:vAlign w:val="center"/>
                </w:tcPr>
                <w:p w14:paraId="2FEA64A8">
                  <w:pPr>
                    <w:pStyle w:val="103"/>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辅助工程</w:t>
                  </w:r>
                </w:p>
              </w:tc>
              <w:tc>
                <w:tcPr>
                  <w:tcW w:w="1612" w:type="dxa"/>
                  <w:gridSpan w:val="2"/>
                  <w:tcBorders>
                    <w:tl2br w:val="nil"/>
                    <w:tr2bl w:val="nil"/>
                  </w:tcBorders>
                  <w:vAlign w:val="center"/>
                </w:tcPr>
                <w:p w14:paraId="6CE4D74A">
                  <w:pPr>
                    <w:pStyle w:val="103"/>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锅炉房</w:t>
                  </w:r>
                </w:p>
              </w:tc>
              <w:tc>
                <w:tcPr>
                  <w:tcW w:w="5981" w:type="dxa"/>
                  <w:gridSpan w:val="3"/>
                  <w:tcBorders>
                    <w:tl2br w:val="nil"/>
                    <w:tr2bl w:val="nil"/>
                  </w:tcBorders>
                  <w:vAlign w:val="center"/>
                </w:tcPr>
                <w:p w14:paraId="63966B71">
                  <w:pPr>
                    <w:jc w:val="center"/>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占地面积100m</w:t>
                  </w:r>
                  <w:r>
                    <w:rPr>
                      <w:rFonts w:hint="eastAsia" w:cs="Times New Roman"/>
                      <w:color w:val="auto"/>
                      <w:sz w:val="21"/>
                      <w:szCs w:val="21"/>
                      <w:highlight w:val="none"/>
                      <w:u w:val="none" w:color="auto"/>
                      <w:vertAlign w:val="superscript"/>
                      <w:lang w:val="en-US" w:eastAsia="zh-CN"/>
                    </w:rPr>
                    <w:t>2</w:t>
                  </w:r>
                  <w:r>
                    <w:rPr>
                      <w:rFonts w:hint="eastAsia" w:cs="Times New Roman"/>
                      <w:color w:val="auto"/>
                      <w:sz w:val="21"/>
                      <w:szCs w:val="21"/>
                      <w:highlight w:val="none"/>
                      <w:u w:val="none" w:color="auto"/>
                      <w:lang w:val="en-US" w:eastAsia="zh-CN"/>
                    </w:rPr>
                    <w:t>，位于厂区西北侧，设置一台2.2t/h、一台2.5t/h的生物质蒸汽发生器</w:t>
                  </w:r>
                </w:p>
              </w:tc>
            </w:tr>
            <w:tr w14:paraId="57B3F1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64" w:type="dxa"/>
                  <w:vMerge w:val="continue"/>
                  <w:tcBorders>
                    <w:tl2br w:val="nil"/>
                    <w:tr2bl w:val="nil"/>
                  </w:tcBorders>
                  <w:vAlign w:val="center"/>
                </w:tcPr>
                <w:p w14:paraId="2C8A1F2B">
                  <w:pPr>
                    <w:pStyle w:val="103"/>
                    <w:rPr>
                      <w:rFonts w:hint="default" w:ascii="Times New Roman" w:hAnsi="Times New Roman" w:eastAsia="宋体" w:cs="Times New Roman"/>
                      <w:color w:val="auto"/>
                      <w:sz w:val="21"/>
                      <w:szCs w:val="21"/>
                      <w:highlight w:val="none"/>
                      <w:u w:val="none" w:color="auto"/>
                    </w:rPr>
                  </w:pPr>
                </w:p>
              </w:tc>
              <w:tc>
                <w:tcPr>
                  <w:tcW w:w="1612" w:type="dxa"/>
                  <w:gridSpan w:val="2"/>
                  <w:tcBorders>
                    <w:tl2br w:val="nil"/>
                    <w:tr2bl w:val="nil"/>
                  </w:tcBorders>
                  <w:shd w:val="clear" w:color="auto" w:fill="auto"/>
                  <w:vAlign w:val="center"/>
                </w:tcPr>
                <w:p w14:paraId="666415A4">
                  <w:pPr>
                    <w:pStyle w:val="103"/>
                    <w:rPr>
                      <w:rFonts w:hint="default" w:ascii="Times New Roman" w:hAnsi="Times New Roman" w:eastAsia="宋体" w:cs="Times New Roman"/>
                      <w:color w:val="auto"/>
                      <w:kern w:val="0"/>
                      <w:sz w:val="21"/>
                      <w:szCs w:val="21"/>
                      <w:highlight w:val="none"/>
                      <w:u w:val="none" w:color="auto"/>
                      <w:lang w:val="en-US" w:eastAsia="zh-CN" w:bidi="ar-SA"/>
                    </w:rPr>
                  </w:pPr>
                  <w:r>
                    <w:rPr>
                      <w:rFonts w:hint="eastAsia" w:cs="Times New Roman"/>
                      <w:color w:val="auto"/>
                      <w:sz w:val="21"/>
                      <w:szCs w:val="21"/>
                      <w:highlight w:val="none"/>
                      <w:u w:val="none" w:color="auto"/>
                      <w:lang w:val="en-US" w:eastAsia="zh-CN"/>
                    </w:rPr>
                    <w:t>办公楼</w:t>
                  </w:r>
                </w:p>
              </w:tc>
              <w:tc>
                <w:tcPr>
                  <w:tcW w:w="5981" w:type="dxa"/>
                  <w:gridSpan w:val="3"/>
                  <w:tcBorders>
                    <w:tl2br w:val="nil"/>
                    <w:tr2bl w:val="nil"/>
                  </w:tcBorders>
                  <w:shd w:val="clear" w:color="auto" w:fill="auto"/>
                  <w:vAlign w:val="center"/>
                </w:tcPr>
                <w:p w14:paraId="63C0EF00">
                  <w:pPr>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sz w:val="21"/>
                      <w:szCs w:val="21"/>
                      <w:highlight w:val="none"/>
                      <w:u w:val="none" w:color="auto"/>
                      <w:lang w:val="en-US" w:eastAsia="zh-CN"/>
                    </w:rPr>
                    <w:t>位于厂区东南侧，占地面积710.4m</w:t>
                  </w:r>
                  <w:r>
                    <w:rPr>
                      <w:rFonts w:hint="eastAsia" w:cs="Times New Roman"/>
                      <w:color w:val="auto"/>
                      <w:sz w:val="21"/>
                      <w:szCs w:val="21"/>
                      <w:highlight w:val="none"/>
                      <w:u w:val="none" w:color="auto"/>
                      <w:vertAlign w:val="superscript"/>
                      <w:lang w:val="en-US" w:eastAsia="zh-CN"/>
                    </w:rPr>
                    <w:t>2</w:t>
                  </w:r>
                </w:p>
              </w:tc>
            </w:tr>
            <w:tr w14:paraId="6111FE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64" w:type="dxa"/>
                  <w:vMerge w:val="continue"/>
                  <w:tcBorders>
                    <w:bottom w:val="single" w:color="auto" w:sz="4" w:space="0"/>
                    <w:tl2br w:val="nil"/>
                    <w:tr2bl w:val="nil"/>
                  </w:tcBorders>
                  <w:vAlign w:val="center"/>
                </w:tcPr>
                <w:p w14:paraId="38726E41">
                  <w:pPr>
                    <w:pStyle w:val="103"/>
                    <w:rPr>
                      <w:rFonts w:hint="default" w:ascii="Times New Roman" w:hAnsi="Times New Roman" w:eastAsia="宋体" w:cs="Times New Roman"/>
                      <w:color w:val="auto"/>
                      <w:sz w:val="21"/>
                      <w:szCs w:val="21"/>
                      <w:highlight w:val="none"/>
                      <w:u w:val="none" w:color="auto"/>
                    </w:rPr>
                  </w:pPr>
                </w:p>
              </w:tc>
              <w:tc>
                <w:tcPr>
                  <w:tcW w:w="1612" w:type="dxa"/>
                  <w:gridSpan w:val="2"/>
                  <w:tcBorders>
                    <w:tl2br w:val="nil"/>
                    <w:tr2bl w:val="nil"/>
                  </w:tcBorders>
                  <w:shd w:val="clear" w:color="auto" w:fill="auto"/>
                  <w:vAlign w:val="center"/>
                </w:tcPr>
                <w:p w14:paraId="5CAC2DCB">
                  <w:pPr>
                    <w:pStyle w:val="103"/>
                    <w:rPr>
                      <w:rFonts w:hint="eastAsia" w:ascii="Times New Roman" w:hAnsi="Times New Roman" w:eastAsia="宋体" w:cs="Times New Roman"/>
                      <w:color w:val="auto"/>
                      <w:kern w:val="0"/>
                      <w:sz w:val="21"/>
                      <w:szCs w:val="21"/>
                      <w:highlight w:val="none"/>
                      <w:u w:val="none" w:color="auto"/>
                      <w:lang w:val="en-US" w:eastAsia="zh-CN" w:bidi="ar-SA"/>
                    </w:rPr>
                  </w:pPr>
                  <w:r>
                    <w:rPr>
                      <w:rFonts w:hint="eastAsia" w:cs="Times New Roman"/>
                      <w:color w:val="auto"/>
                      <w:sz w:val="21"/>
                      <w:szCs w:val="21"/>
                      <w:highlight w:val="none"/>
                      <w:u w:val="none" w:color="auto"/>
                      <w:lang w:val="en-US" w:eastAsia="zh-CN"/>
                    </w:rPr>
                    <w:t>宿舍楼</w:t>
                  </w:r>
                </w:p>
              </w:tc>
              <w:tc>
                <w:tcPr>
                  <w:tcW w:w="5981" w:type="dxa"/>
                  <w:gridSpan w:val="3"/>
                  <w:tcBorders>
                    <w:tl2br w:val="nil"/>
                    <w:tr2bl w:val="nil"/>
                  </w:tcBorders>
                  <w:shd w:val="clear" w:color="auto" w:fill="auto"/>
                  <w:vAlign w:val="center"/>
                </w:tcPr>
                <w:p w14:paraId="505123A5">
                  <w:pPr>
                    <w:jc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sz w:val="21"/>
                      <w:szCs w:val="21"/>
                      <w:highlight w:val="none"/>
                      <w:u w:val="none" w:color="auto"/>
                      <w:lang w:val="en-US" w:eastAsia="zh-CN"/>
                    </w:rPr>
                    <w:t>位于厂区东南侧，占地面积551.6m</w:t>
                  </w:r>
                  <w:r>
                    <w:rPr>
                      <w:rFonts w:hint="eastAsia" w:cs="Times New Roman"/>
                      <w:color w:val="auto"/>
                      <w:sz w:val="21"/>
                      <w:szCs w:val="21"/>
                      <w:highlight w:val="none"/>
                      <w:u w:val="none" w:color="auto"/>
                      <w:vertAlign w:val="superscript"/>
                      <w:lang w:val="en-US" w:eastAsia="zh-CN"/>
                    </w:rPr>
                    <w:t>2</w:t>
                  </w:r>
                </w:p>
              </w:tc>
            </w:tr>
            <w:tr w14:paraId="66AAEF5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64" w:type="dxa"/>
                  <w:vMerge w:val="restart"/>
                  <w:tcBorders>
                    <w:top w:val="single" w:color="auto" w:sz="4" w:space="0"/>
                    <w:bottom w:val="single" w:color="auto" w:sz="4" w:space="0"/>
                    <w:tl2br w:val="nil"/>
                    <w:tr2bl w:val="nil"/>
                  </w:tcBorders>
                  <w:vAlign w:val="center"/>
                </w:tcPr>
                <w:p w14:paraId="6C67B155">
                  <w:pPr>
                    <w:pStyle w:val="103"/>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公用</w:t>
                  </w:r>
                </w:p>
                <w:p w14:paraId="2AABC336">
                  <w:pPr>
                    <w:pStyle w:val="103"/>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工程</w:t>
                  </w:r>
                </w:p>
              </w:tc>
              <w:tc>
                <w:tcPr>
                  <w:tcW w:w="1612" w:type="dxa"/>
                  <w:gridSpan w:val="2"/>
                  <w:tcBorders>
                    <w:tl2br w:val="nil"/>
                    <w:tr2bl w:val="nil"/>
                  </w:tcBorders>
                  <w:vAlign w:val="center"/>
                </w:tcPr>
                <w:p w14:paraId="3F8B3D8C">
                  <w:pPr>
                    <w:pStyle w:val="103"/>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供电</w:t>
                  </w:r>
                </w:p>
              </w:tc>
              <w:tc>
                <w:tcPr>
                  <w:tcW w:w="5981" w:type="dxa"/>
                  <w:gridSpan w:val="3"/>
                  <w:tcBorders>
                    <w:tl2br w:val="nil"/>
                    <w:tr2bl w:val="nil"/>
                  </w:tcBorders>
                  <w:vAlign w:val="center"/>
                </w:tcPr>
                <w:p w14:paraId="653D6C08">
                  <w:pPr>
                    <w:pStyle w:val="103"/>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市政电网供给</w:t>
                  </w:r>
                </w:p>
              </w:tc>
            </w:tr>
            <w:tr w14:paraId="7D59EF4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70" w:hRule="atLeast"/>
                <w:jc w:val="center"/>
              </w:trPr>
              <w:tc>
                <w:tcPr>
                  <w:tcW w:w="764" w:type="dxa"/>
                  <w:vMerge w:val="continue"/>
                  <w:tcBorders>
                    <w:top w:val="single" w:color="auto" w:sz="4" w:space="0"/>
                    <w:bottom w:val="single" w:color="auto" w:sz="4" w:space="0"/>
                    <w:tl2br w:val="nil"/>
                    <w:tr2bl w:val="nil"/>
                  </w:tcBorders>
                  <w:vAlign w:val="center"/>
                </w:tcPr>
                <w:p w14:paraId="1E8A772F">
                  <w:pPr>
                    <w:pStyle w:val="103"/>
                    <w:rPr>
                      <w:rFonts w:hint="default" w:ascii="Times New Roman" w:hAnsi="Times New Roman" w:eastAsia="宋体" w:cs="Times New Roman"/>
                      <w:color w:val="auto"/>
                      <w:sz w:val="21"/>
                      <w:szCs w:val="21"/>
                      <w:highlight w:val="none"/>
                      <w:u w:val="none" w:color="auto"/>
                    </w:rPr>
                  </w:pPr>
                </w:p>
              </w:tc>
              <w:tc>
                <w:tcPr>
                  <w:tcW w:w="1612" w:type="dxa"/>
                  <w:gridSpan w:val="2"/>
                  <w:tcBorders>
                    <w:tl2br w:val="nil"/>
                    <w:tr2bl w:val="nil"/>
                  </w:tcBorders>
                  <w:vAlign w:val="center"/>
                </w:tcPr>
                <w:p w14:paraId="686D1929">
                  <w:pPr>
                    <w:pStyle w:val="103"/>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供水</w:t>
                  </w:r>
                </w:p>
              </w:tc>
              <w:tc>
                <w:tcPr>
                  <w:tcW w:w="5981" w:type="dxa"/>
                  <w:gridSpan w:val="3"/>
                  <w:tcBorders>
                    <w:tl2br w:val="nil"/>
                    <w:tr2bl w:val="nil"/>
                  </w:tcBorders>
                  <w:vAlign w:val="center"/>
                </w:tcPr>
                <w:p w14:paraId="20DAEEEC">
                  <w:pPr>
                    <w:pStyle w:val="103"/>
                    <w:rPr>
                      <w:rFonts w:hint="default" w:ascii="Times New Roman" w:hAnsi="Times New Roman" w:eastAsia="宋体" w:cs="Times New Roman"/>
                      <w:color w:val="auto"/>
                      <w:sz w:val="21"/>
                      <w:szCs w:val="21"/>
                      <w:highlight w:val="none"/>
                      <w:u w:val="none" w:color="auto"/>
                      <w:lang w:val="en-US" w:eastAsia="zh-CN"/>
                    </w:rPr>
                  </w:pPr>
                  <w:r>
                    <w:rPr>
                      <w:rFonts w:hint="eastAsia" w:cs="Times New Roman"/>
                      <w:bCs/>
                      <w:color w:val="auto"/>
                      <w:sz w:val="21"/>
                      <w:szCs w:val="21"/>
                      <w:highlight w:val="none"/>
                      <w:u w:val="none" w:color="auto"/>
                      <w:lang w:val="en-US" w:eastAsia="zh-CN"/>
                    </w:rPr>
                    <w:t>自来水管网</w:t>
                  </w:r>
                </w:p>
              </w:tc>
            </w:tr>
            <w:tr w14:paraId="5A358B0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64" w:type="dxa"/>
                  <w:vMerge w:val="restart"/>
                  <w:tcBorders>
                    <w:top w:val="single" w:color="auto" w:sz="4" w:space="0"/>
                    <w:tl2br w:val="nil"/>
                    <w:tr2bl w:val="nil"/>
                  </w:tcBorders>
                  <w:vAlign w:val="center"/>
                </w:tcPr>
                <w:p w14:paraId="5B84CAF9">
                  <w:pPr>
                    <w:pStyle w:val="103"/>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环保</w:t>
                  </w:r>
                </w:p>
                <w:p w14:paraId="3F3DFFB3">
                  <w:pPr>
                    <w:pStyle w:val="103"/>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工程</w:t>
                  </w:r>
                </w:p>
              </w:tc>
              <w:tc>
                <w:tcPr>
                  <w:tcW w:w="1612" w:type="dxa"/>
                  <w:gridSpan w:val="2"/>
                  <w:vMerge w:val="restart"/>
                  <w:tcBorders>
                    <w:tl2br w:val="nil"/>
                    <w:tr2bl w:val="nil"/>
                  </w:tcBorders>
                  <w:vAlign w:val="center"/>
                </w:tcPr>
                <w:p w14:paraId="59AAB091">
                  <w:pPr>
                    <w:pStyle w:val="103"/>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废气</w:t>
                  </w:r>
                </w:p>
              </w:tc>
              <w:tc>
                <w:tcPr>
                  <w:tcW w:w="5981" w:type="dxa"/>
                  <w:gridSpan w:val="3"/>
                  <w:tcBorders>
                    <w:tl2br w:val="nil"/>
                    <w:tr2bl w:val="nil"/>
                  </w:tcBorders>
                  <w:vAlign w:val="center"/>
                </w:tcPr>
                <w:p w14:paraId="179D96C1">
                  <w:pPr>
                    <w:pStyle w:val="103"/>
                    <w:rPr>
                      <w:rFonts w:hint="default" w:ascii="Times New Roman" w:hAnsi="Times New Roman" w:eastAsia="宋体" w:cs="Times New Roman"/>
                      <w:color w:val="auto"/>
                      <w:sz w:val="21"/>
                      <w:szCs w:val="21"/>
                      <w:highlight w:val="none"/>
                      <w:u w:val="none" w:color="auto"/>
                      <w:lang w:val="en-US"/>
                    </w:rPr>
                  </w:pPr>
                  <w:r>
                    <w:rPr>
                      <w:rFonts w:hint="eastAsia" w:cs="Times New Roman"/>
                      <w:color w:val="auto"/>
                      <w:sz w:val="21"/>
                      <w:szCs w:val="21"/>
                      <w:highlight w:val="none"/>
                      <w:u w:val="none" w:color="auto"/>
                      <w:lang w:val="en-US" w:eastAsia="zh-CN"/>
                    </w:rPr>
                    <w:t>2.2t/h蒸汽发生器：布袋除尘器+30m排气筒（DA001）</w:t>
                  </w:r>
                </w:p>
              </w:tc>
            </w:tr>
            <w:tr w14:paraId="00CB849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64" w:type="dxa"/>
                  <w:vMerge w:val="continue"/>
                  <w:tcBorders>
                    <w:tl2br w:val="nil"/>
                    <w:tr2bl w:val="nil"/>
                  </w:tcBorders>
                  <w:vAlign w:val="center"/>
                </w:tcPr>
                <w:p w14:paraId="3C63A604">
                  <w:pPr>
                    <w:pStyle w:val="103"/>
                    <w:rPr>
                      <w:rFonts w:hint="default" w:ascii="Times New Roman" w:hAnsi="Times New Roman" w:eastAsia="宋体" w:cs="Times New Roman"/>
                      <w:color w:val="auto"/>
                      <w:sz w:val="21"/>
                      <w:szCs w:val="21"/>
                      <w:highlight w:val="none"/>
                      <w:u w:val="none" w:color="auto"/>
                    </w:rPr>
                  </w:pPr>
                </w:p>
              </w:tc>
              <w:tc>
                <w:tcPr>
                  <w:tcW w:w="1612" w:type="dxa"/>
                  <w:gridSpan w:val="2"/>
                  <w:vMerge w:val="continue"/>
                  <w:tcBorders>
                    <w:tl2br w:val="nil"/>
                    <w:tr2bl w:val="nil"/>
                  </w:tcBorders>
                  <w:vAlign w:val="center"/>
                </w:tcPr>
                <w:p w14:paraId="284210DF">
                  <w:pPr>
                    <w:pStyle w:val="103"/>
                    <w:rPr>
                      <w:rFonts w:hint="default" w:ascii="Times New Roman" w:hAnsi="Times New Roman" w:eastAsia="宋体" w:cs="Times New Roman"/>
                      <w:color w:val="auto"/>
                      <w:sz w:val="21"/>
                      <w:szCs w:val="21"/>
                      <w:highlight w:val="none"/>
                      <w:u w:val="none" w:color="auto"/>
                    </w:rPr>
                  </w:pPr>
                </w:p>
              </w:tc>
              <w:tc>
                <w:tcPr>
                  <w:tcW w:w="5981" w:type="dxa"/>
                  <w:gridSpan w:val="3"/>
                  <w:tcBorders>
                    <w:tl2br w:val="nil"/>
                    <w:tr2bl w:val="nil"/>
                  </w:tcBorders>
                  <w:vAlign w:val="center"/>
                </w:tcPr>
                <w:p w14:paraId="1D5DCD0F">
                  <w:pPr>
                    <w:pStyle w:val="103"/>
                    <w:rPr>
                      <w:rFonts w:hint="eastAsia"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2.5t/h蒸汽发生器：布袋除尘器+30m排气筒（DA002）</w:t>
                  </w:r>
                </w:p>
              </w:tc>
            </w:tr>
            <w:tr w14:paraId="47DA348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64" w:type="dxa"/>
                  <w:vMerge w:val="continue"/>
                  <w:tcBorders>
                    <w:tl2br w:val="nil"/>
                    <w:tr2bl w:val="nil"/>
                  </w:tcBorders>
                  <w:vAlign w:val="center"/>
                </w:tcPr>
                <w:p w14:paraId="57599E4C">
                  <w:pPr>
                    <w:pStyle w:val="103"/>
                    <w:rPr>
                      <w:rFonts w:hint="default" w:ascii="Times New Roman" w:hAnsi="Times New Roman" w:eastAsia="宋体" w:cs="Times New Roman"/>
                      <w:color w:val="auto"/>
                      <w:sz w:val="21"/>
                      <w:szCs w:val="21"/>
                      <w:highlight w:val="none"/>
                      <w:u w:val="none" w:color="auto"/>
                    </w:rPr>
                  </w:pPr>
                </w:p>
              </w:tc>
              <w:tc>
                <w:tcPr>
                  <w:tcW w:w="1612" w:type="dxa"/>
                  <w:gridSpan w:val="2"/>
                  <w:vMerge w:val="continue"/>
                  <w:tcBorders>
                    <w:tl2br w:val="nil"/>
                    <w:tr2bl w:val="nil"/>
                  </w:tcBorders>
                  <w:vAlign w:val="center"/>
                </w:tcPr>
                <w:p w14:paraId="4D216EB9">
                  <w:pPr>
                    <w:pStyle w:val="103"/>
                    <w:rPr>
                      <w:rFonts w:hint="default" w:ascii="Times New Roman" w:hAnsi="Times New Roman" w:eastAsia="宋体" w:cs="Times New Roman"/>
                      <w:color w:val="auto"/>
                      <w:sz w:val="21"/>
                      <w:szCs w:val="21"/>
                      <w:highlight w:val="none"/>
                      <w:u w:val="none" w:color="auto"/>
                    </w:rPr>
                  </w:pPr>
                </w:p>
              </w:tc>
              <w:tc>
                <w:tcPr>
                  <w:tcW w:w="5981" w:type="dxa"/>
                  <w:gridSpan w:val="3"/>
                  <w:tcBorders>
                    <w:tl2br w:val="nil"/>
                    <w:tr2bl w:val="nil"/>
                  </w:tcBorders>
                  <w:vAlign w:val="center"/>
                </w:tcPr>
                <w:p w14:paraId="6544CC1C">
                  <w:pPr>
                    <w:pStyle w:val="103"/>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油炸废气：集气罩+油烟净化器+15m排气筒（DA003）</w:t>
                  </w:r>
                </w:p>
              </w:tc>
            </w:tr>
            <w:tr w14:paraId="0239FBB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64" w:type="dxa"/>
                  <w:vMerge w:val="continue"/>
                  <w:tcBorders>
                    <w:tl2br w:val="nil"/>
                    <w:tr2bl w:val="nil"/>
                  </w:tcBorders>
                  <w:vAlign w:val="center"/>
                </w:tcPr>
                <w:p w14:paraId="2853BD71">
                  <w:pPr>
                    <w:pStyle w:val="103"/>
                    <w:rPr>
                      <w:rFonts w:hint="default" w:ascii="Times New Roman" w:hAnsi="Times New Roman" w:eastAsia="宋体" w:cs="Times New Roman"/>
                      <w:color w:val="auto"/>
                      <w:sz w:val="21"/>
                      <w:szCs w:val="21"/>
                      <w:highlight w:val="none"/>
                      <w:u w:val="none" w:color="auto"/>
                    </w:rPr>
                  </w:pPr>
                </w:p>
              </w:tc>
              <w:tc>
                <w:tcPr>
                  <w:tcW w:w="1612" w:type="dxa"/>
                  <w:gridSpan w:val="2"/>
                  <w:vMerge w:val="continue"/>
                  <w:tcBorders>
                    <w:tl2br w:val="nil"/>
                    <w:tr2bl w:val="nil"/>
                  </w:tcBorders>
                  <w:vAlign w:val="center"/>
                </w:tcPr>
                <w:p w14:paraId="493184BE">
                  <w:pPr>
                    <w:pStyle w:val="103"/>
                    <w:rPr>
                      <w:rFonts w:hint="default" w:ascii="Times New Roman" w:hAnsi="Times New Roman" w:eastAsia="宋体" w:cs="Times New Roman"/>
                      <w:color w:val="auto"/>
                      <w:sz w:val="21"/>
                      <w:szCs w:val="21"/>
                      <w:highlight w:val="none"/>
                      <w:u w:val="none" w:color="auto"/>
                    </w:rPr>
                  </w:pPr>
                </w:p>
              </w:tc>
              <w:tc>
                <w:tcPr>
                  <w:tcW w:w="5981" w:type="dxa"/>
                  <w:gridSpan w:val="3"/>
                  <w:tcBorders>
                    <w:tl2br w:val="nil"/>
                    <w:tr2bl w:val="nil"/>
                  </w:tcBorders>
                  <w:vAlign w:val="center"/>
                </w:tcPr>
                <w:p w14:paraId="711220E6">
                  <w:pPr>
                    <w:pStyle w:val="103"/>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粉料投料粉尘：降低投料高度</w:t>
                  </w:r>
                </w:p>
              </w:tc>
            </w:tr>
            <w:tr w14:paraId="34AB831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64" w:type="dxa"/>
                  <w:vMerge w:val="continue"/>
                  <w:tcBorders>
                    <w:tl2br w:val="nil"/>
                    <w:tr2bl w:val="nil"/>
                  </w:tcBorders>
                  <w:vAlign w:val="center"/>
                </w:tcPr>
                <w:p w14:paraId="752FFE68">
                  <w:pPr>
                    <w:pStyle w:val="103"/>
                    <w:rPr>
                      <w:rFonts w:hint="default" w:ascii="Times New Roman" w:hAnsi="Times New Roman" w:eastAsia="宋体" w:cs="Times New Roman"/>
                      <w:color w:val="auto"/>
                      <w:sz w:val="21"/>
                      <w:szCs w:val="21"/>
                      <w:highlight w:val="none"/>
                      <w:u w:val="none" w:color="auto"/>
                    </w:rPr>
                  </w:pPr>
                </w:p>
              </w:tc>
              <w:tc>
                <w:tcPr>
                  <w:tcW w:w="1612" w:type="dxa"/>
                  <w:gridSpan w:val="2"/>
                  <w:vMerge w:val="continue"/>
                  <w:tcBorders>
                    <w:tl2br w:val="nil"/>
                    <w:tr2bl w:val="nil"/>
                  </w:tcBorders>
                  <w:vAlign w:val="center"/>
                </w:tcPr>
                <w:p w14:paraId="5C00D8BF">
                  <w:pPr>
                    <w:pStyle w:val="103"/>
                    <w:rPr>
                      <w:rFonts w:hint="default" w:ascii="Times New Roman" w:hAnsi="Times New Roman" w:eastAsia="宋体" w:cs="Times New Roman"/>
                      <w:color w:val="auto"/>
                      <w:sz w:val="21"/>
                      <w:szCs w:val="21"/>
                      <w:highlight w:val="none"/>
                      <w:u w:val="none" w:color="auto"/>
                    </w:rPr>
                  </w:pPr>
                </w:p>
              </w:tc>
              <w:tc>
                <w:tcPr>
                  <w:tcW w:w="5981" w:type="dxa"/>
                  <w:gridSpan w:val="3"/>
                  <w:tcBorders>
                    <w:tl2br w:val="nil"/>
                    <w:tr2bl w:val="nil"/>
                  </w:tcBorders>
                  <w:vAlign w:val="center"/>
                </w:tcPr>
                <w:p w14:paraId="1C11BD35">
                  <w:pPr>
                    <w:pStyle w:val="103"/>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车间异味：加强车间通风</w:t>
                  </w:r>
                </w:p>
              </w:tc>
            </w:tr>
            <w:tr w14:paraId="6D4809A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64" w:type="dxa"/>
                  <w:vMerge w:val="continue"/>
                  <w:tcBorders>
                    <w:tl2br w:val="nil"/>
                    <w:tr2bl w:val="nil"/>
                  </w:tcBorders>
                  <w:vAlign w:val="center"/>
                </w:tcPr>
                <w:p w14:paraId="1623B008">
                  <w:pPr>
                    <w:pStyle w:val="103"/>
                    <w:rPr>
                      <w:rFonts w:hint="default" w:ascii="Times New Roman" w:hAnsi="Times New Roman" w:eastAsia="宋体" w:cs="Times New Roman"/>
                      <w:color w:val="auto"/>
                      <w:sz w:val="21"/>
                      <w:szCs w:val="21"/>
                      <w:highlight w:val="none"/>
                      <w:u w:val="none" w:color="auto"/>
                    </w:rPr>
                  </w:pPr>
                </w:p>
              </w:tc>
              <w:tc>
                <w:tcPr>
                  <w:tcW w:w="1612" w:type="dxa"/>
                  <w:gridSpan w:val="2"/>
                  <w:vMerge w:val="continue"/>
                  <w:tcBorders>
                    <w:tl2br w:val="nil"/>
                    <w:tr2bl w:val="nil"/>
                  </w:tcBorders>
                  <w:vAlign w:val="center"/>
                </w:tcPr>
                <w:p w14:paraId="7508B353">
                  <w:pPr>
                    <w:pStyle w:val="103"/>
                    <w:rPr>
                      <w:rFonts w:hint="default" w:ascii="Times New Roman" w:hAnsi="Times New Roman" w:eastAsia="宋体" w:cs="Times New Roman"/>
                      <w:color w:val="auto"/>
                      <w:sz w:val="21"/>
                      <w:szCs w:val="21"/>
                      <w:highlight w:val="none"/>
                      <w:u w:val="none" w:color="auto"/>
                    </w:rPr>
                  </w:pPr>
                </w:p>
              </w:tc>
              <w:tc>
                <w:tcPr>
                  <w:tcW w:w="5981" w:type="dxa"/>
                  <w:gridSpan w:val="3"/>
                  <w:tcBorders>
                    <w:tl2br w:val="nil"/>
                    <w:tr2bl w:val="nil"/>
                  </w:tcBorders>
                  <w:vAlign w:val="center"/>
                </w:tcPr>
                <w:p w14:paraId="3238B76D">
                  <w:pPr>
                    <w:pStyle w:val="103"/>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豆渣存放异味：密闭暂存，日产日清</w:t>
                  </w:r>
                </w:p>
              </w:tc>
            </w:tr>
            <w:tr w14:paraId="0CAC6CC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64" w:type="dxa"/>
                  <w:vMerge w:val="continue"/>
                  <w:tcBorders>
                    <w:tl2br w:val="nil"/>
                    <w:tr2bl w:val="nil"/>
                  </w:tcBorders>
                  <w:vAlign w:val="center"/>
                </w:tcPr>
                <w:p w14:paraId="72305EC1">
                  <w:pPr>
                    <w:pStyle w:val="103"/>
                    <w:rPr>
                      <w:rFonts w:hint="default" w:ascii="Times New Roman" w:hAnsi="Times New Roman" w:eastAsia="宋体" w:cs="Times New Roman"/>
                      <w:color w:val="auto"/>
                      <w:sz w:val="21"/>
                      <w:szCs w:val="21"/>
                      <w:highlight w:val="none"/>
                      <w:u w:val="none" w:color="auto"/>
                    </w:rPr>
                  </w:pPr>
                </w:p>
              </w:tc>
              <w:tc>
                <w:tcPr>
                  <w:tcW w:w="1612" w:type="dxa"/>
                  <w:gridSpan w:val="2"/>
                  <w:vMerge w:val="continue"/>
                  <w:tcBorders>
                    <w:tl2br w:val="nil"/>
                    <w:tr2bl w:val="nil"/>
                  </w:tcBorders>
                  <w:vAlign w:val="center"/>
                </w:tcPr>
                <w:p w14:paraId="7D68CEAA">
                  <w:pPr>
                    <w:pStyle w:val="103"/>
                    <w:rPr>
                      <w:rFonts w:hint="default" w:ascii="Times New Roman" w:hAnsi="Times New Roman" w:eastAsia="宋体" w:cs="Times New Roman"/>
                      <w:color w:val="auto"/>
                      <w:sz w:val="21"/>
                      <w:szCs w:val="21"/>
                      <w:highlight w:val="none"/>
                      <w:u w:val="none" w:color="auto"/>
                    </w:rPr>
                  </w:pPr>
                </w:p>
              </w:tc>
              <w:tc>
                <w:tcPr>
                  <w:tcW w:w="5981" w:type="dxa"/>
                  <w:gridSpan w:val="3"/>
                  <w:tcBorders>
                    <w:tl2br w:val="nil"/>
                    <w:tr2bl w:val="nil"/>
                  </w:tcBorders>
                  <w:vAlign w:val="center"/>
                </w:tcPr>
                <w:p w14:paraId="3E80945D">
                  <w:pPr>
                    <w:pStyle w:val="103"/>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污水处理站恶臭：加盖密闭，加强绿化</w:t>
                  </w:r>
                </w:p>
              </w:tc>
            </w:tr>
            <w:tr w14:paraId="34007D7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72" w:hRule="atLeast"/>
                <w:jc w:val="center"/>
              </w:trPr>
              <w:tc>
                <w:tcPr>
                  <w:tcW w:w="764" w:type="dxa"/>
                  <w:vMerge w:val="continue"/>
                  <w:tcBorders>
                    <w:tl2br w:val="nil"/>
                    <w:tr2bl w:val="nil"/>
                  </w:tcBorders>
                  <w:vAlign w:val="center"/>
                </w:tcPr>
                <w:p w14:paraId="392AD1EB">
                  <w:pPr>
                    <w:pStyle w:val="103"/>
                    <w:rPr>
                      <w:rFonts w:hint="default" w:ascii="Times New Roman" w:hAnsi="Times New Roman" w:eastAsia="宋体" w:cs="Times New Roman"/>
                      <w:color w:val="auto"/>
                      <w:sz w:val="21"/>
                      <w:szCs w:val="21"/>
                      <w:highlight w:val="none"/>
                      <w:u w:val="none" w:color="auto"/>
                    </w:rPr>
                  </w:pPr>
                </w:p>
              </w:tc>
              <w:tc>
                <w:tcPr>
                  <w:tcW w:w="1612" w:type="dxa"/>
                  <w:gridSpan w:val="2"/>
                  <w:tcBorders>
                    <w:tl2br w:val="nil"/>
                    <w:tr2bl w:val="nil"/>
                  </w:tcBorders>
                  <w:vAlign w:val="center"/>
                </w:tcPr>
                <w:p w14:paraId="0345FA83">
                  <w:pPr>
                    <w:pStyle w:val="103"/>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废水</w:t>
                  </w:r>
                </w:p>
              </w:tc>
              <w:tc>
                <w:tcPr>
                  <w:tcW w:w="5981" w:type="dxa"/>
                  <w:gridSpan w:val="3"/>
                  <w:tcBorders>
                    <w:tl2br w:val="nil"/>
                    <w:tr2bl w:val="nil"/>
                  </w:tcBorders>
                  <w:vAlign w:val="center"/>
                </w:tcPr>
                <w:p w14:paraId="2EEC939F">
                  <w:pPr>
                    <w:pStyle w:val="103"/>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生活污水经化粪池处理后经槽车运往汨罗市大荆镇古仑片区污水处理站处理；生产废水排入厂内污水处理站处理，污水处理站处理能力为100t/d，处理工艺为“格栅+隔油池+调节池+气浮+中间水池+一体化（厌氧+缺氧+好氧+二沉池+消毒）”，处理后的废水暂存于储水池，经槽车运往汨罗市大荆镇古仑片区污水处理站处理，最终排入污水处理站北侧渠道。</w:t>
                  </w:r>
                </w:p>
              </w:tc>
            </w:tr>
            <w:tr w14:paraId="1E8C8F9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64" w:type="dxa"/>
                  <w:vMerge w:val="continue"/>
                  <w:tcBorders>
                    <w:tl2br w:val="nil"/>
                    <w:tr2bl w:val="nil"/>
                  </w:tcBorders>
                  <w:vAlign w:val="center"/>
                </w:tcPr>
                <w:p w14:paraId="28B47F34">
                  <w:pPr>
                    <w:pStyle w:val="103"/>
                    <w:rPr>
                      <w:rFonts w:hint="default" w:ascii="Times New Roman" w:hAnsi="Times New Roman" w:eastAsia="宋体" w:cs="Times New Roman"/>
                      <w:color w:val="auto"/>
                      <w:sz w:val="21"/>
                      <w:szCs w:val="21"/>
                      <w:highlight w:val="none"/>
                      <w:u w:val="none" w:color="auto"/>
                    </w:rPr>
                  </w:pPr>
                </w:p>
              </w:tc>
              <w:tc>
                <w:tcPr>
                  <w:tcW w:w="1612" w:type="dxa"/>
                  <w:gridSpan w:val="2"/>
                  <w:tcBorders>
                    <w:tl2br w:val="nil"/>
                    <w:tr2bl w:val="nil"/>
                  </w:tcBorders>
                  <w:vAlign w:val="center"/>
                </w:tcPr>
                <w:p w14:paraId="75F152BD">
                  <w:pPr>
                    <w:pStyle w:val="103"/>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噪声</w:t>
                  </w:r>
                </w:p>
              </w:tc>
              <w:tc>
                <w:tcPr>
                  <w:tcW w:w="5981" w:type="dxa"/>
                  <w:gridSpan w:val="3"/>
                  <w:tcBorders>
                    <w:tl2br w:val="nil"/>
                    <w:tr2bl w:val="nil"/>
                  </w:tcBorders>
                  <w:vAlign w:val="center"/>
                </w:tcPr>
                <w:p w14:paraId="45BCAFD7">
                  <w:pPr>
                    <w:pStyle w:val="103"/>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val="en-US" w:eastAsia="zh-CN"/>
                    </w:rPr>
                    <w:t>低噪声设备、</w:t>
                  </w:r>
                  <w:r>
                    <w:rPr>
                      <w:rFonts w:hint="default" w:ascii="Times New Roman" w:hAnsi="Times New Roman" w:eastAsia="宋体" w:cs="Times New Roman"/>
                      <w:color w:val="auto"/>
                      <w:sz w:val="21"/>
                      <w:szCs w:val="21"/>
                      <w:highlight w:val="none"/>
                      <w:u w:val="none" w:color="auto"/>
                    </w:rPr>
                    <w:t>隔声、</w:t>
                  </w:r>
                  <w:r>
                    <w:rPr>
                      <w:rFonts w:hint="default" w:ascii="Times New Roman" w:hAnsi="Times New Roman" w:eastAsia="宋体" w:cs="Times New Roman"/>
                      <w:color w:val="auto"/>
                      <w:sz w:val="21"/>
                      <w:szCs w:val="21"/>
                      <w:highlight w:val="none"/>
                      <w:u w:val="none" w:color="auto"/>
                      <w:lang w:val="en-US" w:eastAsia="zh-CN"/>
                    </w:rPr>
                    <w:t>基础</w:t>
                  </w:r>
                  <w:r>
                    <w:rPr>
                      <w:rFonts w:hint="default" w:ascii="Times New Roman" w:hAnsi="Times New Roman" w:eastAsia="宋体" w:cs="Times New Roman"/>
                      <w:color w:val="auto"/>
                      <w:sz w:val="21"/>
                      <w:szCs w:val="21"/>
                      <w:highlight w:val="none"/>
                      <w:u w:val="none" w:color="auto"/>
                    </w:rPr>
                    <w:t>减振</w:t>
                  </w:r>
                  <w:r>
                    <w:rPr>
                      <w:rFonts w:hint="default" w:ascii="Times New Roman" w:hAnsi="Times New Roman" w:eastAsia="宋体" w:cs="Times New Roman"/>
                      <w:color w:val="auto"/>
                      <w:sz w:val="21"/>
                      <w:szCs w:val="21"/>
                      <w:highlight w:val="none"/>
                      <w:u w:val="none" w:color="auto"/>
                      <w:lang w:val="en-US" w:eastAsia="zh-CN"/>
                    </w:rPr>
                    <w:t>等</w:t>
                  </w:r>
                  <w:r>
                    <w:rPr>
                      <w:rFonts w:hint="default" w:ascii="Times New Roman" w:hAnsi="Times New Roman" w:eastAsia="宋体" w:cs="Times New Roman"/>
                      <w:color w:val="auto"/>
                      <w:sz w:val="21"/>
                      <w:szCs w:val="21"/>
                      <w:highlight w:val="none"/>
                      <w:u w:val="none" w:color="auto"/>
                    </w:rPr>
                    <w:t>降噪</w:t>
                  </w:r>
                  <w:r>
                    <w:rPr>
                      <w:rFonts w:hint="default" w:ascii="Times New Roman" w:hAnsi="Times New Roman" w:eastAsia="宋体" w:cs="Times New Roman"/>
                      <w:color w:val="auto"/>
                      <w:sz w:val="21"/>
                      <w:szCs w:val="21"/>
                      <w:highlight w:val="none"/>
                      <w:u w:val="none" w:color="auto"/>
                      <w:lang w:val="en-US" w:eastAsia="zh-CN"/>
                    </w:rPr>
                    <w:t>措施</w:t>
                  </w:r>
                </w:p>
              </w:tc>
            </w:tr>
            <w:tr w14:paraId="738B5CD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64" w:type="dxa"/>
                  <w:vMerge w:val="continue"/>
                  <w:tcBorders>
                    <w:tl2br w:val="nil"/>
                    <w:tr2bl w:val="nil"/>
                  </w:tcBorders>
                  <w:vAlign w:val="center"/>
                </w:tcPr>
                <w:p w14:paraId="4C0DBF76">
                  <w:pPr>
                    <w:pStyle w:val="103"/>
                    <w:rPr>
                      <w:rFonts w:hint="default" w:ascii="Times New Roman" w:hAnsi="Times New Roman" w:eastAsia="宋体" w:cs="Times New Roman"/>
                      <w:color w:val="auto"/>
                      <w:sz w:val="21"/>
                      <w:szCs w:val="21"/>
                      <w:highlight w:val="none"/>
                      <w:u w:val="none" w:color="auto"/>
                    </w:rPr>
                  </w:pPr>
                </w:p>
              </w:tc>
              <w:tc>
                <w:tcPr>
                  <w:tcW w:w="553" w:type="dxa"/>
                  <w:vMerge w:val="restart"/>
                  <w:tcBorders>
                    <w:tl2br w:val="nil"/>
                    <w:tr2bl w:val="nil"/>
                  </w:tcBorders>
                  <w:vAlign w:val="center"/>
                </w:tcPr>
                <w:p w14:paraId="703666FC">
                  <w:pPr>
                    <w:pStyle w:val="103"/>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固废</w:t>
                  </w:r>
                </w:p>
              </w:tc>
              <w:tc>
                <w:tcPr>
                  <w:tcW w:w="1059" w:type="dxa"/>
                  <w:tcBorders>
                    <w:tl2br w:val="nil"/>
                    <w:tr2bl w:val="nil"/>
                  </w:tcBorders>
                  <w:vAlign w:val="center"/>
                </w:tcPr>
                <w:p w14:paraId="7D4AFD59">
                  <w:pPr>
                    <w:pStyle w:val="103"/>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生活垃圾</w:t>
                  </w:r>
                </w:p>
              </w:tc>
              <w:tc>
                <w:tcPr>
                  <w:tcW w:w="1725" w:type="dxa"/>
                  <w:gridSpan w:val="2"/>
                  <w:tcBorders>
                    <w:tl2br w:val="nil"/>
                    <w:tr2bl w:val="nil"/>
                  </w:tcBorders>
                  <w:vAlign w:val="center"/>
                </w:tcPr>
                <w:p w14:paraId="038132E0">
                  <w:pPr>
                    <w:pStyle w:val="103"/>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垃圾桶</w:t>
                  </w:r>
                </w:p>
              </w:tc>
              <w:tc>
                <w:tcPr>
                  <w:tcW w:w="4256" w:type="dxa"/>
                  <w:tcBorders>
                    <w:tl2br w:val="nil"/>
                    <w:tr2bl w:val="nil"/>
                  </w:tcBorders>
                  <w:vAlign w:val="center"/>
                </w:tcPr>
                <w:p w14:paraId="72E557F6">
                  <w:pPr>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交由环卫部门定期清运</w:t>
                  </w:r>
                </w:p>
              </w:tc>
            </w:tr>
            <w:tr w14:paraId="61A2083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64" w:type="dxa"/>
                  <w:vMerge w:val="continue"/>
                  <w:tcBorders>
                    <w:tl2br w:val="nil"/>
                    <w:tr2bl w:val="nil"/>
                  </w:tcBorders>
                  <w:vAlign w:val="center"/>
                </w:tcPr>
                <w:p w14:paraId="2648CA3F">
                  <w:pPr>
                    <w:pStyle w:val="103"/>
                    <w:rPr>
                      <w:rFonts w:hint="default" w:ascii="Times New Roman" w:hAnsi="Times New Roman" w:eastAsia="宋体" w:cs="Times New Roman"/>
                      <w:color w:val="auto"/>
                      <w:sz w:val="21"/>
                      <w:szCs w:val="21"/>
                      <w:highlight w:val="none"/>
                      <w:u w:val="none" w:color="auto"/>
                    </w:rPr>
                  </w:pPr>
                </w:p>
              </w:tc>
              <w:tc>
                <w:tcPr>
                  <w:tcW w:w="553" w:type="dxa"/>
                  <w:vMerge w:val="continue"/>
                  <w:tcBorders>
                    <w:tl2br w:val="nil"/>
                    <w:tr2bl w:val="nil"/>
                  </w:tcBorders>
                  <w:vAlign w:val="center"/>
                </w:tcPr>
                <w:p w14:paraId="17E66DAA">
                  <w:pPr>
                    <w:pStyle w:val="103"/>
                    <w:rPr>
                      <w:rFonts w:hint="default" w:ascii="Times New Roman" w:hAnsi="Times New Roman" w:eastAsia="宋体" w:cs="Times New Roman"/>
                      <w:color w:val="auto"/>
                      <w:sz w:val="21"/>
                      <w:szCs w:val="21"/>
                      <w:highlight w:val="none"/>
                      <w:u w:val="none" w:color="auto"/>
                    </w:rPr>
                  </w:pPr>
                </w:p>
              </w:tc>
              <w:tc>
                <w:tcPr>
                  <w:tcW w:w="1059" w:type="dxa"/>
                  <w:vMerge w:val="restart"/>
                  <w:tcBorders>
                    <w:tl2br w:val="nil"/>
                    <w:tr2bl w:val="nil"/>
                  </w:tcBorders>
                  <w:vAlign w:val="center"/>
                </w:tcPr>
                <w:p w14:paraId="585E4B28">
                  <w:pPr>
                    <w:pStyle w:val="103"/>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一般固废</w:t>
                  </w:r>
                </w:p>
              </w:tc>
              <w:tc>
                <w:tcPr>
                  <w:tcW w:w="1725" w:type="dxa"/>
                  <w:gridSpan w:val="2"/>
                  <w:tcBorders>
                    <w:tl2br w:val="nil"/>
                    <w:tr2bl w:val="nil"/>
                  </w:tcBorders>
                  <w:vAlign w:val="center"/>
                </w:tcPr>
                <w:p w14:paraId="5729D1B6">
                  <w:pPr>
                    <w:pStyle w:val="103"/>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肉制品车间</w:t>
                  </w:r>
                </w:p>
              </w:tc>
              <w:tc>
                <w:tcPr>
                  <w:tcW w:w="4256" w:type="dxa"/>
                  <w:tcBorders>
                    <w:tl2br w:val="nil"/>
                    <w:tr2bl w:val="nil"/>
                  </w:tcBorders>
                  <w:vAlign w:val="center"/>
                </w:tcPr>
                <w:p w14:paraId="405EA6FF">
                  <w:pPr>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一般固废暂存区</w:t>
                  </w:r>
                  <w:r>
                    <w:rPr>
                      <w:rFonts w:hint="eastAsia" w:cs="Times New Roman"/>
                      <w:color w:val="auto"/>
                      <w:sz w:val="21"/>
                      <w:szCs w:val="21"/>
                      <w:highlight w:val="none"/>
                      <w:u w:val="none" w:color="auto"/>
                      <w:lang w:eastAsia="zh-CN"/>
                    </w:rPr>
                    <w:t>，</w:t>
                  </w:r>
                  <w:r>
                    <w:rPr>
                      <w:rFonts w:hint="default" w:ascii="Times New Roman" w:hAnsi="Times New Roman" w:eastAsia="宋体" w:cs="Times New Roman"/>
                      <w:color w:val="auto"/>
                      <w:sz w:val="21"/>
                      <w:szCs w:val="21"/>
                      <w:highlight w:val="none"/>
                      <w:u w:val="none" w:color="auto"/>
                    </w:rPr>
                    <w:t>位于</w:t>
                  </w:r>
                  <w:r>
                    <w:rPr>
                      <w:rFonts w:hint="default" w:ascii="Times New Roman" w:hAnsi="Times New Roman" w:eastAsia="宋体" w:cs="Times New Roman"/>
                      <w:color w:val="auto"/>
                      <w:sz w:val="21"/>
                      <w:szCs w:val="21"/>
                      <w:highlight w:val="none"/>
                      <w:u w:val="none" w:color="auto"/>
                      <w:lang w:val="en-US" w:eastAsia="zh-CN"/>
                    </w:rPr>
                    <w:t>生产车间</w:t>
                  </w:r>
                  <w:r>
                    <w:rPr>
                      <w:rFonts w:hint="eastAsia" w:cs="Times New Roman"/>
                      <w:color w:val="auto"/>
                      <w:sz w:val="21"/>
                      <w:szCs w:val="21"/>
                      <w:highlight w:val="none"/>
                      <w:u w:val="none" w:color="auto"/>
                      <w:lang w:val="en-US" w:eastAsia="zh-CN"/>
                    </w:rPr>
                    <w:t>东侧</w:t>
                  </w:r>
                  <w:r>
                    <w:rPr>
                      <w:rFonts w:hint="default" w:ascii="Times New Roman" w:hAnsi="Times New Roman" w:eastAsia="宋体" w:cs="Times New Roman"/>
                      <w:color w:val="auto"/>
                      <w:sz w:val="21"/>
                      <w:szCs w:val="21"/>
                      <w:highlight w:val="none"/>
                      <w:u w:val="none" w:color="auto"/>
                    </w:rPr>
                    <w:t>，面积为</w:t>
                  </w:r>
                  <w:r>
                    <w:rPr>
                      <w:rFonts w:hint="eastAsia" w:cs="Times New Roman"/>
                      <w:color w:val="auto"/>
                      <w:sz w:val="21"/>
                      <w:szCs w:val="21"/>
                      <w:highlight w:val="none"/>
                      <w:u w:val="none" w:color="auto"/>
                      <w:lang w:val="en-US" w:eastAsia="zh-CN"/>
                    </w:rPr>
                    <w:t>10</w:t>
                  </w:r>
                  <w:r>
                    <w:rPr>
                      <w:rFonts w:hint="default" w:ascii="Times New Roman" w:hAnsi="Times New Roman" w:eastAsia="宋体" w:cs="Times New Roman"/>
                      <w:color w:val="auto"/>
                      <w:sz w:val="21"/>
                      <w:szCs w:val="21"/>
                      <w:highlight w:val="none"/>
                      <w:u w:val="none" w:color="auto"/>
                    </w:rPr>
                    <w:t>m</w:t>
                  </w:r>
                  <w:r>
                    <w:rPr>
                      <w:rFonts w:hint="default" w:ascii="Times New Roman" w:hAnsi="Times New Roman" w:eastAsia="宋体" w:cs="Times New Roman"/>
                      <w:color w:val="auto"/>
                      <w:sz w:val="21"/>
                      <w:szCs w:val="21"/>
                      <w:highlight w:val="none"/>
                      <w:u w:val="none" w:color="auto"/>
                      <w:vertAlign w:val="superscript"/>
                    </w:rPr>
                    <w:t>2</w:t>
                  </w:r>
                </w:p>
              </w:tc>
            </w:tr>
            <w:tr w14:paraId="6BA0819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64" w:type="dxa"/>
                  <w:vMerge w:val="continue"/>
                  <w:tcBorders>
                    <w:tl2br w:val="nil"/>
                    <w:tr2bl w:val="nil"/>
                  </w:tcBorders>
                  <w:vAlign w:val="center"/>
                </w:tcPr>
                <w:p w14:paraId="0B733287">
                  <w:pPr>
                    <w:pStyle w:val="103"/>
                    <w:rPr>
                      <w:rFonts w:hint="default" w:ascii="Times New Roman" w:hAnsi="Times New Roman" w:eastAsia="宋体" w:cs="Times New Roman"/>
                      <w:color w:val="auto"/>
                      <w:sz w:val="21"/>
                      <w:szCs w:val="21"/>
                      <w:highlight w:val="none"/>
                      <w:u w:val="none" w:color="auto"/>
                    </w:rPr>
                  </w:pPr>
                </w:p>
              </w:tc>
              <w:tc>
                <w:tcPr>
                  <w:tcW w:w="553" w:type="dxa"/>
                  <w:vMerge w:val="continue"/>
                  <w:tcBorders>
                    <w:tl2br w:val="nil"/>
                    <w:tr2bl w:val="nil"/>
                  </w:tcBorders>
                  <w:vAlign w:val="center"/>
                </w:tcPr>
                <w:p w14:paraId="30AD0297">
                  <w:pPr>
                    <w:pStyle w:val="103"/>
                    <w:rPr>
                      <w:rFonts w:hint="default" w:ascii="Times New Roman" w:hAnsi="Times New Roman" w:eastAsia="宋体" w:cs="Times New Roman"/>
                      <w:color w:val="auto"/>
                      <w:sz w:val="21"/>
                      <w:szCs w:val="21"/>
                      <w:highlight w:val="none"/>
                      <w:u w:val="none" w:color="auto"/>
                    </w:rPr>
                  </w:pPr>
                </w:p>
              </w:tc>
              <w:tc>
                <w:tcPr>
                  <w:tcW w:w="1059" w:type="dxa"/>
                  <w:vMerge w:val="continue"/>
                  <w:tcBorders>
                    <w:tl2br w:val="nil"/>
                    <w:tr2bl w:val="nil"/>
                  </w:tcBorders>
                  <w:vAlign w:val="center"/>
                </w:tcPr>
                <w:p w14:paraId="727D7754">
                  <w:pPr>
                    <w:pStyle w:val="103"/>
                    <w:rPr>
                      <w:rFonts w:hint="default" w:ascii="Times New Roman" w:hAnsi="Times New Roman" w:eastAsia="宋体" w:cs="Times New Roman"/>
                      <w:color w:val="auto"/>
                      <w:sz w:val="21"/>
                      <w:szCs w:val="21"/>
                      <w:highlight w:val="none"/>
                      <w:u w:val="none" w:color="auto"/>
                    </w:rPr>
                  </w:pPr>
                </w:p>
              </w:tc>
              <w:tc>
                <w:tcPr>
                  <w:tcW w:w="1725" w:type="dxa"/>
                  <w:gridSpan w:val="2"/>
                  <w:tcBorders>
                    <w:tl2br w:val="nil"/>
                    <w:tr2bl w:val="nil"/>
                  </w:tcBorders>
                  <w:vAlign w:val="center"/>
                </w:tcPr>
                <w:p w14:paraId="2009DDB6">
                  <w:pPr>
                    <w:pStyle w:val="103"/>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豆制品车间</w:t>
                  </w:r>
                </w:p>
              </w:tc>
              <w:tc>
                <w:tcPr>
                  <w:tcW w:w="4256" w:type="dxa"/>
                  <w:tcBorders>
                    <w:tl2br w:val="nil"/>
                    <w:tr2bl w:val="nil"/>
                  </w:tcBorders>
                  <w:vAlign w:val="center"/>
                </w:tcPr>
                <w:p w14:paraId="016D2D45">
                  <w:pPr>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一般固废暂存区</w:t>
                  </w:r>
                  <w:r>
                    <w:rPr>
                      <w:rFonts w:hint="eastAsia" w:cs="Times New Roman"/>
                      <w:color w:val="auto"/>
                      <w:sz w:val="21"/>
                      <w:szCs w:val="21"/>
                      <w:highlight w:val="none"/>
                      <w:u w:val="none" w:color="auto"/>
                      <w:lang w:eastAsia="zh-CN"/>
                    </w:rPr>
                    <w:t>，</w:t>
                  </w:r>
                  <w:r>
                    <w:rPr>
                      <w:rFonts w:hint="default" w:ascii="Times New Roman" w:hAnsi="Times New Roman" w:eastAsia="宋体" w:cs="Times New Roman"/>
                      <w:color w:val="auto"/>
                      <w:sz w:val="21"/>
                      <w:szCs w:val="21"/>
                      <w:highlight w:val="none"/>
                      <w:u w:val="none" w:color="auto"/>
                    </w:rPr>
                    <w:t>位于</w:t>
                  </w:r>
                  <w:r>
                    <w:rPr>
                      <w:rFonts w:hint="default" w:ascii="Times New Roman" w:hAnsi="Times New Roman" w:eastAsia="宋体" w:cs="Times New Roman"/>
                      <w:color w:val="auto"/>
                      <w:sz w:val="21"/>
                      <w:szCs w:val="21"/>
                      <w:highlight w:val="none"/>
                      <w:u w:val="none" w:color="auto"/>
                      <w:lang w:val="en-US" w:eastAsia="zh-CN"/>
                    </w:rPr>
                    <w:t>生产车间</w:t>
                  </w:r>
                  <w:r>
                    <w:rPr>
                      <w:rFonts w:hint="eastAsia" w:cs="Times New Roman"/>
                      <w:color w:val="auto"/>
                      <w:sz w:val="21"/>
                      <w:szCs w:val="21"/>
                      <w:highlight w:val="none"/>
                      <w:u w:val="none" w:color="auto"/>
                      <w:lang w:val="en-US" w:eastAsia="zh-CN"/>
                    </w:rPr>
                    <w:t>东侧</w:t>
                  </w:r>
                  <w:r>
                    <w:rPr>
                      <w:rFonts w:hint="default" w:ascii="Times New Roman" w:hAnsi="Times New Roman" w:eastAsia="宋体" w:cs="Times New Roman"/>
                      <w:color w:val="auto"/>
                      <w:sz w:val="21"/>
                      <w:szCs w:val="21"/>
                      <w:highlight w:val="none"/>
                      <w:u w:val="none" w:color="auto"/>
                    </w:rPr>
                    <w:t>，面积为</w:t>
                  </w:r>
                  <w:r>
                    <w:rPr>
                      <w:rFonts w:hint="eastAsia" w:cs="Times New Roman"/>
                      <w:color w:val="auto"/>
                      <w:sz w:val="21"/>
                      <w:szCs w:val="21"/>
                      <w:highlight w:val="none"/>
                      <w:u w:val="none" w:color="auto"/>
                      <w:lang w:val="en-US" w:eastAsia="zh-CN"/>
                    </w:rPr>
                    <w:t>10</w:t>
                  </w:r>
                  <w:r>
                    <w:rPr>
                      <w:rFonts w:hint="default" w:ascii="Times New Roman" w:hAnsi="Times New Roman" w:eastAsia="宋体" w:cs="Times New Roman"/>
                      <w:color w:val="auto"/>
                      <w:sz w:val="21"/>
                      <w:szCs w:val="21"/>
                      <w:highlight w:val="none"/>
                      <w:u w:val="none" w:color="auto"/>
                    </w:rPr>
                    <w:t>m</w:t>
                  </w:r>
                  <w:r>
                    <w:rPr>
                      <w:rFonts w:hint="default" w:ascii="Times New Roman" w:hAnsi="Times New Roman" w:eastAsia="宋体" w:cs="Times New Roman"/>
                      <w:color w:val="auto"/>
                      <w:sz w:val="21"/>
                      <w:szCs w:val="21"/>
                      <w:highlight w:val="none"/>
                      <w:u w:val="none" w:color="auto"/>
                      <w:vertAlign w:val="superscript"/>
                    </w:rPr>
                    <w:t>2</w:t>
                  </w:r>
                </w:p>
              </w:tc>
            </w:tr>
            <w:tr w14:paraId="4C63FE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64" w:type="dxa"/>
                  <w:vMerge w:val="continue"/>
                  <w:tcBorders>
                    <w:tl2br w:val="nil"/>
                    <w:tr2bl w:val="nil"/>
                  </w:tcBorders>
                  <w:vAlign w:val="center"/>
                </w:tcPr>
                <w:p w14:paraId="7F042FE5">
                  <w:pPr>
                    <w:pStyle w:val="103"/>
                    <w:rPr>
                      <w:rFonts w:hint="default" w:ascii="Times New Roman" w:hAnsi="Times New Roman" w:eastAsia="宋体" w:cs="Times New Roman"/>
                      <w:color w:val="auto"/>
                      <w:sz w:val="21"/>
                      <w:szCs w:val="21"/>
                      <w:highlight w:val="none"/>
                      <w:u w:val="none" w:color="auto"/>
                    </w:rPr>
                  </w:pPr>
                </w:p>
              </w:tc>
              <w:tc>
                <w:tcPr>
                  <w:tcW w:w="553" w:type="dxa"/>
                  <w:vMerge w:val="continue"/>
                  <w:tcBorders>
                    <w:tl2br w:val="nil"/>
                    <w:tr2bl w:val="nil"/>
                  </w:tcBorders>
                  <w:vAlign w:val="center"/>
                </w:tcPr>
                <w:p w14:paraId="743A0FFE">
                  <w:pPr>
                    <w:pStyle w:val="103"/>
                    <w:rPr>
                      <w:rFonts w:hint="default" w:ascii="Times New Roman" w:hAnsi="Times New Roman" w:eastAsia="宋体" w:cs="Times New Roman"/>
                      <w:color w:val="auto"/>
                      <w:sz w:val="21"/>
                      <w:szCs w:val="21"/>
                      <w:highlight w:val="none"/>
                      <w:u w:val="none" w:color="auto"/>
                    </w:rPr>
                  </w:pPr>
                </w:p>
              </w:tc>
              <w:tc>
                <w:tcPr>
                  <w:tcW w:w="1059" w:type="dxa"/>
                  <w:vMerge w:val="continue"/>
                  <w:tcBorders>
                    <w:tl2br w:val="nil"/>
                    <w:tr2bl w:val="nil"/>
                  </w:tcBorders>
                  <w:vAlign w:val="center"/>
                </w:tcPr>
                <w:p w14:paraId="2B242356">
                  <w:pPr>
                    <w:pStyle w:val="103"/>
                    <w:rPr>
                      <w:rFonts w:hint="default" w:ascii="Times New Roman" w:hAnsi="Times New Roman" w:eastAsia="宋体" w:cs="Times New Roman"/>
                      <w:color w:val="auto"/>
                      <w:sz w:val="21"/>
                      <w:szCs w:val="21"/>
                      <w:highlight w:val="none"/>
                      <w:u w:val="none" w:color="auto"/>
                    </w:rPr>
                  </w:pPr>
                </w:p>
              </w:tc>
              <w:tc>
                <w:tcPr>
                  <w:tcW w:w="1725" w:type="dxa"/>
                  <w:gridSpan w:val="2"/>
                  <w:tcBorders>
                    <w:tl2br w:val="nil"/>
                    <w:tr2bl w:val="nil"/>
                  </w:tcBorders>
                  <w:vAlign w:val="center"/>
                </w:tcPr>
                <w:p w14:paraId="099DA086">
                  <w:pPr>
                    <w:pStyle w:val="103"/>
                    <w:rPr>
                      <w:rFonts w:hint="eastAsia"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污泥池</w:t>
                  </w:r>
                </w:p>
              </w:tc>
              <w:tc>
                <w:tcPr>
                  <w:tcW w:w="4256" w:type="dxa"/>
                  <w:tcBorders>
                    <w:tl2br w:val="nil"/>
                    <w:tr2bl w:val="nil"/>
                  </w:tcBorders>
                  <w:vAlign w:val="center"/>
                </w:tcPr>
                <w:p w14:paraId="3D8EEA5D">
                  <w:pPr>
                    <w:jc w:val="center"/>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eastAsia="zh-CN"/>
                    </w:rPr>
                    <w:t>污水处理区域，容积</w:t>
                  </w:r>
                  <w:r>
                    <w:rPr>
                      <w:rFonts w:hint="eastAsia" w:cs="Times New Roman"/>
                      <w:color w:val="auto"/>
                      <w:sz w:val="21"/>
                      <w:szCs w:val="21"/>
                      <w:highlight w:val="none"/>
                      <w:u w:val="none" w:color="auto"/>
                      <w:lang w:val="en-US" w:eastAsia="zh-CN"/>
                    </w:rPr>
                    <w:t>24m</w:t>
                  </w:r>
                  <w:r>
                    <w:rPr>
                      <w:rFonts w:hint="eastAsia" w:cs="Times New Roman"/>
                      <w:color w:val="auto"/>
                      <w:sz w:val="21"/>
                      <w:szCs w:val="21"/>
                      <w:highlight w:val="none"/>
                      <w:u w:val="none" w:color="auto"/>
                      <w:vertAlign w:val="superscript"/>
                      <w:lang w:val="en-US" w:eastAsia="zh-CN"/>
                    </w:rPr>
                    <w:t>3</w:t>
                  </w:r>
                </w:p>
              </w:tc>
            </w:tr>
            <w:tr w14:paraId="4E711A8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764" w:type="dxa"/>
                  <w:vMerge w:val="continue"/>
                  <w:tcBorders>
                    <w:tl2br w:val="nil"/>
                    <w:tr2bl w:val="nil"/>
                  </w:tcBorders>
                  <w:vAlign w:val="center"/>
                </w:tcPr>
                <w:p w14:paraId="45AA65C0">
                  <w:pPr>
                    <w:pStyle w:val="103"/>
                    <w:rPr>
                      <w:rFonts w:hint="default" w:ascii="Times New Roman" w:hAnsi="Times New Roman" w:eastAsia="宋体" w:cs="Times New Roman"/>
                      <w:color w:val="auto"/>
                      <w:sz w:val="21"/>
                      <w:szCs w:val="21"/>
                      <w:highlight w:val="none"/>
                      <w:u w:val="none" w:color="auto"/>
                    </w:rPr>
                  </w:pPr>
                </w:p>
              </w:tc>
              <w:tc>
                <w:tcPr>
                  <w:tcW w:w="553" w:type="dxa"/>
                  <w:vMerge w:val="continue"/>
                  <w:tcBorders>
                    <w:tl2br w:val="nil"/>
                    <w:tr2bl w:val="nil"/>
                  </w:tcBorders>
                  <w:vAlign w:val="center"/>
                </w:tcPr>
                <w:p w14:paraId="7651BC74">
                  <w:pPr>
                    <w:pStyle w:val="103"/>
                    <w:rPr>
                      <w:rFonts w:hint="default" w:ascii="Times New Roman" w:hAnsi="Times New Roman" w:eastAsia="宋体" w:cs="Times New Roman"/>
                      <w:color w:val="auto"/>
                      <w:sz w:val="21"/>
                      <w:szCs w:val="21"/>
                      <w:highlight w:val="none"/>
                      <w:u w:val="none" w:color="auto"/>
                    </w:rPr>
                  </w:pPr>
                </w:p>
              </w:tc>
              <w:tc>
                <w:tcPr>
                  <w:tcW w:w="1059" w:type="dxa"/>
                  <w:tcBorders>
                    <w:tl2br w:val="nil"/>
                    <w:tr2bl w:val="nil"/>
                  </w:tcBorders>
                  <w:vAlign w:val="center"/>
                </w:tcPr>
                <w:p w14:paraId="22723D5C">
                  <w:pPr>
                    <w:pStyle w:val="103"/>
                    <w:rPr>
                      <w:rFonts w:hint="eastAsia" w:ascii="Times New Roman" w:hAnsi="Times New Roman" w:eastAsia="宋体" w:cs="Times New Roman"/>
                      <w:color w:val="auto"/>
                      <w:sz w:val="21"/>
                      <w:szCs w:val="21"/>
                      <w:highlight w:val="none"/>
                      <w:u w:val="none" w:color="auto"/>
                      <w:lang w:eastAsia="zh-CN"/>
                    </w:rPr>
                  </w:pPr>
                  <w:r>
                    <w:rPr>
                      <w:rFonts w:hint="eastAsia" w:cs="Times New Roman"/>
                      <w:color w:val="auto"/>
                      <w:sz w:val="21"/>
                      <w:szCs w:val="21"/>
                      <w:highlight w:val="none"/>
                      <w:u w:val="none" w:color="auto"/>
                      <w:lang w:eastAsia="zh-CN"/>
                    </w:rPr>
                    <w:t>危险废物</w:t>
                  </w:r>
                </w:p>
              </w:tc>
              <w:tc>
                <w:tcPr>
                  <w:tcW w:w="1725" w:type="dxa"/>
                  <w:gridSpan w:val="2"/>
                  <w:tcBorders>
                    <w:tl2br w:val="nil"/>
                    <w:tr2bl w:val="nil"/>
                  </w:tcBorders>
                  <w:vAlign w:val="center"/>
                </w:tcPr>
                <w:p w14:paraId="06E4AAF7">
                  <w:pPr>
                    <w:pStyle w:val="103"/>
                    <w:rPr>
                      <w:rFonts w:hint="eastAsia"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废机油</w:t>
                  </w:r>
                </w:p>
              </w:tc>
              <w:tc>
                <w:tcPr>
                  <w:tcW w:w="4256" w:type="dxa"/>
                  <w:tcBorders>
                    <w:tl2br w:val="nil"/>
                    <w:tr2bl w:val="nil"/>
                  </w:tcBorders>
                  <w:vAlign w:val="center"/>
                </w:tcPr>
                <w:p w14:paraId="299D6061">
                  <w:pPr>
                    <w:jc w:val="center"/>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eastAsia="zh-CN"/>
                    </w:rPr>
                    <w:t>危险废物暂存间，位于厂区综合楼，</w:t>
                  </w:r>
                  <w:r>
                    <w:rPr>
                      <w:rFonts w:hint="eastAsia" w:cs="Times New Roman"/>
                      <w:color w:val="auto"/>
                      <w:sz w:val="21"/>
                      <w:szCs w:val="21"/>
                      <w:highlight w:val="none"/>
                      <w:u w:val="none" w:color="auto"/>
                      <w:lang w:val="en-US" w:eastAsia="zh-CN"/>
                    </w:rPr>
                    <w:t>5m</w:t>
                  </w:r>
                  <w:r>
                    <w:rPr>
                      <w:rFonts w:hint="eastAsia" w:cs="Times New Roman"/>
                      <w:color w:val="auto"/>
                      <w:sz w:val="21"/>
                      <w:szCs w:val="21"/>
                      <w:highlight w:val="none"/>
                      <w:u w:val="none" w:color="auto"/>
                      <w:vertAlign w:val="superscript"/>
                      <w:lang w:val="en-US" w:eastAsia="zh-CN"/>
                    </w:rPr>
                    <w:t>2</w:t>
                  </w:r>
                </w:p>
              </w:tc>
            </w:tr>
          </w:tbl>
          <w:p w14:paraId="22989B7C">
            <w:pPr>
              <w:pStyle w:val="100"/>
              <w:adjustRightInd/>
              <w:spacing w:line="500" w:lineRule="exact"/>
              <w:ind w:firstLine="482" w:firstLineChars="200"/>
              <w:rPr>
                <w:rFonts w:hint="default" w:ascii="Times New Roman" w:hAnsi="Times New Roman" w:eastAsia="宋体" w:cs="Times New Roman"/>
                <w:b/>
                <w:bCs/>
                <w:color w:val="auto"/>
                <w:sz w:val="24"/>
                <w:szCs w:val="24"/>
                <w:highlight w:val="none"/>
                <w:u w:val="none" w:color="auto"/>
              </w:rPr>
            </w:pPr>
            <w:r>
              <w:rPr>
                <w:rFonts w:hint="eastAsia" w:eastAsia="宋体" w:cs="Times New Roman"/>
                <w:b/>
                <w:bCs/>
                <w:color w:val="auto"/>
                <w:sz w:val="24"/>
                <w:szCs w:val="24"/>
                <w:highlight w:val="none"/>
                <w:u w:val="none" w:color="auto"/>
                <w:lang w:val="en-US" w:eastAsia="zh-CN"/>
              </w:rPr>
              <w:t>三</w:t>
            </w:r>
            <w:r>
              <w:rPr>
                <w:rFonts w:hint="default" w:ascii="Times New Roman" w:hAnsi="Times New Roman" w:eastAsia="宋体" w:cs="Times New Roman"/>
                <w:b/>
                <w:bCs/>
                <w:color w:val="auto"/>
                <w:sz w:val="24"/>
                <w:szCs w:val="24"/>
                <w:highlight w:val="none"/>
                <w:u w:val="none" w:color="auto"/>
              </w:rPr>
              <w:t>、产品方案</w:t>
            </w:r>
          </w:p>
          <w:p w14:paraId="4E09BFF6">
            <w:pPr>
              <w:spacing w:line="500" w:lineRule="exact"/>
              <w:ind w:firstLine="480" w:firstLineChars="200"/>
              <w:rPr>
                <w:rFonts w:hint="default" w:ascii="Times New Roman" w:hAnsi="Times New Roman" w:eastAsia="宋体" w:cs="Times New Roman"/>
                <w:color w:val="auto"/>
                <w:highlight w:val="none"/>
                <w:u w:val="none" w:color="auto"/>
              </w:rPr>
            </w:pPr>
            <w:r>
              <w:rPr>
                <w:rFonts w:hint="eastAsia" w:cs="Times New Roman"/>
                <w:color w:val="auto"/>
                <w:highlight w:val="none"/>
                <w:u w:val="none" w:color="auto"/>
                <w:lang w:val="en-US" w:eastAsia="zh-CN"/>
              </w:rPr>
              <w:t>本项目产品方案如下</w:t>
            </w:r>
            <w:r>
              <w:rPr>
                <w:rFonts w:hint="default" w:ascii="Times New Roman" w:hAnsi="Times New Roman" w:eastAsia="宋体" w:cs="Times New Roman"/>
                <w:color w:val="auto"/>
                <w:highlight w:val="none"/>
                <w:u w:val="none" w:color="auto"/>
              </w:rPr>
              <w:t>。</w:t>
            </w:r>
          </w:p>
          <w:p w14:paraId="23E2A4DA">
            <w:pPr>
              <w:pStyle w:val="100"/>
              <w:adjustRightInd/>
              <w:spacing w:before="120" w:beforeLines="50"/>
              <w:jc w:val="center"/>
              <w:rPr>
                <w:rFonts w:hint="default" w:ascii="Times New Roman" w:hAnsi="Times New Roman" w:eastAsia="宋体" w:cs="Times New Roman"/>
                <w:b/>
                <w:color w:val="auto"/>
                <w:sz w:val="21"/>
                <w:szCs w:val="24"/>
                <w:highlight w:val="none"/>
                <w:u w:val="none" w:color="auto"/>
              </w:rPr>
            </w:pPr>
            <w:r>
              <w:rPr>
                <w:rFonts w:hint="default" w:ascii="Times New Roman" w:hAnsi="Times New Roman" w:eastAsia="宋体" w:cs="Times New Roman"/>
                <w:b/>
                <w:color w:val="auto"/>
                <w:sz w:val="21"/>
                <w:szCs w:val="24"/>
                <w:highlight w:val="none"/>
                <w:u w:val="none" w:color="auto"/>
              </w:rPr>
              <w:t>表2-2  项目产品方案</w:t>
            </w:r>
          </w:p>
          <w:tbl>
            <w:tblPr>
              <w:tblStyle w:val="42"/>
              <w:tblW w:w="4992" w:type="pct"/>
              <w:tblInd w:w="-1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89"/>
              <w:gridCol w:w="2133"/>
              <w:gridCol w:w="2850"/>
              <w:gridCol w:w="2475"/>
            </w:tblGrid>
            <w:tr w14:paraId="70D7D7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32" w:type="pct"/>
                  <w:tcBorders>
                    <w:tl2br w:val="nil"/>
                    <w:tr2bl w:val="nil"/>
                  </w:tcBorders>
                  <w:noWrap w:val="0"/>
                  <w:vAlign w:val="center"/>
                </w:tcPr>
                <w:p w14:paraId="73E8ABF8">
                  <w:pPr>
                    <w:pStyle w:val="272"/>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序号</w:t>
                  </w:r>
                </w:p>
              </w:tc>
              <w:tc>
                <w:tcPr>
                  <w:tcW w:w="1277" w:type="pct"/>
                  <w:tcBorders>
                    <w:tl2br w:val="nil"/>
                    <w:tr2bl w:val="nil"/>
                  </w:tcBorders>
                  <w:noWrap w:val="0"/>
                  <w:vAlign w:val="center"/>
                </w:tcPr>
                <w:p w14:paraId="09E96D2B">
                  <w:pPr>
                    <w:pStyle w:val="272"/>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产品名称</w:t>
                  </w:r>
                </w:p>
              </w:tc>
              <w:tc>
                <w:tcPr>
                  <w:tcW w:w="1707" w:type="pct"/>
                  <w:tcBorders>
                    <w:tl2br w:val="nil"/>
                    <w:tr2bl w:val="nil"/>
                  </w:tcBorders>
                  <w:noWrap w:val="0"/>
                  <w:vAlign w:val="center"/>
                </w:tcPr>
                <w:p w14:paraId="4EBDE9A5">
                  <w:pPr>
                    <w:pStyle w:val="272"/>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生产规模</w:t>
                  </w:r>
                </w:p>
              </w:tc>
              <w:tc>
                <w:tcPr>
                  <w:tcW w:w="1482" w:type="pct"/>
                  <w:tcBorders>
                    <w:tl2br w:val="nil"/>
                    <w:tr2bl w:val="nil"/>
                  </w:tcBorders>
                  <w:noWrap w:val="0"/>
                  <w:vAlign w:val="center"/>
                </w:tcPr>
                <w:p w14:paraId="2342487F">
                  <w:pPr>
                    <w:pStyle w:val="272"/>
                    <w:keepNext w:val="0"/>
                    <w:keepLines w:val="0"/>
                    <w:pageBreakBefore w:val="0"/>
                    <w:kinsoku/>
                    <w:wordWrap/>
                    <w:overflowPunct/>
                    <w:topLinePunct w:val="0"/>
                    <w:autoSpaceDE/>
                    <w:autoSpaceDN/>
                    <w:bidi w:val="0"/>
                    <w:adjustRightInd w:val="0"/>
                    <w:snapToGrid w:val="0"/>
                    <w:spacing w:line="240" w:lineRule="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单位</w:t>
                  </w:r>
                </w:p>
              </w:tc>
            </w:tr>
            <w:tr w14:paraId="122DB4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32" w:type="pct"/>
                  <w:tcBorders>
                    <w:tl2br w:val="nil"/>
                    <w:tr2bl w:val="nil"/>
                  </w:tcBorders>
                  <w:noWrap w:val="0"/>
                  <w:vAlign w:val="center"/>
                </w:tcPr>
                <w:p w14:paraId="160EEBBF">
                  <w:pPr>
                    <w:pStyle w:val="94"/>
                    <w:keepNext w:val="0"/>
                    <w:keepLines w:val="0"/>
                    <w:pageBreakBefore w:val="0"/>
                    <w:kinsoku/>
                    <w:wordWrap/>
                    <w:overflowPunct/>
                    <w:topLinePunct w:val="0"/>
                    <w:autoSpaceDE/>
                    <w:autoSpaceDN/>
                    <w:bidi w:val="0"/>
                    <w:adjustRightInd w:val="0"/>
                    <w:snapToGrid w:val="0"/>
                    <w:spacing w:beforeLines="0" w:afterLines="0" w:line="240" w:lineRule="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w:t>
                  </w:r>
                </w:p>
              </w:tc>
              <w:tc>
                <w:tcPr>
                  <w:tcW w:w="1277" w:type="pct"/>
                  <w:tcBorders>
                    <w:tl2br w:val="nil"/>
                    <w:tr2bl w:val="nil"/>
                  </w:tcBorders>
                  <w:noWrap w:val="0"/>
                  <w:vAlign w:val="center"/>
                </w:tcPr>
                <w:p w14:paraId="1708AA37">
                  <w:pPr>
                    <w:pStyle w:val="116"/>
                    <w:kinsoku w:val="0"/>
                    <w:overflowPunct w:val="0"/>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肉肠</w:t>
                  </w:r>
                </w:p>
              </w:tc>
              <w:tc>
                <w:tcPr>
                  <w:tcW w:w="1707" w:type="pct"/>
                  <w:tcBorders>
                    <w:tl2br w:val="nil"/>
                    <w:tr2bl w:val="nil"/>
                  </w:tcBorders>
                  <w:noWrap w:val="0"/>
                  <w:vAlign w:val="center"/>
                </w:tcPr>
                <w:p w14:paraId="2E8C7536">
                  <w:pPr>
                    <w:pStyle w:val="116"/>
                    <w:kinsoku w:val="0"/>
                    <w:overflowPunct w:val="0"/>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2500</w:t>
                  </w:r>
                </w:p>
              </w:tc>
              <w:tc>
                <w:tcPr>
                  <w:tcW w:w="1482" w:type="pct"/>
                  <w:tcBorders>
                    <w:tl2br w:val="nil"/>
                    <w:tr2bl w:val="nil"/>
                  </w:tcBorders>
                  <w:noWrap w:val="0"/>
                  <w:vAlign w:val="center"/>
                </w:tcPr>
                <w:p w14:paraId="60224913">
                  <w:pPr>
                    <w:pStyle w:val="116"/>
                    <w:kinsoku w:val="0"/>
                    <w:overflowPunct w:val="0"/>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t/a</w:t>
                  </w:r>
                </w:p>
              </w:tc>
            </w:tr>
            <w:tr w14:paraId="3DA86A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trPr>
              <w:tc>
                <w:tcPr>
                  <w:tcW w:w="532" w:type="pct"/>
                  <w:tcBorders>
                    <w:tl2br w:val="nil"/>
                    <w:tr2bl w:val="nil"/>
                  </w:tcBorders>
                  <w:noWrap w:val="0"/>
                  <w:vAlign w:val="center"/>
                </w:tcPr>
                <w:p w14:paraId="17FBC11E">
                  <w:pPr>
                    <w:pStyle w:val="94"/>
                    <w:keepNext w:val="0"/>
                    <w:keepLines w:val="0"/>
                    <w:pageBreakBefore w:val="0"/>
                    <w:kinsoku/>
                    <w:wordWrap/>
                    <w:overflowPunct/>
                    <w:topLinePunct w:val="0"/>
                    <w:autoSpaceDE/>
                    <w:autoSpaceDN/>
                    <w:bidi w:val="0"/>
                    <w:adjustRightInd w:val="0"/>
                    <w:snapToGrid w:val="0"/>
                    <w:spacing w:beforeLines="0" w:afterLines="0" w:line="240" w:lineRule="auto"/>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cs="Times New Roman"/>
                      <w:color w:val="auto"/>
                      <w:sz w:val="21"/>
                      <w:szCs w:val="21"/>
                      <w:highlight w:val="none"/>
                      <w:u w:val="none" w:color="auto"/>
                      <w:lang w:val="en-US" w:eastAsia="zh-CN"/>
                    </w:rPr>
                    <w:t>2</w:t>
                  </w:r>
                </w:p>
              </w:tc>
              <w:tc>
                <w:tcPr>
                  <w:tcW w:w="1277" w:type="pct"/>
                  <w:tcBorders>
                    <w:tl2br w:val="nil"/>
                    <w:tr2bl w:val="nil"/>
                  </w:tcBorders>
                  <w:noWrap w:val="0"/>
                  <w:vAlign w:val="center"/>
                </w:tcPr>
                <w:p w14:paraId="30BDB9B5">
                  <w:pPr>
                    <w:pStyle w:val="116"/>
                    <w:kinsoku w:val="0"/>
                    <w:overflowPunct w:val="0"/>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虎皮豆腐</w:t>
                  </w:r>
                </w:p>
              </w:tc>
              <w:tc>
                <w:tcPr>
                  <w:tcW w:w="1707" w:type="pct"/>
                  <w:tcBorders>
                    <w:tl2br w:val="nil"/>
                    <w:tr2bl w:val="nil"/>
                  </w:tcBorders>
                  <w:noWrap w:val="0"/>
                  <w:vAlign w:val="center"/>
                </w:tcPr>
                <w:p w14:paraId="498977C0">
                  <w:pPr>
                    <w:pStyle w:val="116"/>
                    <w:kinsoku w:val="0"/>
                    <w:overflowPunct w:val="0"/>
                    <w:jc w:val="center"/>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3000</w:t>
                  </w:r>
                </w:p>
              </w:tc>
              <w:tc>
                <w:tcPr>
                  <w:tcW w:w="1482" w:type="pct"/>
                  <w:tcBorders>
                    <w:tl2br w:val="nil"/>
                    <w:tr2bl w:val="nil"/>
                  </w:tcBorders>
                  <w:noWrap w:val="0"/>
                  <w:vAlign w:val="center"/>
                </w:tcPr>
                <w:p w14:paraId="1280FE5D">
                  <w:pPr>
                    <w:pStyle w:val="116"/>
                    <w:kinsoku w:val="0"/>
                    <w:overflowPunct w:val="0"/>
                    <w:jc w:val="center"/>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t/a</w:t>
                  </w:r>
                </w:p>
              </w:tc>
            </w:tr>
          </w:tbl>
          <w:p w14:paraId="07EDB1BC">
            <w:pPr>
              <w:pStyle w:val="100"/>
              <w:keepNext w:val="0"/>
              <w:keepLines w:val="0"/>
              <w:pageBreakBefore w:val="0"/>
              <w:widowControl w:val="0"/>
              <w:kinsoku/>
              <w:wordWrap/>
              <w:overflowPunct/>
              <w:topLinePunct w:val="0"/>
              <w:autoSpaceDE/>
              <w:autoSpaceDN/>
              <w:bidi w:val="0"/>
              <w:adjustRightInd/>
              <w:snapToGrid/>
              <w:spacing w:before="157" w:beforeLines="50" w:line="360" w:lineRule="auto"/>
              <w:ind w:firstLine="482" w:firstLineChars="200"/>
              <w:textAlignment w:val="auto"/>
              <w:rPr>
                <w:rFonts w:hint="default" w:ascii="Times New Roman" w:hAnsi="Times New Roman" w:eastAsia="宋体" w:cs="Times New Roman"/>
                <w:b/>
                <w:color w:val="auto"/>
                <w:sz w:val="24"/>
                <w:szCs w:val="24"/>
                <w:highlight w:val="none"/>
                <w:u w:val="none" w:color="auto"/>
              </w:rPr>
            </w:pPr>
            <w:r>
              <w:rPr>
                <w:rFonts w:hint="eastAsia" w:eastAsia="宋体" w:cs="Times New Roman"/>
                <w:b/>
                <w:color w:val="auto"/>
                <w:sz w:val="24"/>
                <w:szCs w:val="24"/>
                <w:highlight w:val="none"/>
                <w:u w:val="none" w:color="auto"/>
                <w:lang w:val="en-US" w:eastAsia="zh-CN"/>
              </w:rPr>
              <w:t>四</w:t>
            </w:r>
            <w:r>
              <w:rPr>
                <w:rFonts w:hint="default" w:ascii="Times New Roman" w:hAnsi="Times New Roman" w:eastAsia="宋体" w:cs="Times New Roman"/>
                <w:b/>
                <w:color w:val="auto"/>
                <w:sz w:val="24"/>
                <w:szCs w:val="24"/>
                <w:highlight w:val="none"/>
                <w:u w:val="none" w:color="auto"/>
              </w:rPr>
              <w:t>、原辅料及能源消耗情况</w:t>
            </w:r>
          </w:p>
          <w:p w14:paraId="12255018">
            <w:pPr>
              <w:spacing w:line="360" w:lineRule="auto"/>
              <w:ind w:firstLine="480"/>
              <w:rPr>
                <w:rFonts w:hint="default" w:ascii="Times New Roman" w:hAnsi="Times New Roman" w:eastAsia="宋体" w:cs="Times New Roman"/>
                <w:b w:val="0"/>
                <w:bCs w:val="0"/>
                <w:color w:val="auto"/>
                <w:highlight w:val="none"/>
                <w:u w:val="none" w:color="auto"/>
                <w:lang w:val="en-US" w:eastAsia="zh-CN"/>
              </w:rPr>
            </w:pPr>
            <w:r>
              <w:rPr>
                <w:rFonts w:hint="eastAsia" w:cs="Times New Roman"/>
                <w:b w:val="0"/>
                <w:bCs w:val="0"/>
                <w:color w:val="auto"/>
                <w:highlight w:val="none"/>
                <w:u w:val="none" w:color="auto"/>
                <w:lang w:val="en-US" w:eastAsia="zh-CN"/>
              </w:rPr>
              <w:t>本项目原辅材料用量如下。</w:t>
            </w:r>
          </w:p>
          <w:p w14:paraId="714800E5">
            <w:pPr>
              <w:keepNext w:val="0"/>
              <w:keepLines w:val="0"/>
              <w:pageBreakBefore w:val="0"/>
              <w:widowControl w:val="0"/>
              <w:kinsoku/>
              <w:wordWrap/>
              <w:overflowPunct/>
              <w:topLinePunct w:val="0"/>
              <w:autoSpaceDE/>
              <w:autoSpaceDN/>
              <w:bidi w:val="0"/>
              <w:adjustRightInd/>
              <w:snapToGrid/>
              <w:spacing w:line="360" w:lineRule="auto"/>
              <w:ind w:firstLine="422" w:firstLineChars="200"/>
              <w:jc w:val="center"/>
              <w:textAlignment w:val="auto"/>
              <w:rPr>
                <w:rFonts w:hint="default" w:ascii="Times New Roman" w:hAnsi="Times New Roman" w:eastAsia="宋体" w:cs="Times New Roman"/>
                <w:b w:val="0"/>
                <w:bCs w:val="0"/>
                <w:color w:val="auto"/>
                <w:highlight w:val="none"/>
                <w:u w:val="none" w:color="auto"/>
                <w:lang w:val="en-US" w:eastAsia="zh-CN"/>
              </w:rPr>
            </w:pPr>
            <w:r>
              <w:rPr>
                <w:rFonts w:hint="default" w:ascii="Times New Roman" w:hAnsi="Times New Roman" w:eastAsia="宋体" w:cs="Times New Roman"/>
                <w:b/>
                <w:color w:val="auto"/>
                <w:sz w:val="21"/>
                <w:szCs w:val="24"/>
                <w:highlight w:val="none"/>
                <w:u w:val="none" w:color="auto"/>
              </w:rPr>
              <w:t>表2-</w:t>
            </w:r>
            <w:r>
              <w:rPr>
                <w:rFonts w:hint="eastAsia" w:cs="Times New Roman"/>
                <w:b/>
                <w:color w:val="auto"/>
                <w:sz w:val="21"/>
                <w:szCs w:val="24"/>
                <w:highlight w:val="none"/>
                <w:u w:val="none" w:color="auto"/>
                <w:lang w:val="en-US" w:eastAsia="zh-CN"/>
              </w:rPr>
              <w:t>3 本项目原辅材料一览表</w:t>
            </w:r>
          </w:p>
          <w:tbl>
            <w:tblPr>
              <w:tblStyle w:val="43"/>
              <w:tblW w:w="0" w:type="auto"/>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14"/>
              <w:gridCol w:w="1620"/>
              <w:gridCol w:w="1710"/>
              <w:gridCol w:w="975"/>
              <w:gridCol w:w="2139"/>
            </w:tblGrid>
            <w:tr w14:paraId="29CE8A0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14" w:type="dxa"/>
                  <w:tcBorders>
                    <w:tl2br w:val="nil"/>
                    <w:tr2bl w:val="nil"/>
                  </w:tcBorders>
                  <w:vAlign w:val="center"/>
                </w:tcPr>
                <w:p w14:paraId="2E1923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原辅材料</w:t>
                  </w:r>
                </w:p>
              </w:tc>
              <w:tc>
                <w:tcPr>
                  <w:tcW w:w="1620" w:type="dxa"/>
                  <w:tcBorders>
                    <w:tl2br w:val="nil"/>
                    <w:tr2bl w:val="nil"/>
                  </w:tcBorders>
                  <w:vAlign w:val="center"/>
                </w:tcPr>
                <w:p w14:paraId="5E9E6F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年用量（t/a）</w:t>
                  </w:r>
                </w:p>
              </w:tc>
              <w:tc>
                <w:tcPr>
                  <w:tcW w:w="1710" w:type="dxa"/>
                  <w:tcBorders>
                    <w:tl2br w:val="nil"/>
                    <w:tr2bl w:val="nil"/>
                  </w:tcBorders>
                  <w:vAlign w:val="center"/>
                </w:tcPr>
                <w:p w14:paraId="7CC5472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最大储存量（t）</w:t>
                  </w:r>
                </w:p>
              </w:tc>
              <w:tc>
                <w:tcPr>
                  <w:tcW w:w="975" w:type="dxa"/>
                  <w:tcBorders>
                    <w:tl2br w:val="nil"/>
                    <w:tr2bl w:val="nil"/>
                  </w:tcBorders>
                  <w:vAlign w:val="center"/>
                </w:tcPr>
                <w:p w14:paraId="18648F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包装方式</w:t>
                  </w:r>
                </w:p>
              </w:tc>
              <w:tc>
                <w:tcPr>
                  <w:tcW w:w="2139" w:type="dxa"/>
                  <w:tcBorders>
                    <w:tl2br w:val="nil"/>
                    <w:tr2bl w:val="nil"/>
                  </w:tcBorders>
                  <w:vAlign w:val="center"/>
                </w:tcPr>
                <w:p w14:paraId="377594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备注</w:t>
                  </w:r>
                </w:p>
              </w:tc>
            </w:tr>
            <w:tr w14:paraId="659175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358" w:type="dxa"/>
                  <w:gridSpan w:val="5"/>
                  <w:tcBorders>
                    <w:tl2br w:val="nil"/>
                    <w:tr2bl w:val="nil"/>
                  </w:tcBorders>
                  <w:vAlign w:val="center"/>
                </w:tcPr>
                <w:p w14:paraId="76DD40C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肉制品</w:t>
                  </w:r>
                </w:p>
              </w:tc>
            </w:tr>
            <w:tr w14:paraId="6E154FF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14" w:type="dxa"/>
                  <w:tcBorders>
                    <w:tl2br w:val="nil"/>
                    <w:tr2bl w:val="nil"/>
                  </w:tcBorders>
                  <w:vAlign w:val="center"/>
                </w:tcPr>
                <w:p w14:paraId="5EFB66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鸡胸肉</w:t>
                  </w:r>
                </w:p>
              </w:tc>
              <w:tc>
                <w:tcPr>
                  <w:tcW w:w="1620" w:type="dxa"/>
                  <w:tcBorders>
                    <w:tl2br w:val="nil"/>
                    <w:tr2bl w:val="nil"/>
                  </w:tcBorders>
                  <w:vAlign w:val="center"/>
                </w:tcPr>
                <w:p w14:paraId="1D003F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1050</w:t>
                  </w:r>
                </w:p>
              </w:tc>
              <w:tc>
                <w:tcPr>
                  <w:tcW w:w="1710" w:type="dxa"/>
                  <w:tcBorders>
                    <w:tl2br w:val="nil"/>
                    <w:tr2bl w:val="nil"/>
                  </w:tcBorders>
                  <w:vAlign w:val="center"/>
                </w:tcPr>
                <w:p w14:paraId="5C3AF04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25</w:t>
                  </w:r>
                </w:p>
              </w:tc>
              <w:tc>
                <w:tcPr>
                  <w:tcW w:w="975" w:type="dxa"/>
                  <w:tcBorders>
                    <w:tl2br w:val="nil"/>
                    <w:tr2bl w:val="nil"/>
                  </w:tcBorders>
                  <w:vAlign w:val="center"/>
                </w:tcPr>
                <w:p w14:paraId="35BE950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袋装</w:t>
                  </w:r>
                </w:p>
              </w:tc>
              <w:tc>
                <w:tcPr>
                  <w:tcW w:w="2139" w:type="dxa"/>
                  <w:tcBorders>
                    <w:tl2br w:val="nil"/>
                    <w:tr2bl w:val="nil"/>
                  </w:tcBorders>
                  <w:vAlign w:val="center"/>
                </w:tcPr>
                <w:p w14:paraId="317653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p>
              </w:tc>
            </w:tr>
            <w:tr w14:paraId="564DAB2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14" w:type="dxa"/>
                  <w:tcBorders>
                    <w:tl2br w:val="nil"/>
                    <w:tr2bl w:val="nil"/>
                  </w:tcBorders>
                  <w:shd w:val="clear" w:color="auto" w:fill="auto"/>
                  <w:vAlign w:val="center"/>
                </w:tcPr>
                <w:p w14:paraId="0D964FE4">
                  <w:pPr>
                    <w:pStyle w:val="116"/>
                    <w:kinsoku w:val="0"/>
                    <w:overflowPunct w:val="0"/>
                    <w:jc w:val="center"/>
                    <w:rPr>
                      <w:rFonts w:hint="eastAsia" w:ascii="Times New Roman" w:hAnsi="Times New Roman" w:eastAsia="宋体" w:cs="Times New Roman"/>
                      <w:color w:val="auto"/>
                      <w:kern w:val="0"/>
                      <w:sz w:val="21"/>
                      <w:szCs w:val="21"/>
                      <w:highlight w:val="none"/>
                      <w:u w:val="none" w:color="auto"/>
                      <w:lang w:val="en-US" w:eastAsia="zh-CN" w:bidi="ar-SA"/>
                    </w:rPr>
                  </w:pPr>
                  <w:r>
                    <w:rPr>
                      <w:rFonts w:hint="eastAsia" w:ascii="Times New Roman" w:hAnsi="Times New Roman" w:eastAsia="宋体" w:cs="Times New Roman"/>
                      <w:color w:val="auto"/>
                      <w:sz w:val="21"/>
                      <w:szCs w:val="21"/>
                      <w:highlight w:val="none"/>
                      <w:u w:val="none" w:color="auto"/>
                      <w:lang w:val="en-US" w:eastAsia="zh-CN"/>
                    </w:rPr>
                    <w:t>猪肉</w:t>
                  </w:r>
                </w:p>
              </w:tc>
              <w:tc>
                <w:tcPr>
                  <w:tcW w:w="1620" w:type="dxa"/>
                  <w:tcBorders>
                    <w:tl2br w:val="nil"/>
                    <w:tr2bl w:val="nil"/>
                  </w:tcBorders>
                  <w:vAlign w:val="center"/>
                </w:tcPr>
                <w:p w14:paraId="71E3F9C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525</w:t>
                  </w:r>
                </w:p>
              </w:tc>
              <w:tc>
                <w:tcPr>
                  <w:tcW w:w="1710" w:type="dxa"/>
                  <w:tcBorders>
                    <w:tl2br w:val="nil"/>
                    <w:tr2bl w:val="nil"/>
                  </w:tcBorders>
                  <w:vAlign w:val="center"/>
                </w:tcPr>
                <w:p w14:paraId="4EFD41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20</w:t>
                  </w:r>
                </w:p>
              </w:tc>
              <w:tc>
                <w:tcPr>
                  <w:tcW w:w="975" w:type="dxa"/>
                  <w:tcBorders>
                    <w:tl2br w:val="nil"/>
                    <w:tr2bl w:val="nil"/>
                  </w:tcBorders>
                  <w:vAlign w:val="center"/>
                </w:tcPr>
                <w:p w14:paraId="39E1D67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袋装</w:t>
                  </w:r>
                </w:p>
              </w:tc>
              <w:tc>
                <w:tcPr>
                  <w:tcW w:w="2139" w:type="dxa"/>
                  <w:tcBorders>
                    <w:tl2br w:val="nil"/>
                    <w:tr2bl w:val="nil"/>
                  </w:tcBorders>
                  <w:vAlign w:val="center"/>
                </w:tcPr>
                <w:p w14:paraId="51B490A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highlight w:val="none"/>
                      <w:u w:val="none" w:color="auto"/>
                      <w:vertAlign w:val="baseline"/>
                      <w:lang w:val="en-US" w:eastAsia="zh-CN"/>
                    </w:rPr>
                  </w:pPr>
                </w:p>
              </w:tc>
            </w:tr>
            <w:tr w14:paraId="584FEF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914" w:type="dxa"/>
                  <w:tcBorders>
                    <w:tl2br w:val="nil"/>
                    <w:tr2bl w:val="nil"/>
                  </w:tcBorders>
                  <w:vAlign w:val="center"/>
                </w:tcPr>
                <w:p w14:paraId="545ECB6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食盐</w:t>
                  </w:r>
                </w:p>
              </w:tc>
              <w:tc>
                <w:tcPr>
                  <w:tcW w:w="1620" w:type="dxa"/>
                  <w:tcBorders>
                    <w:tl2br w:val="nil"/>
                    <w:tr2bl w:val="nil"/>
                  </w:tcBorders>
                  <w:vAlign w:val="center"/>
                </w:tcPr>
                <w:p w14:paraId="1D10A7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19</w:t>
                  </w:r>
                </w:p>
              </w:tc>
              <w:tc>
                <w:tcPr>
                  <w:tcW w:w="1710" w:type="dxa"/>
                  <w:tcBorders>
                    <w:tl2br w:val="nil"/>
                    <w:tr2bl w:val="nil"/>
                  </w:tcBorders>
                  <w:vAlign w:val="center"/>
                </w:tcPr>
                <w:p w14:paraId="4CE564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w:t>
                  </w:r>
                </w:p>
              </w:tc>
              <w:tc>
                <w:tcPr>
                  <w:tcW w:w="975" w:type="dxa"/>
                  <w:tcBorders>
                    <w:tl2br w:val="nil"/>
                    <w:tr2bl w:val="nil"/>
                  </w:tcBorders>
                  <w:vAlign w:val="center"/>
                </w:tcPr>
                <w:p w14:paraId="38BA8D9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袋装</w:t>
                  </w:r>
                </w:p>
              </w:tc>
              <w:tc>
                <w:tcPr>
                  <w:tcW w:w="2139" w:type="dxa"/>
                  <w:tcBorders>
                    <w:tl2br w:val="nil"/>
                    <w:tr2bl w:val="nil"/>
                  </w:tcBorders>
                  <w:vAlign w:val="center"/>
                </w:tcPr>
                <w:p w14:paraId="10DFCA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val="0"/>
                      <w:bCs w:val="0"/>
                      <w:color w:val="auto"/>
                      <w:sz w:val="21"/>
                      <w:szCs w:val="21"/>
                      <w:highlight w:val="none"/>
                      <w:u w:val="none" w:color="auto"/>
                      <w:vertAlign w:val="baseline"/>
                      <w:lang w:val="en-US" w:eastAsia="zh-CN"/>
                    </w:rPr>
                  </w:pPr>
                </w:p>
              </w:tc>
            </w:tr>
            <w:tr w14:paraId="3D28C5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14" w:type="dxa"/>
                  <w:tcBorders>
                    <w:tl2br w:val="nil"/>
                    <w:tr2bl w:val="nil"/>
                  </w:tcBorders>
                  <w:vAlign w:val="center"/>
                </w:tcPr>
                <w:p w14:paraId="538BE2F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亚硝酸钠</w:t>
                  </w:r>
                </w:p>
              </w:tc>
              <w:tc>
                <w:tcPr>
                  <w:tcW w:w="1620" w:type="dxa"/>
                  <w:tcBorders>
                    <w:tl2br w:val="nil"/>
                    <w:tr2bl w:val="nil"/>
                  </w:tcBorders>
                  <w:vAlign w:val="center"/>
                </w:tcPr>
                <w:p w14:paraId="567C267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0.1</w:t>
                  </w:r>
                </w:p>
              </w:tc>
              <w:tc>
                <w:tcPr>
                  <w:tcW w:w="1710" w:type="dxa"/>
                  <w:tcBorders>
                    <w:tl2br w:val="nil"/>
                    <w:tr2bl w:val="nil"/>
                  </w:tcBorders>
                  <w:vAlign w:val="center"/>
                </w:tcPr>
                <w:p w14:paraId="34E9FF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0.02</w:t>
                  </w:r>
                </w:p>
              </w:tc>
              <w:tc>
                <w:tcPr>
                  <w:tcW w:w="975" w:type="dxa"/>
                  <w:tcBorders>
                    <w:tl2br w:val="nil"/>
                    <w:tr2bl w:val="nil"/>
                  </w:tcBorders>
                  <w:vAlign w:val="center"/>
                </w:tcPr>
                <w:p w14:paraId="0E03A85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袋装</w:t>
                  </w:r>
                </w:p>
              </w:tc>
              <w:tc>
                <w:tcPr>
                  <w:tcW w:w="2139" w:type="dxa"/>
                  <w:tcBorders>
                    <w:tl2br w:val="nil"/>
                    <w:tr2bl w:val="nil"/>
                  </w:tcBorders>
                  <w:vAlign w:val="center"/>
                </w:tcPr>
                <w:p w14:paraId="09B4AA3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p>
              </w:tc>
            </w:tr>
            <w:tr w14:paraId="0D5018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14" w:type="dxa"/>
                  <w:tcBorders>
                    <w:tl2br w:val="nil"/>
                    <w:tr2bl w:val="nil"/>
                  </w:tcBorders>
                  <w:vAlign w:val="center"/>
                </w:tcPr>
                <w:p w14:paraId="139268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冰蛋液</w:t>
                  </w:r>
                </w:p>
              </w:tc>
              <w:tc>
                <w:tcPr>
                  <w:tcW w:w="1620" w:type="dxa"/>
                  <w:tcBorders>
                    <w:tl2br w:val="nil"/>
                    <w:tr2bl w:val="nil"/>
                  </w:tcBorders>
                  <w:vAlign w:val="center"/>
                </w:tcPr>
                <w:p w14:paraId="31916A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32</w:t>
                  </w:r>
                </w:p>
              </w:tc>
              <w:tc>
                <w:tcPr>
                  <w:tcW w:w="1710" w:type="dxa"/>
                  <w:tcBorders>
                    <w:tl2br w:val="nil"/>
                    <w:tr2bl w:val="nil"/>
                  </w:tcBorders>
                  <w:vAlign w:val="center"/>
                </w:tcPr>
                <w:p w14:paraId="754625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1</w:t>
                  </w:r>
                </w:p>
              </w:tc>
              <w:tc>
                <w:tcPr>
                  <w:tcW w:w="975" w:type="dxa"/>
                  <w:tcBorders>
                    <w:tl2br w:val="nil"/>
                    <w:tr2bl w:val="nil"/>
                  </w:tcBorders>
                  <w:vAlign w:val="center"/>
                </w:tcPr>
                <w:p w14:paraId="28C325B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袋装</w:t>
                  </w:r>
                </w:p>
              </w:tc>
              <w:tc>
                <w:tcPr>
                  <w:tcW w:w="2139" w:type="dxa"/>
                  <w:tcBorders>
                    <w:tl2br w:val="nil"/>
                    <w:tr2bl w:val="nil"/>
                  </w:tcBorders>
                  <w:vAlign w:val="center"/>
                </w:tcPr>
                <w:p w14:paraId="783B78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p>
              </w:tc>
            </w:tr>
            <w:tr w14:paraId="0E3132F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14" w:type="dxa"/>
                  <w:tcBorders>
                    <w:tl2br w:val="nil"/>
                    <w:tr2bl w:val="nil"/>
                  </w:tcBorders>
                  <w:vAlign w:val="center"/>
                </w:tcPr>
                <w:p w14:paraId="7BC202F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分离蛋白</w:t>
                  </w:r>
                </w:p>
              </w:tc>
              <w:tc>
                <w:tcPr>
                  <w:tcW w:w="1620" w:type="dxa"/>
                  <w:tcBorders>
                    <w:tl2br w:val="nil"/>
                    <w:tr2bl w:val="nil"/>
                  </w:tcBorders>
                  <w:vAlign w:val="center"/>
                </w:tcPr>
                <w:p w14:paraId="54F3CC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52</w:t>
                  </w:r>
                </w:p>
              </w:tc>
              <w:tc>
                <w:tcPr>
                  <w:tcW w:w="1710" w:type="dxa"/>
                  <w:tcBorders>
                    <w:tl2br w:val="nil"/>
                    <w:tr2bl w:val="nil"/>
                  </w:tcBorders>
                  <w:vAlign w:val="center"/>
                </w:tcPr>
                <w:p w14:paraId="4DE140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2</w:t>
                  </w:r>
                </w:p>
              </w:tc>
              <w:tc>
                <w:tcPr>
                  <w:tcW w:w="975" w:type="dxa"/>
                  <w:tcBorders>
                    <w:tl2br w:val="nil"/>
                    <w:tr2bl w:val="nil"/>
                  </w:tcBorders>
                  <w:vAlign w:val="center"/>
                </w:tcPr>
                <w:p w14:paraId="2E906C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袋装</w:t>
                  </w:r>
                </w:p>
              </w:tc>
              <w:tc>
                <w:tcPr>
                  <w:tcW w:w="2139" w:type="dxa"/>
                  <w:tcBorders>
                    <w:tl2br w:val="nil"/>
                    <w:tr2bl w:val="nil"/>
                  </w:tcBorders>
                  <w:vAlign w:val="center"/>
                </w:tcPr>
                <w:p w14:paraId="004D33E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p>
              </w:tc>
            </w:tr>
            <w:tr w14:paraId="119229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14" w:type="dxa"/>
                  <w:tcBorders>
                    <w:tl2br w:val="nil"/>
                    <w:tr2bl w:val="nil"/>
                  </w:tcBorders>
                  <w:vAlign w:val="center"/>
                </w:tcPr>
                <w:p w14:paraId="45AAE74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猪膏</w:t>
                  </w:r>
                </w:p>
              </w:tc>
              <w:tc>
                <w:tcPr>
                  <w:tcW w:w="1620" w:type="dxa"/>
                  <w:tcBorders>
                    <w:tl2br w:val="nil"/>
                    <w:tr2bl w:val="nil"/>
                  </w:tcBorders>
                  <w:vAlign w:val="center"/>
                </w:tcPr>
                <w:p w14:paraId="3F0E64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11</w:t>
                  </w:r>
                </w:p>
              </w:tc>
              <w:tc>
                <w:tcPr>
                  <w:tcW w:w="1710" w:type="dxa"/>
                  <w:tcBorders>
                    <w:tl2br w:val="nil"/>
                    <w:tr2bl w:val="nil"/>
                  </w:tcBorders>
                  <w:vAlign w:val="center"/>
                </w:tcPr>
                <w:p w14:paraId="318395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0.5</w:t>
                  </w:r>
                </w:p>
              </w:tc>
              <w:tc>
                <w:tcPr>
                  <w:tcW w:w="975" w:type="dxa"/>
                  <w:tcBorders>
                    <w:tl2br w:val="nil"/>
                    <w:tr2bl w:val="nil"/>
                  </w:tcBorders>
                  <w:vAlign w:val="center"/>
                </w:tcPr>
                <w:p w14:paraId="0F7968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袋装</w:t>
                  </w:r>
                </w:p>
              </w:tc>
              <w:tc>
                <w:tcPr>
                  <w:tcW w:w="2139" w:type="dxa"/>
                  <w:tcBorders>
                    <w:tl2br w:val="nil"/>
                    <w:tr2bl w:val="nil"/>
                  </w:tcBorders>
                  <w:vAlign w:val="center"/>
                </w:tcPr>
                <w:p w14:paraId="70C1EC7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p>
              </w:tc>
            </w:tr>
            <w:tr w14:paraId="6178CDE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14" w:type="dxa"/>
                  <w:tcBorders>
                    <w:tl2br w:val="nil"/>
                    <w:tr2bl w:val="nil"/>
                  </w:tcBorders>
                  <w:vAlign w:val="center"/>
                </w:tcPr>
                <w:p w14:paraId="7D0EEB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味精</w:t>
                  </w:r>
                </w:p>
              </w:tc>
              <w:tc>
                <w:tcPr>
                  <w:tcW w:w="1620" w:type="dxa"/>
                  <w:tcBorders>
                    <w:tl2br w:val="nil"/>
                    <w:tr2bl w:val="nil"/>
                  </w:tcBorders>
                  <w:vAlign w:val="center"/>
                </w:tcPr>
                <w:p w14:paraId="7823C6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4</w:t>
                  </w:r>
                </w:p>
              </w:tc>
              <w:tc>
                <w:tcPr>
                  <w:tcW w:w="1710" w:type="dxa"/>
                  <w:tcBorders>
                    <w:tl2br w:val="nil"/>
                    <w:tr2bl w:val="nil"/>
                  </w:tcBorders>
                  <w:vAlign w:val="center"/>
                </w:tcPr>
                <w:p w14:paraId="255A2DC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0.2</w:t>
                  </w:r>
                </w:p>
              </w:tc>
              <w:tc>
                <w:tcPr>
                  <w:tcW w:w="975" w:type="dxa"/>
                  <w:tcBorders>
                    <w:tl2br w:val="nil"/>
                    <w:tr2bl w:val="nil"/>
                  </w:tcBorders>
                  <w:vAlign w:val="center"/>
                </w:tcPr>
                <w:p w14:paraId="45D5BBF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袋装</w:t>
                  </w:r>
                </w:p>
              </w:tc>
              <w:tc>
                <w:tcPr>
                  <w:tcW w:w="2139" w:type="dxa"/>
                  <w:tcBorders>
                    <w:tl2br w:val="nil"/>
                    <w:tr2bl w:val="nil"/>
                  </w:tcBorders>
                  <w:vAlign w:val="center"/>
                </w:tcPr>
                <w:p w14:paraId="1ECFD5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p>
              </w:tc>
            </w:tr>
            <w:tr w14:paraId="77354C1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14" w:type="dxa"/>
                  <w:tcBorders>
                    <w:tl2br w:val="nil"/>
                    <w:tr2bl w:val="nil"/>
                  </w:tcBorders>
                  <w:vAlign w:val="center"/>
                </w:tcPr>
                <w:p w14:paraId="125BF1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胡椒粉</w:t>
                  </w:r>
                </w:p>
              </w:tc>
              <w:tc>
                <w:tcPr>
                  <w:tcW w:w="1620" w:type="dxa"/>
                  <w:tcBorders>
                    <w:tl2br w:val="nil"/>
                    <w:tr2bl w:val="nil"/>
                  </w:tcBorders>
                  <w:vAlign w:val="center"/>
                </w:tcPr>
                <w:p w14:paraId="448D78D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4</w:t>
                  </w:r>
                </w:p>
              </w:tc>
              <w:tc>
                <w:tcPr>
                  <w:tcW w:w="1710" w:type="dxa"/>
                  <w:tcBorders>
                    <w:tl2br w:val="nil"/>
                    <w:tr2bl w:val="nil"/>
                  </w:tcBorders>
                  <w:vAlign w:val="center"/>
                </w:tcPr>
                <w:p w14:paraId="4D260F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0.2</w:t>
                  </w:r>
                </w:p>
              </w:tc>
              <w:tc>
                <w:tcPr>
                  <w:tcW w:w="975" w:type="dxa"/>
                  <w:tcBorders>
                    <w:tl2br w:val="nil"/>
                    <w:tr2bl w:val="nil"/>
                  </w:tcBorders>
                  <w:vAlign w:val="center"/>
                </w:tcPr>
                <w:p w14:paraId="4C3771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袋装</w:t>
                  </w:r>
                </w:p>
              </w:tc>
              <w:tc>
                <w:tcPr>
                  <w:tcW w:w="2139" w:type="dxa"/>
                  <w:tcBorders>
                    <w:tl2br w:val="nil"/>
                    <w:tr2bl w:val="nil"/>
                  </w:tcBorders>
                  <w:vAlign w:val="center"/>
                </w:tcPr>
                <w:p w14:paraId="2BA1613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p>
              </w:tc>
            </w:tr>
            <w:tr w14:paraId="1E0E5B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14" w:type="dxa"/>
                  <w:tcBorders>
                    <w:tl2br w:val="nil"/>
                    <w:tr2bl w:val="nil"/>
                  </w:tcBorders>
                  <w:vAlign w:val="center"/>
                </w:tcPr>
                <w:p w14:paraId="3684F3F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木薯淀粉</w:t>
                  </w:r>
                </w:p>
              </w:tc>
              <w:tc>
                <w:tcPr>
                  <w:tcW w:w="1620" w:type="dxa"/>
                  <w:tcBorders>
                    <w:tl2br w:val="nil"/>
                    <w:tr2bl w:val="nil"/>
                  </w:tcBorders>
                  <w:vAlign w:val="center"/>
                </w:tcPr>
                <w:p w14:paraId="06827BD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87</w:t>
                  </w:r>
                </w:p>
              </w:tc>
              <w:tc>
                <w:tcPr>
                  <w:tcW w:w="1710" w:type="dxa"/>
                  <w:tcBorders>
                    <w:tl2br w:val="nil"/>
                    <w:tr2bl w:val="nil"/>
                  </w:tcBorders>
                  <w:vAlign w:val="center"/>
                </w:tcPr>
                <w:p w14:paraId="2CD18D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5</w:t>
                  </w:r>
                </w:p>
              </w:tc>
              <w:tc>
                <w:tcPr>
                  <w:tcW w:w="975" w:type="dxa"/>
                  <w:tcBorders>
                    <w:tl2br w:val="nil"/>
                    <w:tr2bl w:val="nil"/>
                  </w:tcBorders>
                  <w:vAlign w:val="center"/>
                </w:tcPr>
                <w:p w14:paraId="6278AE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袋装</w:t>
                  </w:r>
                </w:p>
              </w:tc>
              <w:tc>
                <w:tcPr>
                  <w:tcW w:w="2139" w:type="dxa"/>
                  <w:tcBorders>
                    <w:tl2br w:val="nil"/>
                    <w:tr2bl w:val="nil"/>
                  </w:tcBorders>
                  <w:vAlign w:val="center"/>
                </w:tcPr>
                <w:p w14:paraId="52355A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p>
              </w:tc>
            </w:tr>
            <w:tr w14:paraId="08EEB4D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14" w:type="dxa"/>
                  <w:tcBorders>
                    <w:tl2br w:val="nil"/>
                    <w:tr2bl w:val="nil"/>
                  </w:tcBorders>
                  <w:vAlign w:val="center"/>
                </w:tcPr>
                <w:p w14:paraId="0294CE5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玉米淀粉</w:t>
                  </w:r>
                </w:p>
              </w:tc>
              <w:tc>
                <w:tcPr>
                  <w:tcW w:w="1620" w:type="dxa"/>
                  <w:tcBorders>
                    <w:tl2br w:val="nil"/>
                    <w:tr2bl w:val="nil"/>
                  </w:tcBorders>
                  <w:vAlign w:val="center"/>
                </w:tcPr>
                <w:p w14:paraId="321833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45</w:t>
                  </w:r>
                </w:p>
              </w:tc>
              <w:tc>
                <w:tcPr>
                  <w:tcW w:w="1710" w:type="dxa"/>
                  <w:tcBorders>
                    <w:tl2br w:val="nil"/>
                    <w:tr2bl w:val="nil"/>
                  </w:tcBorders>
                  <w:vAlign w:val="center"/>
                </w:tcPr>
                <w:p w14:paraId="0DCF4C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3</w:t>
                  </w:r>
                </w:p>
              </w:tc>
              <w:tc>
                <w:tcPr>
                  <w:tcW w:w="975" w:type="dxa"/>
                  <w:tcBorders>
                    <w:tl2br w:val="nil"/>
                    <w:tr2bl w:val="nil"/>
                  </w:tcBorders>
                  <w:vAlign w:val="center"/>
                </w:tcPr>
                <w:p w14:paraId="2E2D33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袋装</w:t>
                  </w:r>
                </w:p>
              </w:tc>
              <w:tc>
                <w:tcPr>
                  <w:tcW w:w="2139" w:type="dxa"/>
                  <w:tcBorders>
                    <w:tl2br w:val="nil"/>
                    <w:tr2bl w:val="nil"/>
                  </w:tcBorders>
                  <w:vAlign w:val="center"/>
                </w:tcPr>
                <w:p w14:paraId="120BEA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p>
              </w:tc>
            </w:tr>
            <w:tr w14:paraId="0FD967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14" w:type="dxa"/>
                  <w:tcBorders>
                    <w:tl2br w:val="nil"/>
                    <w:tr2bl w:val="nil"/>
                  </w:tcBorders>
                  <w:vAlign w:val="center"/>
                </w:tcPr>
                <w:p w14:paraId="4D1E74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白糖</w:t>
                  </w:r>
                </w:p>
              </w:tc>
              <w:tc>
                <w:tcPr>
                  <w:tcW w:w="1620" w:type="dxa"/>
                  <w:tcBorders>
                    <w:tl2br w:val="nil"/>
                    <w:tr2bl w:val="nil"/>
                  </w:tcBorders>
                  <w:vAlign w:val="center"/>
                </w:tcPr>
                <w:p w14:paraId="72B5F0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100</w:t>
                  </w:r>
                </w:p>
              </w:tc>
              <w:tc>
                <w:tcPr>
                  <w:tcW w:w="1710" w:type="dxa"/>
                  <w:tcBorders>
                    <w:tl2br w:val="nil"/>
                    <w:tr2bl w:val="nil"/>
                  </w:tcBorders>
                  <w:vAlign w:val="center"/>
                </w:tcPr>
                <w:p w14:paraId="7D57367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5</w:t>
                  </w:r>
                </w:p>
              </w:tc>
              <w:tc>
                <w:tcPr>
                  <w:tcW w:w="975" w:type="dxa"/>
                  <w:tcBorders>
                    <w:tl2br w:val="nil"/>
                    <w:tr2bl w:val="nil"/>
                  </w:tcBorders>
                  <w:vAlign w:val="center"/>
                </w:tcPr>
                <w:p w14:paraId="6B21C57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袋装</w:t>
                  </w:r>
                </w:p>
              </w:tc>
              <w:tc>
                <w:tcPr>
                  <w:tcW w:w="2139" w:type="dxa"/>
                  <w:tcBorders>
                    <w:tl2br w:val="nil"/>
                    <w:tr2bl w:val="nil"/>
                  </w:tcBorders>
                  <w:vAlign w:val="center"/>
                </w:tcPr>
                <w:p w14:paraId="0B70C0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p>
              </w:tc>
            </w:tr>
            <w:tr w14:paraId="4F5DB8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14" w:type="dxa"/>
                  <w:tcBorders>
                    <w:tl2br w:val="nil"/>
                    <w:tr2bl w:val="nil"/>
                  </w:tcBorders>
                  <w:vAlign w:val="center"/>
                </w:tcPr>
                <w:p w14:paraId="44A5593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TG酶</w:t>
                  </w:r>
                </w:p>
              </w:tc>
              <w:tc>
                <w:tcPr>
                  <w:tcW w:w="1620" w:type="dxa"/>
                  <w:tcBorders>
                    <w:tl2br w:val="nil"/>
                    <w:tr2bl w:val="nil"/>
                  </w:tcBorders>
                  <w:vAlign w:val="center"/>
                </w:tcPr>
                <w:p w14:paraId="555C5B1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10</w:t>
                  </w:r>
                </w:p>
              </w:tc>
              <w:tc>
                <w:tcPr>
                  <w:tcW w:w="1710" w:type="dxa"/>
                  <w:tcBorders>
                    <w:tl2br w:val="nil"/>
                    <w:tr2bl w:val="nil"/>
                  </w:tcBorders>
                  <w:vAlign w:val="center"/>
                </w:tcPr>
                <w:p w14:paraId="179D72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0.5</w:t>
                  </w:r>
                </w:p>
              </w:tc>
              <w:tc>
                <w:tcPr>
                  <w:tcW w:w="975" w:type="dxa"/>
                  <w:tcBorders>
                    <w:tl2br w:val="nil"/>
                    <w:tr2bl w:val="nil"/>
                  </w:tcBorders>
                  <w:vAlign w:val="center"/>
                </w:tcPr>
                <w:p w14:paraId="2F2AD9E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袋装</w:t>
                  </w:r>
                </w:p>
              </w:tc>
              <w:tc>
                <w:tcPr>
                  <w:tcW w:w="2139" w:type="dxa"/>
                  <w:tcBorders>
                    <w:tl2br w:val="nil"/>
                    <w:tr2bl w:val="nil"/>
                  </w:tcBorders>
                  <w:vAlign w:val="center"/>
                </w:tcPr>
                <w:p w14:paraId="348A767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p>
              </w:tc>
            </w:tr>
            <w:tr w14:paraId="6363696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14" w:type="dxa"/>
                  <w:tcBorders>
                    <w:tl2br w:val="nil"/>
                    <w:tr2bl w:val="nil"/>
                  </w:tcBorders>
                  <w:vAlign w:val="center"/>
                </w:tcPr>
                <w:p w14:paraId="4EF66C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麦芽糖</w:t>
                  </w:r>
                </w:p>
              </w:tc>
              <w:tc>
                <w:tcPr>
                  <w:tcW w:w="1620" w:type="dxa"/>
                  <w:tcBorders>
                    <w:tl2br w:val="nil"/>
                    <w:tr2bl w:val="nil"/>
                  </w:tcBorders>
                  <w:vAlign w:val="center"/>
                </w:tcPr>
                <w:p w14:paraId="021AA2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87</w:t>
                  </w:r>
                </w:p>
              </w:tc>
              <w:tc>
                <w:tcPr>
                  <w:tcW w:w="1710" w:type="dxa"/>
                  <w:tcBorders>
                    <w:tl2br w:val="nil"/>
                    <w:tr2bl w:val="nil"/>
                  </w:tcBorders>
                  <w:vAlign w:val="center"/>
                </w:tcPr>
                <w:p w14:paraId="5F4FA28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5</w:t>
                  </w:r>
                </w:p>
              </w:tc>
              <w:tc>
                <w:tcPr>
                  <w:tcW w:w="975" w:type="dxa"/>
                  <w:tcBorders>
                    <w:tl2br w:val="nil"/>
                    <w:tr2bl w:val="nil"/>
                  </w:tcBorders>
                  <w:vAlign w:val="center"/>
                </w:tcPr>
                <w:p w14:paraId="0F712C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袋装</w:t>
                  </w:r>
                </w:p>
              </w:tc>
              <w:tc>
                <w:tcPr>
                  <w:tcW w:w="2139" w:type="dxa"/>
                  <w:tcBorders>
                    <w:tl2br w:val="nil"/>
                    <w:tr2bl w:val="nil"/>
                  </w:tcBorders>
                  <w:vAlign w:val="center"/>
                </w:tcPr>
                <w:p w14:paraId="5C447F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p>
              </w:tc>
            </w:tr>
            <w:tr w14:paraId="5C0459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914" w:type="dxa"/>
                  <w:tcBorders>
                    <w:tl2br w:val="nil"/>
                    <w:tr2bl w:val="nil"/>
                  </w:tcBorders>
                  <w:vAlign w:val="center"/>
                </w:tcPr>
                <w:p w14:paraId="1364331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甜玉米粒</w:t>
                  </w:r>
                </w:p>
              </w:tc>
              <w:tc>
                <w:tcPr>
                  <w:tcW w:w="1620" w:type="dxa"/>
                  <w:tcBorders>
                    <w:tl2br w:val="nil"/>
                    <w:tr2bl w:val="nil"/>
                  </w:tcBorders>
                  <w:vAlign w:val="center"/>
                </w:tcPr>
                <w:p w14:paraId="621079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119</w:t>
                  </w:r>
                </w:p>
              </w:tc>
              <w:tc>
                <w:tcPr>
                  <w:tcW w:w="1710" w:type="dxa"/>
                  <w:tcBorders>
                    <w:tl2br w:val="nil"/>
                    <w:tr2bl w:val="nil"/>
                  </w:tcBorders>
                  <w:vAlign w:val="center"/>
                </w:tcPr>
                <w:p w14:paraId="27503AA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5</w:t>
                  </w:r>
                </w:p>
              </w:tc>
              <w:tc>
                <w:tcPr>
                  <w:tcW w:w="975" w:type="dxa"/>
                  <w:tcBorders>
                    <w:tl2br w:val="nil"/>
                    <w:tr2bl w:val="nil"/>
                  </w:tcBorders>
                  <w:vAlign w:val="center"/>
                </w:tcPr>
                <w:p w14:paraId="4DB7F7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袋装</w:t>
                  </w:r>
                </w:p>
              </w:tc>
              <w:tc>
                <w:tcPr>
                  <w:tcW w:w="2139" w:type="dxa"/>
                  <w:tcBorders>
                    <w:tl2br w:val="nil"/>
                    <w:tr2bl w:val="nil"/>
                  </w:tcBorders>
                  <w:vAlign w:val="center"/>
                </w:tcPr>
                <w:p w14:paraId="33ACB1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p>
              </w:tc>
            </w:tr>
            <w:tr w14:paraId="297621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14" w:type="dxa"/>
                  <w:tcBorders>
                    <w:tl2br w:val="nil"/>
                    <w:tr2bl w:val="nil"/>
                  </w:tcBorders>
                  <w:vAlign w:val="center"/>
                </w:tcPr>
                <w:p w14:paraId="5C8023C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食品添加剂</w:t>
                  </w:r>
                </w:p>
              </w:tc>
              <w:tc>
                <w:tcPr>
                  <w:tcW w:w="1620" w:type="dxa"/>
                  <w:tcBorders>
                    <w:tl2br w:val="nil"/>
                    <w:tr2bl w:val="nil"/>
                  </w:tcBorders>
                  <w:vAlign w:val="center"/>
                </w:tcPr>
                <w:p w14:paraId="29274F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28</w:t>
                  </w:r>
                </w:p>
              </w:tc>
              <w:tc>
                <w:tcPr>
                  <w:tcW w:w="1710" w:type="dxa"/>
                  <w:tcBorders>
                    <w:tl2br w:val="nil"/>
                    <w:tr2bl w:val="nil"/>
                  </w:tcBorders>
                  <w:vAlign w:val="center"/>
                </w:tcPr>
                <w:p w14:paraId="68AFBF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1</w:t>
                  </w:r>
                </w:p>
              </w:tc>
              <w:tc>
                <w:tcPr>
                  <w:tcW w:w="975" w:type="dxa"/>
                  <w:tcBorders>
                    <w:tl2br w:val="nil"/>
                    <w:tr2bl w:val="nil"/>
                  </w:tcBorders>
                  <w:vAlign w:val="center"/>
                </w:tcPr>
                <w:p w14:paraId="147BB3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袋装</w:t>
                  </w:r>
                </w:p>
              </w:tc>
              <w:tc>
                <w:tcPr>
                  <w:tcW w:w="2139" w:type="dxa"/>
                  <w:tcBorders>
                    <w:tl2br w:val="nil"/>
                    <w:tr2bl w:val="nil"/>
                  </w:tcBorders>
                  <w:vAlign w:val="center"/>
                </w:tcPr>
                <w:p w14:paraId="2A12C69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p>
              </w:tc>
            </w:tr>
            <w:tr w14:paraId="2D4112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358" w:type="dxa"/>
                  <w:gridSpan w:val="5"/>
                  <w:tcBorders>
                    <w:tl2br w:val="nil"/>
                    <w:tr2bl w:val="nil"/>
                  </w:tcBorders>
                  <w:vAlign w:val="center"/>
                </w:tcPr>
                <w:p w14:paraId="42EA695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豆制品</w:t>
                  </w:r>
                </w:p>
              </w:tc>
            </w:tr>
            <w:tr w14:paraId="7D2CD8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14" w:type="dxa"/>
                  <w:tcBorders>
                    <w:tl2br w:val="nil"/>
                    <w:tr2bl w:val="nil"/>
                  </w:tcBorders>
                  <w:vAlign w:val="center"/>
                </w:tcPr>
                <w:p w14:paraId="7D5E52E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大豆</w:t>
                  </w:r>
                </w:p>
              </w:tc>
              <w:tc>
                <w:tcPr>
                  <w:tcW w:w="1620" w:type="dxa"/>
                  <w:tcBorders>
                    <w:tl2br w:val="nil"/>
                    <w:tr2bl w:val="nil"/>
                  </w:tcBorders>
                  <w:vAlign w:val="center"/>
                </w:tcPr>
                <w:p w14:paraId="5F84D5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1750</w:t>
                  </w:r>
                </w:p>
              </w:tc>
              <w:tc>
                <w:tcPr>
                  <w:tcW w:w="1710" w:type="dxa"/>
                  <w:tcBorders>
                    <w:tl2br w:val="nil"/>
                    <w:tr2bl w:val="nil"/>
                  </w:tcBorders>
                  <w:vAlign w:val="center"/>
                </w:tcPr>
                <w:p w14:paraId="6FDE86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50</w:t>
                  </w:r>
                </w:p>
              </w:tc>
              <w:tc>
                <w:tcPr>
                  <w:tcW w:w="975" w:type="dxa"/>
                  <w:tcBorders>
                    <w:tl2br w:val="nil"/>
                    <w:tr2bl w:val="nil"/>
                  </w:tcBorders>
                  <w:vAlign w:val="center"/>
                </w:tcPr>
                <w:p w14:paraId="501B3A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袋装</w:t>
                  </w:r>
                </w:p>
              </w:tc>
              <w:tc>
                <w:tcPr>
                  <w:tcW w:w="2139" w:type="dxa"/>
                  <w:tcBorders>
                    <w:tl2br w:val="nil"/>
                    <w:tr2bl w:val="nil"/>
                  </w:tcBorders>
                  <w:vAlign w:val="center"/>
                </w:tcPr>
                <w:p w14:paraId="3F6479F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p>
              </w:tc>
            </w:tr>
            <w:tr w14:paraId="0E1AB6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14" w:type="dxa"/>
                  <w:tcBorders>
                    <w:tl2br w:val="nil"/>
                    <w:tr2bl w:val="nil"/>
                  </w:tcBorders>
                  <w:vAlign w:val="center"/>
                </w:tcPr>
                <w:p w14:paraId="5C8FAF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食用油</w:t>
                  </w:r>
                </w:p>
              </w:tc>
              <w:tc>
                <w:tcPr>
                  <w:tcW w:w="1620" w:type="dxa"/>
                  <w:tcBorders>
                    <w:tl2br w:val="nil"/>
                    <w:tr2bl w:val="nil"/>
                  </w:tcBorders>
                  <w:vAlign w:val="center"/>
                </w:tcPr>
                <w:p w14:paraId="6DA2C4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35</w:t>
                  </w:r>
                </w:p>
              </w:tc>
              <w:tc>
                <w:tcPr>
                  <w:tcW w:w="1710" w:type="dxa"/>
                  <w:tcBorders>
                    <w:tl2br w:val="nil"/>
                    <w:tr2bl w:val="nil"/>
                  </w:tcBorders>
                  <w:vAlign w:val="center"/>
                </w:tcPr>
                <w:p w14:paraId="04A3AF6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5</w:t>
                  </w:r>
                </w:p>
              </w:tc>
              <w:tc>
                <w:tcPr>
                  <w:tcW w:w="975" w:type="dxa"/>
                  <w:tcBorders>
                    <w:tl2br w:val="nil"/>
                    <w:tr2bl w:val="nil"/>
                  </w:tcBorders>
                  <w:vAlign w:val="center"/>
                </w:tcPr>
                <w:p w14:paraId="2F06685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桶装</w:t>
                  </w:r>
                </w:p>
              </w:tc>
              <w:tc>
                <w:tcPr>
                  <w:tcW w:w="2139" w:type="dxa"/>
                  <w:tcBorders>
                    <w:tl2br w:val="nil"/>
                    <w:tr2bl w:val="nil"/>
                  </w:tcBorders>
                  <w:vAlign w:val="center"/>
                </w:tcPr>
                <w:p w14:paraId="215861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p>
              </w:tc>
            </w:tr>
            <w:tr w14:paraId="24C2D27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14" w:type="dxa"/>
                  <w:tcBorders>
                    <w:tl2br w:val="nil"/>
                    <w:tr2bl w:val="nil"/>
                  </w:tcBorders>
                  <w:vAlign w:val="center"/>
                </w:tcPr>
                <w:p w14:paraId="682A4B0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食用石膏</w:t>
                  </w:r>
                </w:p>
              </w:tc>
              <w:tc>
                <w:tcPr>
                  <w:tcW w:w="1620" w:type="dxa"/>
                  <w:tcBorders>
                    <w:tl2br w:val="nil"/>
                    <w:tr2bl w:val="nil"/>
                  </w:tcBorders>
                  <w:vAlign w:val="center"/>
                </w:tcPr>
                <w:p w14:paraId="0E73613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0.6</w:t>
                  </w:r>
                </w:p>
              </w:tc>
              <w:tc>
                <w:tcPr>
                  <w:tcW w:w="1710" w:type="dxa"/>
                  <w:tcBorders>
                    <w:tl2br w:val="nil"/>
                    <w:tr2bl w:val="nil"/>
                  </w:tcBorders>
                  <w:vAlign w:val="center"/>
                </w:tcPr>
                <w:p w14:paraId="394633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0.1</w:t>
                  </w:r>
                </w:p>
              </w:tc>
              <w:tc>
                <w:tcPr>
                  <w:tcW w:w="975" w:type="dxa"/>
                  <w:tcBorders>
                    <w:tl2br w:val="nil"/>
                    <w:tr2bl w:val="nil"/>
                  </w:tcBorders>
                  <w:vAlign w:val="center"/>
                </w:tcPr>
                <w:p w14:paraId="5821D59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宋体"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袋装</w:t>
                  </w:r>
                </w:p>
              </w:tc>
              <w:tc>
                <w:tcPr>
                  <w:tcW w:w="2139" w:type="dxa"/>
                  <w:tcBorders>
                    <w:tl2br w:val="nil"/>
                    <w:tr2bl w:val="nil"/>
                  </w:tcBorders>
                  <w:vAlign w:val="center"/>
                </w:tcPr>
                <w:p w14:paraId="2260863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p>
              </w:tc>
            </w:tr>
            <w:tr w14:paraId="45D13E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8358" w:type="dxa"/>
                  <w:gridSpan w:val="5"/>
                  <w:tcBorders>
                    <w:tl2br w:val="nil"/>
                    <w:tr2bl w:val="nil"/>
                  </w:tcBorders>
                  <w:vAlign w:val="center"/>
                </w:tcPr>
                <w:p w14:paraId="7C7B315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能源</w:t>
                  </w:r>
                </w:p>
              </w:tc>
            </w:tr>
            <w:tr w14:paraId="647BBE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14" w:type="dxa"/>
                  <w:tcBorders>
                    <w:tl2br w:val="nil"/>
                    <w:tr2bl w:val="nil"/>
                  </w:tcBorders>
                  <w:shd w:val="clear" w:color="auto" w:fill="auto"/>
                  <w:vAlign w:val="center"/>
                </w:tcPr>
                <w:p w14:paraId="6F6E2C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kern w:val="2"/>
                      <w:sz w:val="21"/>
                      <w:szCs w:val="21"/>
                      <w:highlight w:val="none"/>
                      <w:u w:val="none" w:color="auto"/>
                      <w:vertAlign w:val="baseline"/>
                      <w:lang w:val="en-US" w:eastAsia="zh-CN" w:bidi="ar-SA"/>
                    </w:rPr>
                  </w:pPr>
                  <w:r>
                    <w:rPr>
                      <w:rFonts w:hint="eastAsia" w:cs="Times New Roman"/>
                      <w:b w:val="0"/>
                      <w:bCs w:val="0"/>
                      <w:color w:val="auto"/>
                      <w:sz w:val="21"/>
                      <w:szCs w:val="21"/>
                      <w:highlight w:val="none"/>
                      <w:u w:val="none" w:color="auto"/>
                      <w:vertAlign w:val="baseline"/>
                      <w:lang w:val="en-US" w:eastAsia="zh-CN"/>
                    </w:rPr>
                    <w:t>水</w:t>
                  </w:r>
                </w:p>
              </w:tc>
              <w:tc>
                <w:tcPr>
                  <w:tcW w:w="1620" w:type="dxa"/>
                  <w:tcBorders>
                    <w:tl2br w:val="nil"/>
                    <w:tr2bl w:val="nil"/>
                  </w:tcBorders>
                  <w:vAlign w:val="center"/>
                </w:tcPr>
                <w:p w14:paraId="5EC87E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32274.68</w:t>
                  </w:r>
                </w:p>
              </w:tc>
              <w:tc>
                <w:tcPr>
                  <w:tcW w:w="1710" w:type="dxa"/>
                  <w:tcBorders>
                    <w:tl2br w:val="nil"/>
                    <w:tr2bl w:val="nil"/>
                  </w:tcBorders>
                  <w:vAlign w:val="center"/>
                </w:tcPr>
                <w:p w14:paraId="2379B5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p>
              </w:tc>
              <w:tc>
                <w:tcPr>
                  <w:tcW w:w="975" w:type="dxa"/>
                  <w:tcBorders>
                    <w:tl2br w:val="nil"/>
                    <w:tr2bl w:val="nil"/>
                  </w:tcBorders>
                  <w:vAlign w:val="center"/>
                </w:tcPr>
                <w:p w14:paraId="41E9A8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val="0"/>
                      <w:bCs w:val="0"/>
                      <w:color w:val="auto"/>
                      <w:sz w:val="21"/>
                      <w:szCs w:val="21"/>
                      <w:highlight w:val="none"/>
                      <w:u w:val="none" w:color="auto"/>
                      <w:vertAlign w:val="baseline"/>
                      <w:lang w:val="en-US" w:eastAsia="zh-CN"/>
                    </w:rPr>
                  </w:pPr>
                </w:p>
              </w:tc>
              <w:tc>
                <w:tcPr>
                  <w:tcW w:w="2139" w:type="dxa"/>
                  <w:tcBorders>
                    <w:tl2br w:val="nil"/>
                    <w:tr2bl w:val="nil"/>
                  </w:tcBorders>
                  <w:vAlign w:val="center"/>
                </w:tcPr>
                <w:p w14:paraId="08BD1D2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自来水</w:t>
                  </w:r>
                </w:p>
              </w:tc>
            </w:tr>
            <w:tr w14:paraId="026DA5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14" w:type="dxa"/>
                  <w:tcBorders>
                    <w:tl2br w:val="nil"/>
                    <w:tr2bl w:val="nil"/>
                  </w:tcBorders>
                  <w:shd w:val="clear" w:color="auto" w:fill="auto"/>
                  <w:vAlign w:val="center"/>
                </w:tcPr>
                <w:p w14:paraId="026135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kern w:val="2"/>
                      <w:sz w:val="21"/>
                      <w:szCs w:val="21"/>
                      <w:highlight w:val="none"/>
                      <w:u w:val="none" w:color="auto"/>
                      <w:vertAlign w:val="baseline"/>
                      <w:lang w:val="en-US" w:eastAsia="zh-CN" w:bidi="ar-SA"/>
                    </w:rPr>
                  </w:pPr>
                  <w:r>
                    <w:rPr>
                      <w:rFonts w:hint="eastAsia" w:cs="Times New Roman"/>
                      <w:b w:val="0"/>
                      <w:bCs w:val="0"/>
                      <w:color w:val="auto"/>
                      <w:sz w:val="21"/>
                      <w:szCs w:val="21"/>
                      <w:highlight w:val="none"/>
                      <w:u w:val="none" w:color="auto"/>
                      <w:vertAlign w:val="baseline"/>
                      <w:lang w:val="en-US" w:eastAsia="zh-CN"/>
                    </w:rPr>
                    <w:t>电</w:t>
                  </w:r>
                </w:p>
              </w:tc>
              <w:tc>
                <w:tcPr>
                  <w:tcW w:w="1620" w:type="dxa"/>
                  <w:tcBorders>
                    <w:tl2br w:val="nil"/>
                    <w:tr2bl w:val="nil"/>
                  </w:tcBorders>
                  <w:vAlign w:val="center"/>
                </w:tcPr>
                <w:p w14:paraId="5A75712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60万kw·h</w:t>
                  </w:r>
                </w:p>
              </w:tc>
              <w:tc>
                <w:tcPr>
                  <w:tcW w:w="1710" w:type="dxa"/>
                  <w:tcBorders>
                    <w:tl2br w:val="nil"/>
                    <w:tr2bl w:val="nil"/>
                  </w:tcBorders>
                  <w:vAlign w:val="center"/>
                </w:tcPr>
                <w:p w14:paraId="2C4495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p>
              </w:tc>
              <w:tc>
                <w:tcPr>
                  <w:tcW w:w="975" w:type="dxa"/>
                  <w:tcBorders>
                    <w:tl2br w:val="nil"/>
                    <w:tr2bl w:val="nil"/>
                  </w:tcBorders>
                  <w:vAlign w:val="center"/>
                </w:tcPr>
                <w:p w14:paraId="5D5035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val="0"/>
                      <w:bCs w:val="0"/>
                      <w:color w:val="auto"/>
                      <w:sz w:val="21"/>
                      <w:szCs w:val="21"/>
                      <w:highlight w:val="none"/>
                      <w:u w:val="none" w:color="auto"/>
                      <w:vertAlign w:val="baseline"/>
                      <w:lang w:val="en-US" w:eastAsia="zh-CN"/>
                    </w:rPr>
                  </w:pPr>
                </w:p>
              </w:tc>
              <w:tc>
                <w:tcPr>
                  <w:tcW w:w="2139" w:type="dxa"/>
                  <w:tcBorders>
                    <w:tl2br w:val="nil"/>
                    <w:tr2bl w:val="nil"/>
                  </w:tcBorders>
                  <w:vAlign w:val="center"/>
                </w:tcPr>
                <w:p w14:paraId="65CD9F6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p>
              </w:tc>
            </w:tr>
            <w:tr w14:paraId="5D5A2F4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14" w:type="dxa"/>
                  <w:tcBorders>
                    <w:tl2br w:val="nil"/>
                    <w:tr2bl w:val="nil"/>
                  </w:tcBorders>
                  <w:shd w:val="clear" w:color="auto" w:fill="auto"/>
                  <w:vAlign w:val="center"/>
                </w:tcPr>
                <w:p w14:paraId="7BF3958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生物质燃料</w:t>
                  </w:r>
                </w:p>
              </w:tc>
              <w:tc>
                <w:tcPr>
                  <w:tcW w:w="1620" w:type="dxa"/>
                  <w:tcBorders>
                    <w:tl2br w:val="nil"/>
                    <w:tr2bl w:val="nil"/>
                  </w:tcBorders>
                  <w:vAlign w:val="center"/>
                </w:tcPr>
                <w:p w14:paraId="295929D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1103t</w:t>
                  </w:r>
                </w:p>
              </w:tc>
              <w:tc>
                <w:tcPr>
                  <w:tcW w:w="1710" w:type="dxa"/>
                  <w:tcBorders>
                    <w:tl2br w:val="nil"/>
                    <w:tr2bl w:val="nil"/>
                  </w:tcBorders>
                  <w:vAlign w:val="center"/>
                </w:tcPr>
                <w:p w14:paraId="517C66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5</w:t>
                  </w:r>
                </w:p>
              </w:tc>
              <w:tc>
                <w:tcPr>
                  <w:tcW w:w="975" w:type="dxa"/>
                  <w:tcBorders>
                    <w:tl2br w:val="nil"/>
                    <w:tr2bl w:val="nil"/>
                  </w:tcBorders>
                  <w:vAlign w:val="center"/>
                </w:tcPr>
                <w:p w14:paraId="6043ABE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val="0"/>
                      <w:bCs w:val="0"/>
                      <w:color w:val="auto"/>
                      <w:sz w:val="21"/>
                      <w:szCs w:val="21"/>
                      <w:highlight w:val="none"/>
                      <w:u w:val="none" w:color="auto"/>
                      <w:vertAlign w:val="baseline"/>
                      <w:lang w:val="en-US" w:eastAsia="zh-CN"/>
                    </w:rPr>
                  </w:pPr>
                </w:p>
              </w:tc>
              <w:tc>
                <w:tcPr>
                  <w:tcW w:w="2139" w:type="dxa"/>
                  <w:tcBorders>
                    <w:tl2br w:val="nil"/>
                    <w:tr2bl w:val="nil"/>
                  </w:tcBorders>
                  <w:vAlign w:val="center"/>
                </w:tcPr>
                <w:p w14:paraId="033136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auto"/>
                      <w:sz w:val="21"/>
                      <w:szCs w:val="21"/>
                      <w:highlight w:val="none"/>
                      <w:u w:val="none" w:color="auto"/>
                      <w:vertAlign w:val="baseline"/>
                      <w:lang w:val="en-US" w:eastAsia="zh-CN"/>
                    </w:rPr>
                  </w:pPr>
                </w:p>
              </w:tc>
            </w:tr>
            <w:tr w14:paraId="5D475E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914" w:type="dxa"/>
                  <w:tcBorders>
                    <w:tl2br w:val="nil"/>
                    <w:tr2bl w:val="nil"/>
                  </w:tcBorders>
                  <w:shd w:val="clear" w:color="auto" w:fill="auto"/>
                  <w:vAlign w:val="center"/>
                </w:tcPr>
                <w:p w14:paraId="77DDBA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R507A</w:t>
                  </w:r>
                </w:p>
              </w:tc>
              <w:tc>
                <w:tcPr>
                  <w:tcW w:w="1620" w:type="dxa"/>
                  <w:tcBorders>
                    <w:tl2br w:val="nil"/>
                    <w:tr2bl w:val="nil"/>
                  </w:tcBorders>
                  <w:vAlign w:val="center"/>
                </w:tcPr>
                <w:p w14:paraId="5D4A48E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0.2</w:t>
                  </w:r>
                </w:p>
              </w:tc>
              <w:tc>
                <w:tcPr>
                  <w:tcW w:w="1710" w:type="dxa"/>
                  <w:tcBorders>
                    <w:tl2br w:val="nil"/>
                    <w:tr2bl w:val="nil"/>
                  </w:tcBorders>
                  <w:vAlign w:val="center"/>
                </w:tcPr>
                <w:p w14:paraId="52DEE1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0.02（在线量）</w:t>
                  </w:r>
                </w:p>
              </w:tc>
              <w:tc>
                <w:tcPr>
                  <w:tcW w:w="975" w:type="dxa"/>
                  <w:tcBorders>
                    <w:tl2br w:val="nil"/>
                    <w:tr2bl w:val="nil"/>
                  </w:tcBorders>
                  <w:vAlign w:val="center"/>
                </w:tcPr>
                <w:p w14:paraId="19470D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w:t>
                  </w:r>
                </w:p>
              </w:tc>
              <w:tc>
                <w:tcPr>
                  <w:tcW w:w="2139" w:type="dxa"/>
                  <w:tcBorders>
                    <w:tl2br w:val="nil"/>
                    <w:tr2bl w:val="nil"/>
                  </w:tcBorders>
                  <w:vAlign w:val="center"/>
                </w:tcPr>
                <w:p w14:paraId="1A5A8E5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auto"/>
                      <w:sz w:val="21"/>
                      <w:szCs w:val="21"/>
                      <w:highlight w:val="none"/>
                      <w:u w:val="none" w:color="auto"/>
                      <w:vertAlign w:val="baseline"/>
                      <w:lang w:val="en-US" w:eastAsia="zh-CN"/>
                    </w:rPr>
                  </w:pPr>
                  <w:r>
                    <w:rPr>
                      <w:rFonts w:hint="eastAsia" w:cs="Times New Roman"/>
                      <w:b w:val="0"/>
                      <w:bCs w:val="0"/>
                      <w:color w:val="auto"/>
                      <w:sz w:val="21"/>
                      <w:szCs w:val="21"/>
                      <w:highlight w:val="none"/>
                      <w:u w:val="none" w:color="auto"/>
                      <w:vertAlign w:val="baseline"/>
                      <w:lang w:val="en-US" w:eastAsia="zh-CN"/>
                    </w:rPr>
                    <w:t>冷库冷媒</w:t>
                  </w:r>
                </w:p>
              </w:tc>
            </w:tr>
          </w:tbl>
          <w:p w14:paraId="406753B9">
            <w:pPr>
              <w:pStyle w:val="100"/>
              <w:adjustRightInd/>
              <w:spacing w:line="500" w:lineRule="exact"/>
              <w:ind w:firstLine="480" w:firstLineChars="200"/>
              <w:rPr>
                <w:rFonts w:hint="eastAsia" w:ascii="Times New Roman" w:hAnsi="Times New Roman" w:eastAsia="宋体" w:cs="Times New Roman"/>
                <w:b w:val="0"/>
                <w:bCs w:val="0"/>
                <w:color w:val="auto"/>
                <w:sz w:val="24"/>
                <w:szCs w:val="24"/>
                <w:highlight w:val="none"/>
                <w:u w:val="none" w:color="auto"/>
                <w:lang w:val="en-US" w:eastAsia="zh-CN"/>
              </w:rPr>
            </w:pPr>
            <w:r>
              <w:rPr>
                <w:rFonts w:hint="eastAsia" w:ascii="Times New Roman" w:hAnsi="Times New Roman" w:eastAsia="宋体" w:cs="Times New Roman"/>
                <w:b w:val="0"/>
                <w:bCs w:val="0"/>
                <w:color w:val="auto"/>
                <w:sz w:val="24"/>
                <w:szCs w:val="24"/>
                <w:highlight w:val="none"/>
                <w:u w:val="none" w:color="auto"/>
                <w:lang w:val="en-US" w:eastAsia="zh-CN"/>
              </w:rPr>
              <w:t>食用石膏：正式名称为“食品添加剂硫酸钙”，最常用于豆制品工业上。</w:t>
            </w:r>
          </w:p>
          <w:p w14:paraId="70C8158B">
            <w:pPr>
              <w:pStyle w:val="100"/>
              <w:adjustRightInd/>
              <w:spacing w:line="500" w:lineRule="exact"/>
              <w:ind w:firstLine="480" w:firstLineChars="200"/>
              <w:rPr>
                <w:rFonts w:hint="eastAsia" w:ascii="Times New Roman" w:hAnsi="Times New Roman" w:eastAsia="宋体" w:cs="Times New Roman"/>
                <w:b w:val="0"/>
                <w:bCs w:val="0"/>
                <w:color w:val="auto"/>
                <w:sz w:val="24"/>
                <w:szCs w:val="24"/>
                <w:highlight w:val="none"/>
                <w:u w:val="none" w:color="auto"/>
                <w:lang w:val="en-US" w:eastAsia="zh-CN"/>
              </w:rPr>
            </w:pPr>
            <w:r>
              <w:rPr>
                <w:rFonts w:hint="eastAsia" w:ascii="Times New Roman" w:hAnsi="Times New Roman" w:eastAsia="宋体" w:cs="Times New Roman"/>
                <w:b w:val="0"/>
                <w:bCs w:val="0"/>
                <w:color w:val="auto"/>
                <w:sz w:val="24"/>
                <w:szCs w:val="24"/>
                <w:highlight w:val="none"/>
                <w:u w:val="none" w:color="auto"/>
                <w:lang w:val="en-US" w:eastAsia="zh-CN"/>
              </w:rPr>
              <w:t>本项目蒸汽发生器燃料为专业成型生物质燃料（木质颗粒），需满足湖南省《生物质成型燃料》（DB43/T 864-2014）、《生物质成型燃料质量分级》（NB/T34024-2015）要求。</w:t>
            </w:r>
          </w:p>
          <w:p w14:paraId="741C0F05">
            <w:pPr>
              <w:pStyle w:val="100"/>
              <w:adjustRightInd/>
              <w:spacing w:line="500" w:lineRule="exact"/>
              <w:ind w:firstLine="480" w:firstLineChars="200"/>
              <w:rPr>
                <w:rFonts w:hint="eastAsia" w:ascii="Times New Roman" w:hAnsi="Times New Roman" w:eastAsia="宋体" w:cs="Times New Roman"/>
                <w:b w:val="0"/>
                <w:bCs w:val="0"/>
                <w:color w:val="auto"/>
                <w:sz w:val="24"/>
                <w:szCs w:val="24"/>
                <w:highlight w:val="none"/>
                <w:u w:val="none" w:color="auto"/>
                <w:lang w:val="en-US" w:eastAsia="zh-CN"/>
              </w:rPr>
            </w:pPr>
            <w:r>
              <w:rPr>
                <w:rFonts w:hint="eastAsia" w:ascii="Times New Roman" w:hAnsi="Times New Roman" w:eastAsia="宋体" w:cs="Times New Roman"/>
                <w:b w:val="0"/>
                <w:bCs w:val="0"/>
                <w:color w:val="auto"/>
                <w:sz w:val="24"/>
                <w:szCs w:val="24"/>
                <w:highlight w:val="none"/>
                <w:u w:val="none" w:color="auto"/>
                <w:lang w:val="en-US" w:eastAsia="zh-CN"/>
              </w:rPr>
              <w:t>R507A：化学名称三氟乙烷/五氟乙烷，是由R125和R143a各占50%混配而成的HFC型共沸制冷剂。其分子量为98.9，沸点为-46.7℃，临界温度70.9℃，临界压力3.794MPa，饱和蒸气压(25℃)1287kPa，汽化热/蒸发潜热(沸点下，1atm)200.5kJ/kg。具有清洁、低毒、不燃、制冷效果好等特点，常应用于冷库、食品冷冻设备、船用制冷设备、工业低温制冷、商业低温制冷、冷藏车、冷冻冷凝机组、超市陈列展示柜等制冷设备。</w:t>
            </w:r>
          </w:p>
          <w:p w14:paraId="2B70BE1A">
            <w:pPr>
              <w:pStyle w:val="100"/>
              <w:adjustRightInd/>
              <w:spacing w:line="500" w:lineRule="exact"/>
              <w:ind w:firstLine="482" w:firstLineChars="200"/>
              <w:rPr>
                <w:rFonts w:hint="default" w:ascii="Times New Roman" w:hAnsi="Times New Roman" w:eastAsia="宋体" w:cs="Times New Roman"/>
                <w:b/>
                <w:color w:val="auto"/>
                <w:sz w:val="24"/>
                <w:szCs w:val="24"/>
                <w:highlight w:val="none"/>
                <w:u w:val="none" w:color="auto"/>
              </w:rPr>
            </w:pPr>
            <w:r>
              <w:rPr>
                <w:rFonts w:hint="default" w:ascii="Times New Roman" w:hAnsi="Times New Roman" w:eastAsia="宋体" w:cs="Times New Roman"/>
                <w:b/>
                <w:bCs/>
                <w:color w:val="auto"/>
                <w:sz w:val="24"/>
                <w:szCs w:val="24"/>
                <w:highlight w:val="none"/>
                <w:u w:val="none" w:color="auto"/>
              </w:rPr>
              <w:t>四、</w:t>
            </w:r>
            <w:r>
              <w:rPr>
                <w:rFonts w:hint="default" w:ascii="Times New Roman" w:hAnsi="Times New Roman" w:eastAsia="宋体" w:cs="Times New Roman"/>
                <w:b/>
                <w:color w:val="auto"/>
                <w:sz w:val="24"/>
                <w:szCs w:val="24"/>
                <w:highlight w:val="none"/>
                <w:u w:val="none" w:color="auto"/>
              </w:rPr>
              <w:t>生产设备</w:t>
            </w:r>
          </w:p>
          <w:p w14:paraId="5CEDF41B">
            <w:pPr>
              <w:spacing w:line="500" w:lineRule="exact"/>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本项目主要设备见表2-</w:t>
            </w:r>
            <w:r>
              <w:rPr>
                <w:rFonts w:hint="eastAsia" w:cs="Times New Roman"/>
                <w:color w:val="auto"/>
                <w:highlight w:val="none"/>
                <w:u w:val="none" w:color="auto"/>
                <w:lang w:val="en-US" w:eastAsia="zh-CN"/>
              </w:rPr>
              <w:t>5</w:t>
            </w:r>
            <w:r>
              <w:rPr>
                <w:rFonts w:hint="default" w:ascii="Times New Roman" w:hAnsi="Times New Roman" w:eastAsia="宋体" w:cs="Times New Roman"/>
                <w:color w:val="auto"/>
                <w:highlight w:val="none"/>
                <w:u w:val="none" w:color="auto"/>
              </w:rPr>
              <w:t>。</w:t>
            </w:r>
          </w:p>
          <w:p w14:paraId="13ECE049">
            <w:pPr>
              <w:pStyle w:val="100"/>
              <w:adjustRightInd/>
              <w:spacing w:before="120" w:beforeLines="50"/>
              <w:jc w:val="center"/>
              <w:rPr>
                <w:rFonts w:hint="default" w:ascii="Times New Roman" w:hAnsi="Times New Roman" w:eastAsia="宋体" w:cs="Times New Roman"/>
                <w:b/>
                <w:color w:val="auto"/>
                <w:sz w:val="21"/>
                <w:szCs w:val="24"/>
                <w:highlight w:val="none"/>
                <w:u w:val="none" w:color="auto"/>
              </w:rPr>
            </w:pPr>
            <w:r>
              <w:rPr>
                <w:rFonts w:hint="default" w:ascii="Times New Roman" w:hAnsi="Times New Roman" w:eastAsia="宋体" w:cs="Times New Roman"/>
                <w:b/>
                <w:color w:val="auto"/>
                <w:sz w:val="21"/>
                <w:szCs w:val="24"/>
                <w:highlight w:val="none"/>
                <w:u w:val="none" w:color="auto"/>
              </w:rPr>
              <w:t>表2-</w:t>
            </w:r>
            <w:r>
              <w:rPr>
                <w:rFonts w:hint="eastAsia" w:eastAsia="宋体" w:cs="Times New Roman"/>
                <w:b/>
                <w:color w:val="auto"/>
                <w:sz w:val="21"/>
                <w:szCs w:val="24"/>
                <w:highlight w:val="none"/>
                <w:u w:val="none" w:color="auto"/>
                <w:lang w:val="en-US" w:eastAsia="zh-CN"/>
              </w:rPr>
              <w:t>5</w:t>
            </w:r>
            <w:r>
              <w:rPr>
                <w:rFonts w:hint="default" w:ascii="Times New Roman" w:hAnsi="Times New Roman" w:eastAsia="宋体" w:cs="Times New Roman"/>
                <w:b/>
                <w:color w:val="auto"/>
                <w:sz w:val="21"/>
                <w:szCs w:val="24"/>
                <w:highlight w:val="none"/>
                <w:u w:val="none" w:color="auto"/>
              </w:rPr>
              <w:t xml:space="preserve"> 主要设备一览表</w:t>
            </w:r>
          </w:p>
          <w:tbl>
            <w:tblPr>
              <w:tblStyle w:val="43"/>
              <w:tblW w:w="835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3"/>
              <w:gridCol w:w="1911"/>
              <w:gridCol w:w="2117"/>
              <w:gridCol w:w="3510"/>
            </w:tblGrid>
            <w:tr w14:paraId="226FC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dxa"/>
                  <w:tcBorders>
                    <w:top w:val="single" w:color="auto" w:sz="12" w:space="0"/>
                  </w:tcBorders>
                  <w:vAlign w:val="center"/>
                </w:tcPr>
                <w:p w14:paraId="728485D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序号</w:t>
                  </w:r>
                </w:p>
              </w:tc>
              <w:tc>
                <w:tcPr>
                  <w:tcW w:w="1911" w:type="dxa"/>
                  <w:tcBorders>
                    <w:top w:val="single" w:color="auto" w:sz="12" w:space="0"/>
                  </w:tcBorders>
                  <w:vAlign w:val="center"/>
                </w:tcPr>
                <w:p w14:paraId="421A1EC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主要设备名称</w:t>
                  </w:r>
                </w:p>
              </w:tc>
              <w:tc>
                <w:tcPr>
                  <w:tcW w:w="2117" w:type="dxa"/>
                  <w:tcBorders>
                    <w:top w:val="single" w:color="auto" w:sz="12" w:space="0"/>
                  </w:tcBorders>
                  <w:vAlign w:val="center"/>
                </w:tcPr>
                <w:p w14:paraId="4AA3CF0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数量（台/套）</w:t>
                  </w:r>
                </w:p>
              </w:tc>
              <w:tc>
                <w:tcPr>
                  <w:tcW w:w="3510" w:type="dxa"/>
                  <w:tcBorders>
                    <w:top w:val="single" w:color="auto" w:sz="12" w:space="0"/>
                    <w:right w:val="single" w:color="auto" w:sz="12" w:space="0"/>
                  </w:tcBorders>
                  <w:vAlign w:val="center"/>
                </w:tcPr>
                <w:p w14:paraId="4ED9E1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设备型号</w:t>
                  </w:r>
                </w:p>
              </w:tc>
            </w:tr>
            <w:tr w14:paraId="12A13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1" w:type="dxa"/>
                  <w:gridSpan w:val="4"/>
                  <w:tcBorders>
                    <w:left w:val="single" w:color="auto" w:sz="4" w:space="0"/>
                    <w:right w:val="single" w:color="auto" w:sz="12" w:space="0"/>
                  </w:tcBorders>
                  <w:vAlign w:val="center"/>
                </w:tcPr>
                <w:p w14:paraId="0BE40E6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肉制品</w:t>
                  </w:r>
                </w:p>
              </w:tc>
            </w:tr>
            <w:tr w14:paraId="6A580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dxa"/>
                  <w:tcBorders>
                    <w:left w:val="single" w:color="auto" w:sz="4" w:space="0"/>
                  </w:tcBorders>
                  <w:vAlign w:val="center"/>
                </w:tcPr>
                <w:p w14:paraId="4C457E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1</w:t>
                  </w:r>
                </w:p>
              </w:tc>
              <w:tc>
                <w:tcPr>
                  <w:tcW w:w="1911" w:type="dxa"/>
                  <w:vAlign w:val="center"/>
                </w:tcPr>
                <w:p w14:paraId="298F0CEF">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cs="Times New Roman"/>
                      <w:color w:val="auto"/>
                      <w:kern w:val="0"/>
                      <w:sz w:val="21"/>
                      <w:szCs w:val="21"/>
                      <w:highlight w:val="none"/>
                      <w:u w:val="none" w:color="auto"/>
                      <w:vertAlign w:val="baseline"/>
                      <w:lang w:val="en-US" w:eastAsia="zh-CN"/>
                    </w:rPr>
                  </w:pPr>
                  <w:r>
                    <w:rPr>
                      <w:rFonts w:hint="eastAsia"/>
                      <w:bCs/>
                      <w:color w:val="auto"/>
                      <w:sz w:val="21"/>
                      <w:szCs w:val="21"/>
                      <w:lang w:eastAsia="zh-CN"/>
                    </w:rPr>
                    <w:t>绞肉机</w:t>
                  </w:r>
                </w:p>
              </w:tc>
              <w:tc>
                <w:tcPr>
                  <w:tcW w:w="2117" w:type="dxa"/>
                  <w:vAlign w:val="center"/>
                </w:tcPr>
                <w:p w14:paraId="4A27214E">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cs="Times New Roman"/>
                      <w:color w:val="auto"/>
                      <w:kern w:val="0"/>
                      <w:sz w:val="21"/>
                      <w:szCs w:val="21"/>
                      <w:highlight w:val="none"/>
                      <w:u w:val="none" w:color="auto"/>
                      <w:vertAlign w:val="baseline"/>
                      <w:lang w:val="en-US" w:eastAsia="zh-CN"/>
                    </w:rPr>
                  </w:pPr>
                  <w:r>
                    <w:rPr>
                      <w:rFonts w:hint="eastAsia"/>
                      <w:bCs/>
                      <w:color w:val="auto"/>
                      <w:sz w:val="21"/>
                      <w:szCs w:val="21"/>
                      <w:lang w:val="en-US" w:eastAsia="zh-CN"/>
                    </w:rPr>
                    <w:t>1</w:t>
                  </w:r>
                </w:p>
              </w:tc>
              <w:tc>
                <w:tcPr>
                  <w:tcW w:w="3510" w:type="dxa"/>
                  <w:tcBorders>
                    <w:right w:val="single" w:color="auto" w:sz="12" w:space="0"/>
                  </w:tcBorders>
                  <w:vAlign w:val="center"/>
                </w:tcPr>
                <w:p w14:paraId="0BB4BDB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kern w:val="0"/>
                      <w:sz w:val="21"/>
                      <w:szCs w:val="21"/>
                      <w:highlight w:val="none"/>
                      <w:u w:val="none" w:color="auto"/>
                      <w:vertAlign w:val="baseline"/>
                      <w:lang w:val="en-US" w:eastAsia="zh-CN"/>
                    </w:rPr>
                  </w:pPr>
                </w:p>
              </w:tc>
            </w:tr>
            <w:tr w14:paraId="354A86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dxa"/>
                  <w:tcBorders>
                    <w:left w:val="single" w:color="auto" w:sz="4" w:space="0"/>
                  </w:tcBorders>
                  <w:vAlign w:val="center"/>
                </w:tcPr>
                <w:p w14:paraId="0787777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2</w:t>
                  </w:r>
                </w:p>
              </w:tc>
              <w:tc>
                <w:tcPr>
                  <w:tcW w:w="1911" w:type="dxa"/>
                  <w:vAlign w:val="center"/>
                </w:tcPr>
                <w:p w14:paraId="0EABB987">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cs="Times New Roman"/>
                      <w:color w:val="auto"/>
                      <w:kern w:val="0"/>
                      <w:sz w:val="21"/>
                      <w:szCs w:val="21"/>
                      <w:highlight w:val="none"/>
                      <w:u w:val="none" w:color="auto"/>
                      <w:vertAlign w:val="baseline"/>
                      <w:lang w:val="en-US" w:eastAsia="zh-CN"/>
                    </w:rPr>
                  </w:pPr>
                  <w:r>
                    <w:rPr>
                      <w:rFonts w:hint="eastAsia"/>
                      <w:bCs/>
                      <w:color w:val="auto"/>
                      <w:sz w:val="21"/>
                      <w:szCs w:val="21"/>
                      <w:lang w:eastAsia="zh-CN"/>
                    </w:rPr>
                    <w:t>搅拌机</w:t>
                  </w:r>
                </w:p>
              </w:tc>
              <w:tc>
                <w:tcPr>
                  <w:tcW w:w="2117" w:type="dxa"/>
                  <w:vAlign w:val="center"/>
                </w:tcPr>
                <w:p w14:paraId="4A269E49">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cs="Times New Roman"/>
                      <w:color w:val="auto"/>
                      <w:kern w:val="0"/>
                      <w:sz w:val="21"/>
                      <w:szCs w:val="21"/>
                      <w:highlight w:val="none"/>
                      <w:u w:val="none" w:color="auto"/>
                      <w:vertAlign w:val="baseline"/>
                      <w:lang w:val="en-US" w:eastAsia="zh-CN"/>
                    </w:rPr>
                  </w:pPr>
                  <w:r>
                    <w:rPr>
                      <w:rFonts w:hint="eastAsia"/>
                      <w:bCs/>
                      <w:color w:val="auto"/>
                      <w:sz w:val="21"/>
                      <w:szCs w:val="21"/>
                      <w:lang w:val="en-US" w:eastAsia="zh-CN"/>
                    </w:rPr>
                    <w:t>1</w:t>
                  </w:r>
                </w:p>
              </w:tc>
              <w:tc>
                <w:tcPr>
                  <w:tcW w:w="3510" w:type="dxa"/>
                  <w:tcBorders>
                    <w:right w:val="single" w:color="auto" w:sz="12" w:space="0"/>
                  </w:tcBorders>
                  <w:vAlign w:val="center"/>
                </w:tcPr>
                <w:p w14:paraId="411D57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kern w:val="0"/>
                      <w:sz w:val="21"/>
                      <w:szCs w:val="21"/>
                      <w:highlight w:val="none"/>
                      <w:u w:val="none" w:color="auto"/>
                      <w:vertAlign w:val="baseline"/>
                      <w:lang w:val="en-US" w:eastAsia="zh-CN"/>
                    </w:rPr>
                  </w:pPr>
                </w:p>
              </w:tc>
            </w:tr>
            <w:tr w14:paraId="2D8D7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dxa"/>
                  <w:tcBorders>
                    <w:left w:val="single" w:color="auto" w:sz="4" w:space="0"/>
                  </w:tcBorders>
                  <w:vAlign w:val="center"/>
                </w:tcPr>
                <w:p w14:paraId="123355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3</w:t>
                  </w:r>
                </w:p>
              </w:tc>
              <w:tc>
                <w:tcPr>
                  <w:tcW w:w="1911" w:type="dxa"/>
                  <w:vAlign w:val="center"/>
                </w:tcPr>
                <w:p w14:paraId="15B2DE37">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cs="Times New Roman"/>
                      <w:color w:val="auto"/>
                      <w:kern w:val="0"/>
                      <w:sz w:val="21"/>
                      <w:szCs w:val="21"/>
                      <w:highlight w:val="none"/>
                      <w:u w:val="none" w:color="auto"/>
                      <w:vertAlign w:val="baseline"/>
                      <w:lang w:val="en-US" w:eastAsia="zh-CN"/>
                    </w:rPr>
                  </w:pPr>
                  <w:r>
                    <w:rPr>
                      <w:rFonts w:hint="eastAsia"/>
                      <w:bCs/>
                      <w:color w:val="auto"/>
                      <w:sz w:val="21"/>
                      <w:szCs w:val="21"/>
                      <w:lang w:eastAsia="zh-CN"/>
                    </w:rPr>
                    <w:t>包装机</w:t>
                  </w:r>
                </w:p>
              </w:tc>
              <w:tc>
                <w:tcPr>
                  <w:tcW w:w="2117" w:type="dxa"/>
                  <w:vAlign w:val="center"/>
                </w:tcPr>
                <w:p w14:paraId="73ECB372">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cs="Times New Roman"/>
                      <w:color w:val="auto"/>
                      <w:kern w:val="0"/>
                      <w:sz w:val="21"/>
                      <w:szCs w:val="21"/>
                      <w:highlight w:val="none"/>
                      <w:u w:val="none" w:color="auto"/>
                      <w:vertAlign w:val="baseline"/>
                      <w:lang w:val="en-US" w:eastAsia="zh-CN"/>
                    </w:rPr>
                  </w:pPr>
                  <w:r>
                    <w:rPr>
                      <w:rFonts w:hint="eastAsia"/>
                      <w:bCs/>
                      <w:color w:val="auto"/>
                      <w:sz w:val="21"/>
                      <w:szCs w:val="21"/>
                      <w:lang w:val="en-US" w:eastAsia="zh-CN"/>
                    </w:rPr>
                    <w:t>5</w:t>
                  </w:r>
                </w:p>
              </w:tc>
              <w:tc>
                <w:tcPr>
                  <w:tcW w:w="3510" w:type="dxa"/>
                  <w:tcBorders>
                    <w:right w:val="single" w:color="auto" w:sz="12" w:space="0"/>
                  </w:tcBorders>
                  <w:vAlign w:val="center"/>
                </w:tcPr>
                <w:p w14:paraId="310224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kern w:val="0"/>
                      <w:sz w:val="21"/>
                      <w:szCs w:val="21"/>
                      <w:highlight w:val="none"/>
                      <w:u w:val="none" w:color="auto"/>
                      <w:vertAlign w:val="baseline"/>
                      <w:lang w:val="en-US" w:eastAsia="zh-CN"/>
                    </w:rPr>
                  </w:pPr>
                </w:p>
              </w:tc>
            </w:tr>
            <w:tr w14:paraId="72CF6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dxa"/>
                  <w:tcBorders>
                    <w:left w:val="single" w:color="auto" w:sz="4" w:space="0"/>
                  </w:tcBorders>
                  <w:vAlign w:val="center"/>
                </w:tcPr>
                <w:p w14:paraId="36A6027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4</w:t>
                  </w:r>
                </w:p>
              </w:tc>
              <w:tc>
                <w:tcPr>
                  <w:tcW w:w="1911" w:type="dxa"/>
                  <w:vAlign w:val="center"/>
                </w:tcPr>
                <w:p w14:paraId="67E725E6">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cs="Times New Roman"/>
                      <w:color w:val="auto"/>
                      <w:kern w:val="0"/>
                      <w:sz w:val="21"/>
                      <w:szCs w:val="21"/>
                      <w:highlight w:val="none"/>
                      <w:u w:val="none" w:color="auto"/>
                      <w:vertAlign w:val="baseline"/>
                      <w:lang w:val="en-US" w:eastAsia="zh-CN"/>
                    </w:rPr>
                  </w:pPr>
                  <w:r>
                    <w:rPr>
                      <w:rFonts w:hint="eastAsia"/>
                      <w:bCs/>
                      <w:color w:val="auto"/>
                      <w:sz w:val="21"/>
                      <w:szCs w:val="21"/>
                      <w:lang w:eastAsia="zh-CN"/>
                    </w:rPr>
                    <w:t>拉丝膜机</w:t>
                  </w:r>
                </w:p>
              </w:tc>
              <w:tc>
                <w:tcPr>
                  <w:tcW w:w="2117" w:type="dxa"/>
                  <w:vAlign w:val="center"/>
                </w:tcPr>
                <w:p w14:paraId="7A4088D7">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cs="Times New Roman"/>
                      <w:color w:val="auto"/>
                      <w:kern w:val="0"/>
                      <w:sz w:val="21"/>
                      <w:szCs w:val="21"/>
                      <w:highlight w:val="none"/>
                      <w:u w:val="none" w:color="auto"/>
                      <w:vertAlign w:val="baseline"/>
                      <w:lang w:val="en-US" w:eastAsia="zh-CN"/>
                    </w:rPr>
                  </w:pPr>
                  <w:r>
                    <w:rPr>
                      <w:rFonts w:hint="eastAsia"/>
                      <w:bCs/>
                      <w:color w:val="auto"/>
                      <w:sz w:val="21"/>
                      <w:szCs w:val="21"/>
                      <w:lang w:val="en-US" w:eastAsia="zh-CN"/>
                    </w:rPr>
                    <w:t>4</w:t>
                  </w:r>
                </w:p>
              </w:tc>
              <w:tc>
                <w:tcPr>
                  <w:tcW w:w="3510" w:type="dxa"/>
                  <w:tcBorders>
                    <w:right w:val="single" w:color="auto" w:sz="12" w:space="0"/>
                  </w:tcBorders>
                  <w:vAlign w:val="center"/>
                </w:tcPr>
                <w:p w14:paraId="3B3EC3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kern w:val="0"/>
                      <w:sz w:val="21"/>
                      <w:szCs w:val="21"/>
                      <w:highlight w:val="none"/>
                      <w:u w:val="none" w:color="auto"/>
                      <w:vertAlign w:val="baseline"/>
                      <w:lang w:val="en-US" w:eastAsia="zh-CN"/>
                    </w:rPr>
                  </w:pPr>
                </w:p>
              </w:tc>
            </w:tr>
            <w:tr w14:paraId="1F07A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dxa"/>
                  <w:tcBorders>
                    <w:left w:val="single" w:color="auto" w:sz="4" w:space="0"/>
                  </w:tcBorders>
                  <w:vAlign w:val="center"/>
                </w:tcPr>
                <w:p w14:paraId="2E882A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5</w:t>
                  </w:r>
                </w:p>
              </w:tc>
              <w:tc>
                <w:tcPr>
                  <w:tcW w:w="1911" w:type="dxa"/>
                  <w:vAlign w:val="center"/>
                </w:tcPr>
                <w:p w14:paraId="153FB0F8">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cs="Times New Roman"/>
                      <w:color w:val="auto"/>
                      <w:kern w:val="0"/>
                      <w:sz w:val="21"/>
                      <w:szCs w:val="21"/>
                      <w:highlight w:val="none"/>
                      <w:u w:val="none" w:color="auto"/>
                      <w:vertAlign w:val="baseline"/>
                      <w:lang w:val="en-US" w:eastAsia="zh-CN"/>
                    </w:rPr>
                  </w:pPr>
                  <w:r>
                    <w:rPr>
                      <w:rFonts w:hint="eastAsia"/>
                      <w:color w:val="auto"/>
                      <w:sz w:val="21"/>
                      <w:szCs w:val="21"/>
                      <w:lang w:eastAsia="zh-CN"/>
                    </w:rPr>
                    <w:t>蒸煮炉</w:t>
                  </w:r>
                </w:p>
              </w:tc>
              <w:tc>
                <w:tcPr>
                  <w:tcW w:w="2117" w:type="dxa"/>
                  <w:vAlign w:val="center"/>
                </w:tcPr>
                <w:p w14:paraId="6CA84357">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cs="Times New Roman"/>
                      <w:color w:val="auto"/>
                      <w:kern w:val="0"/>
                      <w:sz w:val="21"/>
                      <w:szCs w:val="21"/>
                      <w:highlight w:val="none"/>
                      <w:u w:val="none" w:color="auto"/>
                      <w:vertAlign w:val="baseline"/>
                      <w:lang w:val="en-US" w:eastAsia="zh-CN"/>
                    </w:rPr>
                  </w:pPr>
                  <w:r>
                    <w:rPr>
                      <w:rFonts w:hint="eastAsia"/>
                      <w:bCs/>
                      <w:color w:val="auto"/>
                      <w:sz w:val="21"/>
                      <w:szCs w:val="21"/>
                      <w:lang w:val="en-US" w:eastAsia="zh-CN"/>
                    </w:rPr>
                    <w:t>3</w:t>
                  </w:r>
                </w:p>
              </w:tc>
              <w:tc>
                <w:tcPr>
                  <w:tcW w:w="3510" w:type="dxa"/>
                  <w:tcBorders>
                    <w:right w:val="single" w:color="auto" w:sz="12" w:space="0"/>
                  </w:tcBorders>
                  <w:vAlign w:val="center"/>
                </w:tcPr>
                <w:p w14:paraId="3A4E1C3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kern w:val="0"/>
                      <w:sz w:val="21"/>
                      <w:szCs w:val="21"/>
                      <w:highlight w:val="none"/>
                      <w:u w:val="none" w:color="auto"/>
                      <w:vertAlign w:val="baseline"/>
                      <w:lang w:val="en-US" w:eastAsia="zh-CN"/>
                    </w:rPr>
                  </w:pPr>
                </w:p>
              </w:tc>
            </w:tr>
            <w:tr w14:paraId="42430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dxa"/>
                  <w:tcBorders>
                    <w:left w:val="single" w:color="auto" w:sz="4" w:space="0"/>
                  </w:tcBorders>
                  <w:shd w:val="clear" w:color="auto" w:fill="auto"/>
                  <w:vAlign w:val="center"/>
                </w:tcPr>
                <w:p w14:paraId="1E994F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0"/>
                      <w:sz w:val="21"/>
                      <w:szCs w:val="21"/>
                      <w:highlight w:val="none"/>
                      <w:u w:val="none" w:color="auto"/>
                      <w:vertAlign w:val="baseline"/>
                      <w:lang w:val="en-US" w:eastAsia="zh-CN" w:bidi="ar-SA"/>
                    </w:rPr>
                  </w:pPr>
                  <w:r>
                    <w:rPr>
                      <w:rFonts w:hint="eastAsia" w:cs="Times New Roman"/>
                      <w:color w:val="auto"/>
                      <w:kern w:val="0"/>
                      <w:sz w:val="21"/>
                      <w:szCs w:val="21"/>
                      <w:highlight w:val="none"/>
                      <w:u w:val="none" w:color="auto"/>
                      <w:vertAlign w:val="baseline"/>
                      <w:lang w:val="en-US" w:eastAsia="zh-CN"/>
                    </w:rPr>
                    <w:t>6</w:t>
                  </w:r>
                </w:p>
              </w:tc>
              <w:tc>
                <w:tcPr>
                  <w:tcW w:w="1911" w:type="dxa"/>
                  <w:vAlign w:val="center"/>
                </w:tcPr>
                <w:p w14:paraId="0A5E68E0">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cs="Times New Roman"/>
                      <w:color w:val="auto"/>
                      <w:kern w:val="0"/>
                      <w:sz w:val="21"/>
                      <w:szCs w:val="21"/>
                      <w:highlight w:val="none"/>
                      <w:u w:val="none" w:color="auto"/>
                      <w:vertAlign w:val="baseline"/>
                      <w:lang w:val="en-US" w:eastAsia="zh-CN"/>
                    </w:rPr>
                  </w:pPr>
                  <w:r>
                    <w:rPr>
                      <w:rFonts w:hint="eastAsia"/>
                      <w:color w:val="auto"/>
                      <w:sz w:val="21"/>
                      <w:szCs w:val="21"/>
                      <w:lang w:eastAsia="zh-CN"/>
                    </w:rPr>
                    <w:t>高温杀菌炉</w:t>
                  </w:r>
                </w:p>
              </w:tc>
              <w:tc>
                <w:tcPr>
                  <w:tcW w:w="2117" w:type="dxa"/>
                  <w:vAlign w:val="center"/>
                </w:tcPr>
                <w:p w14:paraId="08BC13E0">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cs="Times New Roman"/>
                      <w:color w:val="auto"/>
                      <w:kern w:val="0"/>
                      <w:sz w:val="21"/>
                      <w:szCs w:val="21"/>
                      <w:highlight w:val="none"/>
                      <w:u w:val="none" w:color="auto"/>
                      <w:vertAlign w:val="baseline"/>
                      <w:lang w:val="en-US" w:eastAsia="zh-CN"/>
                    </w:rPr>
                  </w:pPr>
                  <w:r>
                    <w:rPr>
                      <w:rFonts w:hint="eastAsia"/>
                      <w:bCs/>
                      <w:color w:val="auto"/>
                      <w:sz w:val="21"/>
                      <w:szCs w:val="21"/>
                      <w:lang w:val="en-US" w:eastAsia="zh-CN"/>
                    </w:rPr>
                    <w:t>1</w:t>
                  </w:r>
                </w:p>
              </w:tc>
              <w:tc>
                <w:tcPr>
                  <w:tcW w:w="3510" w:type="dxa"/>
                  <w:tcBorders>
                    <w:right w:val="single" w:color="auto" w:sz="12" w:space="0"/>
                  </w:tcBorders>
                  <w:vAlign w:val="center"/>
                </w:tcPr>
                <w:p w14:paraId="17C8F92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0"/>
                      <w:sz w:val="21"/>
                      <w:szCs w:val="21"/>
                      <w:highlight w:val="none"/>
                      <w:u w:val="none" w:color="auto"/>
                      <w:vertAlign w:val="baseline"/>
                      <w:lang w:val="en-US" w:eastAsia="zh-CN"/>
                    </w:rPr>
                  </w:pPr>
                </w:p>
              </w:tc>
            </w:tr>
            <w:tr w14:paraId="4AD7F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dxa"/>
                  <w:tcBorders>
                    <w:left w:val="single" w:color="auto" w:sz="4" w:space="0"/>
                  </w:tcBorders>
                  <w:shd w:val="clear" w:color="auto" w:fill="auto"/>
                  <w:vAlign w:val="center"/>
                </w:tcPr>
                <w:p w14:paraId="25A64F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bidi="ar-SA"/>
                    </w:rPr>
                  </w:pPr>
                  <w:r>
                    <w:rPr>
                      <w:rFonts w:hint="eastAsia" w:cs="Times New Roman"/>
                      <w:color w:val="auto"/>
                      <w:kern w:val="0"/>
                      <w:sz w:val="21"/>
                      <w:szCs w:val="21"/>
                      <w:highlight w:val="none"/>
                      <w:u w:val="none" w:color="auto"/>
                      <w:vertAlign w:val="baseline"/>
                      <w:lang w:val="en-US" w:eastAsia="zh-CN"/>
                    </w:rPr>
                    <w:t>7</w:t>
                  </w:r>
                </w:p>
              </w:tc>
              <w:tc>
                <w:tcPr>
                  <w:tcW w:w="1911" w:type="dxa"/>
                  <w:vAlign w:val="center"/>
                </w:tcPr>
                <w:p w14:paraId="2980A5BD">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cs="Times New Roman"/>
                      <w:color w:val="auto"/>
                      <w:kern w:val="0"/>
                      <w:sz w:val="21"/>
                      <w:szCs w:val="21"/>
                      <w:highlight w:val="none"/>
                      <w:u w:val="none" w:color="auto"/>
                      <w:vertAlign w:val="baseline"/>
                      <w:lang w:val="en-US" w:eastAsia="zh-CN"/>
                    </w:rPr>
                  </w:pPr>
                  <w:r>
                    <w:rPr>
                      <w:rFonts w:hint="eastAsia"/>
                      <w:color w:val="auto"/>
                      <w:sz w:val="21"/>
                      <w:szCs w:val="21"/>
                      <w:lang w:eastAsia="zh-CN"/>
                    </w:rPr>
                    <w:t>清洗线</w:t>
                  </w:r>
                </w:p>
              </w:tc>
              <w:tc>
                <w:tcPr>
                  <w:tcW w:w="2117" w:type="dxa"/>
                  <w:vAlign w:val="center"/>
                </w:tcPr>
                <w:p w14:paraId="0A8C819A">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cs="Times New Roman"/>
                      <w:color w:val="auto"/>
                      <w:kern w:val="0"/>
                      <w:sz w:val="21"/>
                      <w:szCs w:val="21"/>
                      <w:highlight w:val="none"/>
                      <w:u w:val="none" w:color="auto"/>
                      <w:vertAlign w:val="baseline"/>
                      <w:lang w:val="en-US" w:eastAsia="zh-CN"/>
                    </w:rPr>
                  </w:pPr>
                  <w:r>
                    <w:rPr>
                      <w:rFonts w:hint="eastAsia"/>
                      <w:bCs/>
                      <w:color w:val="auto"/>
                      <w:sz w:val="21"/>
                      <w:szCs w:val="21"/>
                      <w:lang w:val="en-US" w:eastAsia="zh-CN"/>
                    </w:rPr>
                    <w:t>1</w:t>
                  </w:r>
                </w:p>
              </w:tc>
              <w:tc>
                <w:tcPr>
                  <w:tcW w:w="3510" w:type="dxa"/>
                  <w:tcBorders>
                    <w:right w:val="single" w:color="auto" w:sz="12" w:space="0"/>
                  </w:tcBorders>
                  <w:vAlign w:val="center"/>
                </w:tcPr>
                <w:p w14:paraId="63755A5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kern w:val="0"/>
                      <w:sz w:val="21"/>
                      <w:szCs w:val="21"/>
                      <w:highlight w:val="none"/>
                      <w:u w:val="none" w:color="auto"/>
                      <w:vertAlign w:val="baseline"/>
                      <w:lang w:val="en-US" w:eastAsia="zh-CN"/>
                    </w:rPr>
                  </w:pPr>
                </w:p>
              </w:tc>
            </w:tr>
            <w:tr w14:paraId="0E05F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dxa"/>
                  <w:tcBorders>
                    <w:left w:val="single" w:color="auto" w:sz="4" w:space="0"/>
                  </w:tcBorders>
                  <w:shd w:val="clear" w:color="auto" w:fill="auto"/>
                  <w:vAlign w:val="center"/>
                </w:tcPr>
                <w:p w14:paraId="7E61DA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bidi="ar-SA"/>
                    </w:rPr>
                  </w:pPr>
                  <w:r>
                    <w:rPr>
                      <w:rFonts w:hint="eastAsia" w:cs="Times New Roman"/>
                      <w:color w:val="auto"/>
                      <w:kern w:val="0"/>
                      <w:sz w:val="21"/>
                      <w:szCs w:val="21"/>
                      <w:highlight w:val="none"/>
                      <w:u w:val="none" w:color="auto"/>
                      <w:vertAlign w:val="baseline"/>
                      <w:lang w:val="en-US" w:eastAsia="zh-CN"/>
                    </w:rPr>
                    <w:t>8</w:t>
                  </w:r>
                </w:p>
              </w:tc>
              <w:tc>
                <w:tcPr>
                  <w:tcW w:w="1911" w:type="dxa"/>
                  <w:vAlign w:val="center"/>
                </w:tcPr>
                <w:p w14:paraId="40596CA4">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cs="Times New Roman"/>
                      <w:color w:val="auto"/>
                      <w:kern w:val="0"/>
                      <w:sz w:val="21"/>
                      <w:szCs w:val="21"/>
                      <w:highlight w:val="none"/>
                      <w:u w:val="none" w:color="auto"/>
                      <w:vertAlign w:val="baseline"/>
                      <w:lang w:val="en-US" w:eastAsia="zh-CN"/>
                    </w:rPr>
                  </w:pPr>
                  <w:r>
                    <w:rPr>
                      <w:rFonts w:hint="eastAsia"/>
                      <w:color w:val="auto"/>
                      <w:sz w:val="21"/>
                      <w:szCs w:val="21"/>
                      <w:lang w:eastAsia="zh-CN"/>
                    </w:rPr>
                    <w:t>夹层锅</w:t>
                  </w:r>
                </w:p>
              </w:tc>
              <w:tc>
                <w:tcPr>
                  <w:tcW w:w="2117" w:type="dxa"/>
                  <w:vAlign w:val="center"/>
                </w:tcPr>
                <w:p w14:paraId="51873069">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cs="Times New Roman"/>
                      <w:color w:val="auto"/>
                      <w:kern w:val="0"/>
                      <w:sz w:val="21"/>
                      <w:szCs w:val="21"/>
                      <w:highlight w:val="none"/>
                      <w:u w:val="none" w:color="auto"/>
                      <w:vertAlign w:val="baseline"/>
                      <w:lang w:val="en-US" w:eastAsia="zh-CN"/>
                    </w:rPr>
                  </w:pPr>
                  <w:r>
                    <w:rPr>
                      <w:rFonts w:hint="eastAsia"/>
                      <w:bCs/>
                      <w:color w:val="auto"/>
                      <w:sz w:val="21"/>
                      <w:szCs w:val="21"/>
                      <w:lang w:val="en-US" w:eastAsia="zh-CN"/>
                    </w:rPr>
                    <w:t>8</w:t>
                  </w:r>
                </w:p>
              </w:tc>
              <w:tc>
                <w:tcPr>
                  <w:tcW w:w="3510" w:type="dxa"/>
                  <w:tcBorders>
                    <w:right w:val="single" w:color="auto" w:sz="12" w:space="0"/>
                  </w:tcBorders>
                  <w:vAlign w:val="center"/>
                </w:tcPr>
                <w:p w14:paraId="412532B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0"/>
                      <w:sz w:val="21"/>
                      <w:szCs w:val="21"/>
                      <w:highlight w:val="none"/>
                      <w:u w:val="none" w:color="auto"/>
                      <w:vertAlign w:val="baseline"/>
                      <w:lang w:val="en-US" w:eastAsia="zh-CN"/>
                    </w:rPr>
                  </w:pPr>
                </w:p>
              </w:tc>
            </w:tr>
            <w:tr w14:paraId="0AB9E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dxa"/>
                  <w:tcBorders>
                    <w:left w:val="single" w:color="auto" w:sz="4" w:space="0"/>
                  </w:tcBorders>
                  <w:vAlign w:val="center"/>
                </w:tcPr>
                <w:p w14:paraId="26BBDD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9</w:t>
                  </w:r>
                </w:p>
              </w:tc>
              <w:tc>
                <w:tcPr>
                  <w:tcW w:w="1911" w:type="dxa"/>
                  <w:vAlign w:val="center"/>
                </w:tcPr>
                <w:p w14:paraId="4960A85D">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cs="Times New Roman"/>
                      <w:color w:val="auto"/>
                      <w:kern w:val="0"/>
                      <w:sz w:val="21"/>
                      <w:szCs w:val="21"/>
                      <w:highlight w:val="none"/>
                      <w:u w:val="none" w:color="auto"/>
                      <w:vertAlign w:val="baseline"/>
                      <w:lang w:val="en-US" w:eastAsia="zh-CN"/>
                    </w:rPr>
                  </w:pPr>
                  <w:r>
                    <w:rPr>
                      <w:rFonts w:hint="eastAsia"/>
                      <w:color w:val="auto"/>
                      <w:sz w:val="21"/>
                      <w:szCs w:val="21"/>
                      <w:lang w:eastAsia="zh-CN"/>
                    </w:rPr>
                    <w:t>拌料机</w:t>
                  </w:r>
                </w:p>
              </w:tc>
              <w:tc>
                <w:tcPr>
                  <w:tcW w:w="2117" w:type="dxa"/>
                  <w:vAlign w:val="center"/>
                </w:tcPr>
                <w:p w14:paraId="5D0901CF">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cs="Times New Roman"/>
                      <w:color w:val="auto"/>
                      <w:kern w:val="0"/>
                      <w:sz w:val="21"/>
                      <w:szCs w:val="21"/>
                      <w:highlight w:val="none"/>
                      <w:u w:val="none" w:color="auto"/>
                      <w:vertAlign w:val="baseline"/>
                      <w:lang w:val="en-US" w:eastAsia="zh-CN"/>
                    </w:rPr>
                  </w:pPr>
                  <w:r>
                    <w:rPr>
                      <w:rFonts w:hint="eastAsia"/>
                      <w:bCs/>
                      <w:color w:val="auto"/>
                      <w:sz w:val="21"/>
                      <w:szCs w:val="21"/>
                      <w:lang w:val="en-US" w:eastAsia="zh-CN"/>
                    </w:rPr>
                    <w:t>6</w:t>
                  </w:r>
                </w:p>
              </w:tc>
              <w:tc>
                <w:tcPr>
                  <w:tcW w:w="3510" w:type="dxa"/>
                  <w:tcBorders>
                    <w:right w:val="single" w:color="auto" w:sz="12" w:space="0"/>
                  </w:tcBorders>
                  <w:vAlign w:val="center"/>
                </w:tcPr>
                <w:p w14:paraId="4053CA2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0"/>
                      <w:sz w:val="21"/>
                      <w:szCs w:val="21"/>
                      <w:highlight w:val="none"/>
                      <w:u w:val="none" w:color="auto"/>
                      <w:vertAlign w:val="baseline"/>
                      <w:lang w:val="en-US" w:eastAsia="zh-CN"/>
                    </w:rPr>
                  </w:pPr>
                </w:p>
              </w:tc>
            </w:tr>
            <w:tr w14:paraId="2B92F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dxa"/>
                  <w:tcBorders>
                    <w:left w:val="single" w:color="auto" w:sz="4" w:space="0"/>
                  </w:tcBorders>
                  <w:vAlign w:val="center"/>
                </w:tcPr>
                <w:p w14:paraId="524AA7D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10</w:t>
                  </w:r>
                </w:p>
              </w:tc>
              <w:tc>
                <w:tcPr>
                  <w:tcW w:w="1911" w:type="dxa"/>
                  <w:vAlign w:val="center"/>
                </w:tcPr>
                <w:p w14:paraId="2DB81C44">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生物质蒸汽发生器</w:t>
                  </w:r>
                </w:p>
              </w:tc>
              <w:tc>
                <w:tcPr>
                  <w:tcW w:w="2117" w:type="dxa"/>
                  <w:vAlign w:val="center"/>
                </w:tcPr>
                <w:p w14:paraId="432CF2D1">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bCs/>
                      <w:color w:val="auto"/>
                      <w:sz w:val="21"/>
                      <w:szCs w:val="21"/>
                      <w:lang w:val="en-US" w:eastAsia="zh-CN"/>
                    </w:rPr>
                  </w:pPr>
                  <w:r>
                    <w:rPr>
                      <w:rFonts w:hint="eastAsia"/>
                      <w:bCs/>
                      <w:color w:val="auto"/>
                      <w:sz w:val="21"/>
                      <w:szCs w:val="21"/>
                      <w:lang w:val="en-US" w:eastAsia="zh-CN"/>
                    </w:rPr>
                    <w:t>1</w:t>
                  </w:r>
                </w:p>
              </w:tc>
              <w:tc>
                <w:tcPr>
                  <w:tcW w:w="3510" w:type="dxa"/>
                  <w:tcBorders>
                    <w:right w:val="single" w:color="auto" w:sz="12" w:space="0"/>
                  </w:tcBorders>
                  <w:vAlign w:val="center"/>
                </w:tcPr>
                <w:p w14:paraId="0AE3928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Q4.6/900-2.2-0.0</w:t>
                  </w:r>
                </w:p>
              </w:tc>
            </w:tr>
            <w:tr w14:paraId="0F8D6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351" w:type="dxa"/>
                  <w:gridSpan w:val="4"/>
                  <w:tcBorders>
                    <w:left w:val="single" w:color="auto" w:sz="4" w:space="0"/>
                    <w:right w:val="single" w:color="auto" w:sz="12" w:space="0"/>
                  </w:tcBorders>
                  <w:vAlign w:val="center"/>
                </w:tcPr>
                <w:p w14:paraId="5D8B2AA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豆制品</w:t>
                  </w:r>
                </w:p>
              </w:tc>
            </w:tr>
            <w:tr w14:paraId="1616C2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dxa"/>
                  <w:tcBorders>
                    <w:left w:val="single" w:color="auto" w:sz="4" w:space="0"/>
                  </w:tcBorders>
                  <w:shd w:val="clear" w:color="auto" w:fill="auto"/>
                  <w:vAlign w:val="center"/>
                </w:tcPr>
                <w:p w14:paraId="76D2E1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bidi="ar-SA"/>
                    </w:rPr>
                  </w:pPr>
                  <w:r>
                    <w:rPr>
                      <w:rFonts w:hint="eastAsia" w:cs="Times New Roman"/>
                      <w:color w:val="auto"/>
                      <w:kern w:val="0"/>
                      <w:sz w:val="21"/>
                      <w:szCs w:val="21"/>
                      <w:highlight w:val="none"/>
                      <w:u w:val="none" w:color="auto"/>
                      <w:vertAlign w:val="baseline"/>
                      <w:lang w:val="en-US" w:eastAsia="zh-CN"/>
                    </w:rPr>
                    <w:t>11</w:t>
                  </w:r>
                </w:p>
              </w:tc>
              <w:tc>
                <w:tcPr>
                  <w:tcW w:w="1911" w:type="dxa"/>
                  <w:vAlign w:val="center"/>
                </w:tcPr>
                <w:p w14:paraId="0F9DE67A">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浸泡漂洗池</w:t>
                  </w:r>
                </w:p>
              </w:tc>
              <w:tc>
                <w:tcPr>
                  <w:tcW w:w="2117" w:type="dxa"/>
                  <w:vAlign w:val="center"/>
                </w:tcPr>
                <w:p w14:paraId="64DE8958">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bCs/>
                      <w:color w:val="auto"/>
                      <w:sz w:val="21"/>
                      <w:szCs w:val="21"/>
                      <w:lang w:val="en-US" w:eastAsia="zh-CN"/>
                    </w:rPr>
                  </w:pPr>
                  <w:r>
                    <w:rPr>
                      <w:rFonts w:hint="eastAsia"/>
                      <w:bCs/>
                      <w:color w:val="auto"/>
                      <w:sz w:val="21"/>
                      <w:szCs w:val="21"/>
                      <w:lang w:val="en-US" w:eastAsia="zh-CN"/>
                    </w:rPr>
                    <w:t>4</w:t>
                  </w:r>
                </w:p>
              </w:tc>
              <w:tc>
                <w:tcPr>
                  <w:tcW w:w="3510" w:type="dxa"/>
                  <w:tcBorders>
                    <w:right w:val="single" w:color="auto" w:sz="12" w:space="0"/>
                  </w:tcBorders>
                  <w:vAlign w:val="center"/>
                </w:tcPr>
                <w:p w14:paraId="0745FA3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1.5×1.2×0.8m</w:t>
                  </w:r>
                </w:p>
              </w:tc>
            </w:tr>
            <w:tr w14:paraId="794B8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dxa"/>
                  <w:tcBorders>
                    <w:left w:val="single" w:color="auto" w:sz="4" w:space="0"/>
                  </w:tcBorders>
                  <w:shd w:val="clear" w:color="auto" w:fill="auto"/>
                  <w:vAlign w:val="center"/>
                </w:tcPr>
                <w:p w14:paraId="1114E85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bidi="ar-SA"/>
                    </w:rPr>
                  </w:pPr>
                  <w:r>
                    <w:rPr>
                      <w:rFonts w:hint="eastAsia" w:cs="Times New Roman"/>
                      <w:color w:val="auto"/>
                      <w:kern w:val="0"/>
                      <w:sz w:val="21"/>
                      <w:szCs w:val="21"/>
                      <w:highlight w:val="none"/>
                      <w:u w:val="none" w:color="auto"/>
                      <w:vertAlign w:val="baseline"/>
                      <w:lang w:val="en-US" w:eastAsia="zh-CN"/>
                    </w:rPr>
                    <w:t>12</w:t>
                  </w:r>
                </w:p>
              </w:tc>
              <w:tc>
                <w:tcPr>
                  <w:tcW w:w="1911" w:type="dxa"/>
                  <w:vAlign w:val="center"/>
                </w:tcPr>
                <w:p w14:paraId="0452A28B">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磨浆机</w:t>
                  </w:r>
                </w:p>
              </w:tc>
              <w:tc>
                <w:tcPr>
                  <w:tcW w:w="2117" w:type="dxa"/>
                  <w:vAlign w:val="center"/>
                </w:tcPr>
                <w:p w14:paraId="1013C154">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bCs/>
                      <w:color w:val="auto"/>
                      <w:sz w:val="21"/>
                      <w:szCs w:val="21"/>
                      <w:lang w:val="en-US" w:eastAsia="zh-CN"/>
                    </w:rPr>
                  </w:pPr>
                  <w:r>
                    <w:rPr>
                      <w:rFonts w:hint="eastAsia"/>
                      <w:bCs/>
                      <w:color w:val="auto"/>
                      <w:sz w:val="21"/>
                      <w:szCs w:val="21"/>
                      <w:lang w:val="en-US" w:eastAsia="zh-CN"/>
                    </w:rPr>
                    <w:t>2</w:t>
                  </w:r>
                </w:p>
              </w:tc>
              <w:tc>
                <w:tcPr>
                  <w:tcW w:w="3510" w:type="dxa"/>
                  <w:tcBorders>
                    <w:right w:val="single" w:color="auto" w:sz="12" w:space="0"/>
                  </w:tcBorders>
                  <w:vAlign w:val="center"/>
                </w:tcPr>
                <w:p w14:paraId="25B045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highlight w:val="none"/>
                      <w:u w:val="none" w:color="auto"/>
                      <w:lang w:val="en-US" w:eastAsia="zh-CN"/>
                    </w:rPr>
                  </w:pPr>
                </w:p>
              </w:tc>
            </w:tr>
            <w:tr w14:paraId="3CF83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dxa"/>
                  <w:tcBorders>
                    <w:left w:val="single" w:color="auto" w:sz="4" w:space="0"/>
                  </w:tcBorders>
                  <w:shd w:val="clear" w:color="auto" w:fill="auto"/>
                  <w:vAlign w:val="center"/>
                </w:tcPr>
                <w:p w14:paraId="5DA7B6F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bidi="ar-SA"/>
                    </w:rPr>
                  </w:pPr>
                  <w:r>
                    <w:rPr>
                      <w:rFonts w:hint="eastAsia" w:cs="Times New Roman"/>
                      <w:color w:val="auto"/>
                      <w:kern w:val="0"/>
                      <w:sz w:val="21"/>
                      <w:szCs w:val="21"/>
                      <w:highlight w:val="none"/>
                      <w:u w:val="none" w:color="auto"/>
                      <w:vertAlign w:val="baseline"/>
                      <w:lang w:val="en-US" w:eastAsia="zh-CN"/>
                    </w:rPr>
                    <w:t>13</w:t>
                  </w:r>
                </w:p>
              </w:tc>
              <w:tc>
                <w:tcPr>
                  <w:tcW w:w="1911" w:type="dxa"/>
                  <w:vAlign w:val="center"/>
                </w:tcPr>
                <w:p w14:paraId="123CB940">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洗浆池</w:t>
                  </w:r>
                </w:p>
              </w:tc>
              <w:tc>
                <w:tcPr>
                  <w:tcW w:w="2117" w:type="dxa"/>
                  <w:vAlign w:val="center"/>
                </w:tcPr>
                <w:p w14:paraId="0AA18A6E">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bCs/>
                      <w:color w:val="auto"/>
                      <w:sz w:val="21"/>
                      <w:szCs w:val="21"/>
                      <w:lang w:val="en-US" w:eastAsia="zh-CN"/>
                    </w:rPr>
                  </w:pPr>
                  <w:r>
                    <w:rPr>
                      <w:rFonts w:hint="eastAsia"/>
                      <w:bCs/>
                      <w:color w:val="auto"/>
                      <w:sz w:val="21"/>
                      <w:szCs w:val="21"/>
                      <w:lang w:val="en-US" w:eastAsia="zh-CN"/>
                    </w:rPr>
                    <w:t>2</w:t>
                  </w:r>
                </w:p>
              </w:tc>
              <w:tc>
                <w:tcPr>
                  <w:tcW w:w="3510" w:type="dxa"/>
                  <w:tcBorders>
                    <w:right w:val="single" w:color="auto" w:sz="12" w:space="0"/>
                  </w:tcBorders>
                  <w:vAlign w:val="center"/>
                </w:tcPr>
                <w:p w14:paraId="7FC8AA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0.8×0.6×0.5m</w:t>
                  </w:r>
                </w:p>
              </w:tc>
            </w:tr>
            <w:tr w14:paraId="26C11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dxa"/>
                  <w:tcBorders>
                    <w:left w:val="single" w:color="auto" w:sz="4" w:space="0"/>
                  </w:tcBorders>
                  <w:vAlign w:val="center"/>
                </w:tcPr>
                <w:p w14:paraId="619D640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14</w:t>
                  </w:r>
                </w:p>
              </w:tc>
              <w:tc>
                <w:tcPr>
                  <w:tcW w:w="1911" w:type="dxa"/>
                  <w:vAlign w:val="center"/>
                </w:tcPr>
                <w:p w14:paraId="324E7650">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点浆缸</w:t>
                  </w:r>
                </w:p>
              </w:tc>
              <w:tc>
                <w:tcPr>
                  <w:tcW w:w="2117" w:type="dxa"/>
                  <w:vAlign w:val="center"/>
                </w:tcPr>
                <w:p w14:paraId="2A60B8F2">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bCs/>
                      <w:color w:val="auto"/>
                      <w:sz w:val="21"/>
                      <w:szCs w:val="21"/>
                      <w:lang w:val="en-US" w:eastAsia="zh-CN"/>
                    </w:rPr>
                  </w:pPr>
                  <w:r>
                    <w:rPr>
                      <w:rFonts w:hint="eastAsia"/>
                      <w:bCs/>
                      <w:color w:val="auto"/>
                      <w:sz w:val="21"/>
                      <w:szCs w:val="21"/>
                      <w:lang w:val="en-US" w:eastAsia="zh-CN"/>
                    </w:rPr>
                    <w:t>2</w:t>
                  </w:r>
                </w:p>
              </w:tc>
              <w:tc>
                <w:tcPr>
                  <w:tcW w:w="3510" w:type="dxa"/>
                  <w:tcBorders>
                    <w:right w:val="single" w:color="auto" w:sz="12" w:space="0"/>
                  </w:tcBorders>
                  <w:vAlign w:val="center"/>
                </w:tcPr>
                <w:p w14:paraId="6187DE3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highlight w:val="none"/>
                      <w:u w:val="none" w:color="auto"/>
                      <w:lang w:val="en-US" w:eastAsia="zh-CN"/>
                    </w:rPr>
                  </w:pPr>
                </w:p>
              </w:tc>
            </w:tr>
            <w:tr w14:paraId="4C232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dxa"/>
                  <w:tcBorders>
                    <w:left w:val="single" w:color="auto" w:sz="4" w:space="0"/>
                  </w:tcBorders>
                  <w:vAlign w:val="center"/>
                </w:tcPr>
                <w:p w14:paraId="20F52F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15</w:t>
                  </w:r>
                </w:p>
              </w:tc>
              <w:tc>
                <w:tcPr>
                  <w:tcW w:w="1911" w:type="dxa"/>
                  <w:vAlign w:val="center"/>
                </w:tcPr>
                <w:p w14:paraId="1B0C4EB9">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油炸锅</w:t>
                  </w:r>
                </w:p>
              </w:tc>
              <w:tc>
                <w:tcPr>
                  <w:tcW w:w="2117" w:type="dxa"/>
                  <w:vAlign w:val="center"/>
                </w:tcPr>
                <w:p w14:paraId="6421C19B">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eastAsia"/>
                      <w:bCs/>
                      <w:color w:val="auto"/>
                      <w:sz w:val="21"/>
                      <w:szCs w:val="21"/>
                      <w:lang w:val="en-US" w:eastAsia="zh-CN"/>
                    </w:rPr>
                  </w:pPr>
                  <w:r>
                    <w:rPr>
                      <w:rFonts w:hint="eastAsia" w:cs="Times New Roman"/>
                      <w:color w:val="auto"/>
                      <w:sz w:val="21"/>
                      <w:szCs w:val="21"/>
                      <w:highlight w:val="none"/>
                      <w:u w:val="none" w:color="auto"/>
                      <w:lang w:val="en-US" w:eastAsia="zh-CN"/>
                    </w:rPr>
                    <w:t>4</w:t>
                  </w:r>
                </w:p>
              </w:tc>
              <w:tc>
                <w:tcPr>
                  <w:tcW w:w="3510" w:type="dxa"/>
                  <w:tcBorders>
                    <w:right w:val="single" w:color="auto" w:sz="12" w:space="0"/>
                  </w:tcBorders>
                  <w:vAlign w:val="center"/>
                </w:tcPr>
                <w:p w14:paraId="7A34721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highlight w:val="none"/>
                      <w:u w:val="none" w:color="auto"/>
                      <w:lang w:val="en-US" w:eastAsia="zh-CN"/>
                    </w:rPr>
                  </w:pPr>
                </w:p>
              </w:tc>
            </w:tr>
            <w:tr w14:paraId="57F9DB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dxa"/>
                  <w:tcBorders>
                    <w:left w:val="single" w:color="auto" w:sz="4" w:space="0"/>
                  </w:tcBorders>
                  <w:vAlign w:val="center"/>
                </w:tcPr>
                <w:p w14:paraId="161FDCC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16</w:t>
                  </w:r>
                </w:p>
              </w:tc>
              <w:tc>
                <w:tcPr>
                  <w:tcW w:w="1911" w:type="dxa"/>
                  <w:vAlign w:val="center"/>
                </w:tcPr>
                <w:p w14:paraId="7528B834">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真空包装机</w:t>
                  </w:r>
                </w:p>
              </w:tc>
              <w:tc>
                <w:tcPr>
                  <w:tcW w:w="2117" w:type="dxa"/>
                  <w:vAlign w:val="center"/>
                </w:tcPr>
                <w:p w14:paraId="5B033C2C">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4</w:t>
                  </w:r>
                </w:p>
              </w:tc>
              <w:tc>
                <w:tcPr>
                  <w:tcW w:w="3510" w:type="dxa"/>
                  <w:tcBorders>
                    <w:right w:val="single" w:color="auto" w:sz="12" w:space="0"/>
                  </w:tcBorders>
                  <w:vAlign w:val="center"/>
                </w:tcPr>
                <w:p w14:paraId="65F1F0A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highlight w:val="none"/>
                      <w:u w:val="none" w:color="auto"/>
                      <w:lang w:val="en-US" w:eastAsia="zh-CN"/>
                    </w:rPr>
                  </w:pPr>
                </w:p>
              </w:tc>
            </w:tr>
            <w:tr w14:paraId="7D3AD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 w:type="dxa"/>
                  <w:tcBorders>
                    <w:left w:val="single" w:color="auto" w:sz="4" w:space="0"/>
                    <w:bottom w:val="single" w:color="auto" w:sz="12" w:space="0"/>
                  </w:tcBorders>
                  <w:vAlign w:val="center"/>
                </w:tcPr>
                <w:p w14:paraId="599829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17</w:t>
                  </w:r>
                </w:p>
              </w:tc>
              <w:tc>
                <w:tcPr>
                  <w:tcW w:w="1911" w:type="dxa"/>
                  <w:tcBorders>
                    <w:bottom w:val="single" w:color="auto" w:sz="12" w:space="0"/>
                  </w:tcBorders>
                  <w:vAlign w:val="center"/>
                </w:tcPr>
                <w:p w14:paraId="2CA41E7E">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color w:val="auto"/>
                      <w:sz w:val="21"/>
                      <w:szCs w:val="21"/>
                      <w:lang w:val="en-US" w:eastAsia="zh-CN"/>
                    </w:rPr>
                  </w:pPr>
                  <w:r>
                    <w:rPr>
                      <w:rFonts w:hint="eastAsia"/>
                      <w:color w:val="auto"/>
                      <w:sz w:val="21"/>
                      <w:szCs w:val="21"/>
                      <w:lang w:val="en-US" w:eastAsia="zh-CN"/>
                    </w:rPr>
                    <w:t>生物质蒸汽发生器</w:t>
                  </w:r>
                </w:p>
              </w:tc>
              <w:tc>
                <w:tcPr>
                  <w:tcW w:w="2117" w:type="dxa"/>
                  <w:tcBorders>
                    <w:bottom w:val="single" w:color="auto" w:sz="12" w:space="0"/>
                  </w:tcBorders>
                  <w:vAlign w:val="center"/>
                </w:tcPr>
                <w:p w14:paraId="4A8F3433">
                  <w:pPr>
                    <w:keepNext w:val="0"/>
                    <w:keepLines w:val="0"/>
                    <w:pageBreakBefore w:val="0"/>
                    <w:kinsoku/>
                    <w:wordWrap/>
                    <w:overflowPunct/>
                    <w:topLinePunct w:val="0"/>
                    <w:autoSpaceDE/>
                    <w:autoSpaceDN/>
                    <w:bidi w:val="0"/>
                    <w:adjustRightInd/>
                    <w:snapToGrid/>
                    <w:spacing w:beforeAutospacing="0" w:afterAutospacing="0" w:line="240" w:lineRule="auto"/>
                    <w:ind w:firstLine="0" w:firstLineChars="0"/>
                    <w:jc w:val="center"/>
                    <w:textAlignment w:val="auto"/>
                    <w:rPr>
                      <w:rFonts w:hint="default"/>
                      <w:bCs/>
                      <w:color w:val="auto"/>
                      <w:sz w:val="21"/>
                      <w:szCs w:val="21"/>
                      <w:lang w:val="en-US" w:eastAsia="zh-CN"/>
                    </w:rPr>
                  </w:pPr>
                  <w:r>
                    <w:rPr>
                      <w:rFonts w:hint="eastAsia"/>
                      <w:bCs/>
                      <w:color w:val="auto"/>
                      <w:sz w:val="21"/>
                      <w:szCs w:val="21"/>
                      <w:lang w:val="en-US" w:eastAsia="zh-CN"/>
                    </w:rPr>
                    <w:t>1</w:t>
                  </w:r>
                </w:p>
              </w:tc>
              <w:tc>
                <w:tcPr>
                  <w:tcW w:w="3510" w:type="dxa"/>
                  <w:tcBorders>
                    <w:bottom w:val="single" w:color="auto" w:sz="12" w:space="0"/>
                    <w:right w:val="single" w:color="auto" w:sz="12" w:space="0"/>
                  </w:tcBorders>
                  <w:vAlign w:val="center"/>
                </w:tcPr>
                <w:p w14:paraId="111546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Q5.5/900-2.5-0.7</w:t>
                  </w:r>
                </w:p>
              </w:tc>
            </w:tr>
          </w:tbl>
          <w:p w14:paraId="4C822960">
            <w:pPr>
              <w:spacing w:line="360" w:lineRule="auto"/>
              <w:ind w:firstLine="480" w:firstLineChars="200"/>
              <w:rPr>
                <w:rFonts w:hint="default" w:ascii="Times New Roman" w:hAnsi="Times New Roman" w:eastAsia="宋体" w:cs="Times New Roman"/>
                <w:b w:val="0"/>
                <w:bCs w:val="0"/>
                <w:color w:val="auto"/>
                <w:kern w:val="0"/>
                <w:highlight w:val="none"/>
                <w:u w:val="none" w:color="auto"/>
                <w:lang w:val="en-US" w:eastAsia="zh-CN"/>
              </w:rPr>
            </w:pPr>
            <w:r>
              <w:rPr>
                <w:rFonts w:hint="eastAsia" w:cs="Times New Roman"/>
                <w:color w:val="auto"/>
                <w:kern w:val="0"/>
                <w:highlight w:val="none"/>
                <w:u w:val="none" w:color="auto"/>
                <w:lang w:val="en-US" w:eastAsia="zh-CN"/>
              </w:rPr>
              <w:t>根据</w:t>
            </w:r>
            <w:r>
              <w:rPr>
                <w:rFonts w:hint="default" w:ascii="Times New Roman" w:hAnsi="Times New Roman" w:eastAsia="宋体" w:cs="Times New Roman"/>
                <w:color w:val="auto"/>
                <w:kern w:val="0"/>
                <w:highlight w:val="none"/>
                <w:u w:val="none" w:color="auto"/>
              </w:rPr>
              <w:t>《产业结构调整指导目录》(20</w:t>
            </w:r>
            <w:r>
              <w:rPr>
                <w:rFonts w:hint="default" w:ascii="Times New Roman" w:hAnsi="Times New Roman" w:eastAsia="宋体" w:cs="Times New Roman"/>
                <w:color w:val="auto"/>
                <w:kern w:val="0"/>
                <w:highlight w:val="none"/>
                <w:u w:val="none" w:color="auto"/>
                <w:lang w:val="en-US" w:eastAsia="zh-CN"/>
              </w:rPr>
              <w:t>24</w:t>
            </w:r>
            <w:r>
              <w:rPr>
                <w:rFonts w:hint="default" w:ascii="Times New Roman" w:hAnsi="Times New Roman" w:eastAsia="宋体" w:cs="Times New Roman"/>
                <w:color w:val="auto"/>
                <w:kern w:val="0"/>
                <w:highlight w:val="none"/>
                <w:u w:val="none" w:color="auto"/>
              </w:rPr>
              <w:t>年本)</w:t>
            </w:r>
            <w:r>
              <w:rPr>
                <w:rFonts w:hint="eastAsia" w:cs="Times New Roman"/>
                <w:color w:val="auto"/>
                <w:kern w:val="0"/>
                <w:highlight w:val="none"/>
                <w:u w:val="none" w:color="auto"/>
                <w:lang w:val="en-US" w:eastAsia="zh-CN"/>
              </w:rPr>
              <w:t>及</w:t>
            </w:r>
            <w:r>
              <w:rPr>
                <w:rFonts w:hint="default" w:ascii="Times New Roman" w:hAnsi="Times New Roman" w:eastAsia="宋体" w:cs="Times New Roman"/>
                <w:color w:val="auto"/>
                <w:kern w:val="0"/>
                <w:highlight w:val="none"/>
                <w:u w:val="none" w:color="auto"/>
              </w:rPr>
              <w:t>《部分工业行业淘汰落后生产工艺装备和产品指导目录》（2010年本）</w:t>
            </w:r>
            <w:r>
              <w:rPr>
                <w:rFonts w:hint="eastAsia" w:cs="Times New Roman"/>
                <w:color w:val="auto"/>
                <w:kern w:val="0"/>
                <w:highlight w:val="none"/>
                <w:u w:val="none" w:color="auto"/>
                <w:lang w:eastAsia="zh-CN"/>
              </w:rPr>
              <w:t>，</w:t>
            </w:r>
            <w:r>
              <w:rPr>
                <w:rFonts w:hint="eastAsia" w:cs="Times New Roman"/>
                <w:color w:val="auto"/>
                <w:kern w:val="0"/>
                <w:highlight w:val="none"/>
                <w:u w:val="none" w:color="auto"/>
                <w:lang w:val="en-US" w:eastAsia="zh-CN"/>
              </w:rPr>
              <w:t>本项目设备不属于国家淘汰和限制的设备，满足正常生产的需要。</w:t>
            </w:r>
          </w:p>
          <w:p w14:paraId="7F6FE08C">
            <w:pPr>
              <w:spacing w:line="360" w:lineRule="auto"/>
              <w:ind w:firstLine="480" w:firstLineChars="200"/>
              <w:rPr>
                <w:rFonts w:hint="default" w:ascii="Times New Roman" w:hAnsi="Times New Roman" w:eastAsia="宋体" w:cs="Times New Roman"/>
                <w:b w:val="0"/>
                <w:bCs w:val="0"/>
                <w:color w:val="auto"/>
                <w:kern w:val="0"/>
                <w:highlight w:val="none"/>
                <w:u w:val="none" w:color="auto"/>
                <w:lang w:val="en-US" w:eastAsia="zh-CN"/>
              </w:rPr>
            </w:pPr>
            <w:r>
              <w:rPr>
                <w:rFonts w:hint="eastAsia" w:cs="Times New Roman"/>
                <w:b w:val="0"/>
                <w:bCs w:val="0"/>
                <w:color w:val="auto"/>
                <w:kern w:val="0"/>
                <w:highlight w:val="none"/>
                <w:u w:val="none" w:color="auto"/>
                <w:lang w:val="en-US" w:eastAsia="zh-CN"/>
              </w:rPr>
              <w:t>设备产能核算：</w:t>
            </w:r>
          </w:p>
          <w:p w14:paraId="257AF20D">
            <w:pPr>
              <w:spacing w:line="360" w:lineRule="auto"/>
              <w:ind w:firstLine="480" w:firstLineChars="200"/>
              <w:rPr>
                <w:rFonts w:hint="default" w:ascii="Times New Roman" w:hAnsi="Times New Roman" w:eastAsia="宋体" w:cs="Times New Roman"/>
                <w:b w:val="0"/>
                <w:bCs w:val="0"/>
                <w:color w:val="auto"/>
                <w:kern w:val="0"/>
                <w:highlight w:val="none"/>
                <w:u w:val="none" w:color="auto"/>
                <w:lang w:val="en-US" w:eastAsia="zh-CN"/>
              </w:rPr>
            </w:pPr>
            <w:r>
              <w:rPr>
                <w:rFonts w:hint="eastAsia" w:cs="Times New Roman"/>
                <w:b w:val="0"/>
                <w:bCs w:val="0"/>
                <w:color w:val="auto"/>
                <w:kern w:val="0"/>
                <w:highlight w:val="none"/>
                <w:u w:val="none" w:color="auto"/>
                <w:lang w:val="en-US" w:eastAsia="zh-CN"/>
              </w:rPr>
              <w:t>本项目肉制品产能主要由搅拌机确定，设置1台搅拌机，产能约为1t/h，肉制品年生产280天，每天9小时，则搅拌机年产能为2520t/a，满足本项目肉制品设计生产规模的需求。</w:t>
            </w:r>
          </w:p>
          <w:p w14:paraId="4893A450">
            <w:pPr>
              <w:spacing w:line="360" w:lineRule="auto"/>
              <w:ind w:firstLine="480" w:firstLineChars="200"/>
              <w:rPr>
                <w:rFonts w:hint="default" w:ascii="Times New Roman" w:hAnsi="Times New Roman" w:eastAsia="宋体" w:cs="Times New Roman"/>
                <w:b w:val="0"/>
                <w:bCs w:val="0"/>
                <w:color w:val="auto"/>
                <w:kern w:val="0"/>
                <w:highlight w:val="none"/>
                <w:u w:val="none" w:color="auto"/>
                <w:lang w:val="en-US" w:eastAsia="zh-CN"/>
              </w:rPr>
            </w:pPr>
            <w:r>
              <w:rPr>
                <w:rFonts w:hint="eastAsia" w:cs="Times New Roman"/>
                <w:b w:val="0"/>
                <w:bCs w:val="0"/>
                <w:color w:val="auto"/>
                <w:kern w:val="0"/>
                <w:highlight w:val="none"/>
                <w:u w:val="none" w:color="auto"/>
                <w:lang w:val="en-US" w:eastAsia="zh-CN"/>
              </w:rPr>
              <w:t>本项目豆制品产能由磨浆机确定，设置两台磨浆机，每台大豆研磨能力约为0.3t/d，豆制品年生产350天，每天9小时，则磨浆机年产能为1890t/a，本项目年使用大豆1750t，生产线能满足本项目豆制品设计生产规模的需求。</w:t>
            </w:r>
          </w:p>
          <w:p w14:paraId="2BB1D38D">
            <w:pPr>
              <w:spacing w:line="360" w:lineRule="auto"/>
              <w:ind w:firstLine="482" w:firstLineChars="200"/>
              <w:rPr>
                <w:rFonts w:hint="default" w:ascii="Times New Roman" w:hAnsi="Times New Roman" w:eastAsia="宋体" w:cs="Times New Roman"/>
                <w:b/>
                <w:bCs/>
                <w:color w:val="auto"/>
                <w:kern w:val="0"/>
                <w:highlight w:val="none"/>
                <w:u w:val="none" w:color="auto"/>
              </w:rPr>
            </w:pPr>
            <w:r>
              <w:rPr>
                <w:rFonts w:hint="eastAsia" w:cs="Times New Roman"/>
                <w:b/>
                <w:bCs/>
                <w:color w:val="auto"/>
                <w:kern w:val="0"/>
                <w:highlight w:val="none"/>
                <w:u w:val="none" w:color="auto"/>
                <w:lang w:val="en-US" w:eastAsia="zh-CN"/>
              </w:rPr>
              <w:t>六</w:t>
            </w:r>
            <w:r>
              <w:rPr>
                <w:rFonts w:hint="default" w:ascii="Times New Roman" w:hAnsi="Times New Roman" w:eastAsia="宋体" w:cs="Times New Roman"/>
                <w:b/>
                <w:bCs/>
                <w:color w:val="auto"/>
                <w:kern w:val="0"/>
                <w:highlight w:val="none"/>
                <w:u w:val="none" w:color="auto"/>
              </w:rPr>
              <w:t>、给排水及水平衡</w:t>
            </w:r>
          </w:p>
          <w:p w14:paraId="4BD8FFBA">
            <w:pPr>
              <w:spacing w:line="360" w:lineRule="auto"/>
              <w:ind w:firstLine="480" w:firstLineChars="200"/>
              <w:rPr>
                <w:rFonts w:hint="default" w:ascii="Times New Roman" w:hAnsi="Times New Roman" w:eastAsia="宋体" w:cs="Times New Roman"/>
                <w:color w:val="auto"/>
                <w:kern w:val="0"/>
                <w:highlight w:val="none"/>
                <w:u w:val="none" w:color="auto"/>
              </w:rPr>
            </w:pPr>
            <w:r>
              <w:rPr>
                <w:rFonts w:hint="default" w:ascii="Times New Roman" w:hAnsi="Times New Roman" w:eastAsia="宋体" w:cs="Times New Roman"/>
                <w:color w:val="auto"/>
                <w:kern w:val="0"/>
                <w:highlight w:val="none"/>
                <w:u w:val="none" w:color="auto"/>
              </w:rPr>
              <w:t>（1）给水</w:t>
            </w:r>
          </w:p>
          <w:p w14:paraId="27A93F57">
            <w:pPr>
              <w:spacing w:line="360" w:lineRule="auto"/>
              <w:ind w:firstLine="480" w:firstLineChars="200"/>
              <w:rPr>
                <w:rFonts w:hint="default" w:ascii="Times New Roman" w:hAnsi="Times New Roman" w:eastAsia="宋体"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本项目用水为自来水。</w:t>
            </w:r>
          </w:p>
          <w:p w14:paraId="3EE2DD86">
            <w:pPr>
              <w:spacing w:line="360" w:lineRule="auto"/>
              <w:ind w:firstLine="480" w:firstLineChars="200"/>
              <w:rPr>
                <w:rFonts w:hint="default" w:ascii="Times New Roman" w:hAnsi="Times New Roman" w:eastAsia="宋体"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1）生产用水</w:t>
            </w:r>
          </w:p>
          <w:p w14:paraId="2B744073">
            <w:pPr>
              <w:spacing w:line="360" w:lineRule="auto"/>
              <w:ind w:firstLine="480" w:firstLineChars="200"/>
              <w:rPr>
                <w:rFonts w:hint="eastAsia"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①豆制品生产用水</w:t>
            </w:r>
          </w:p>
          <w:p w14:paraId="58CEDCB1">
            <w:pPr>
              <w:spacing w:line="360" w:lineRule="auto"/>
              <w:ind w:firstLine="480" w:firstLineChars="200"/>
              <w:rPr>
                <w:rFonts w:hint="eastAsia"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浸泡用水：豆制品生产过程中需对外购的大豆进行浸泡，浸泡过程会产生浸泡废水，根据建设单位提供资料，大豆浸泡时大豆与添加水的比例为1∶2，本项目消耗大豆1750t，则大豆浸泡用水量为3500t/a（10t/d）。</w:t>
            </w:r>
          </w:p>
          <w:p w14:paraId="122D8D9F">
            <w:pPr>
              <w:spacing w:line="360" w:lineRule="auto"/>
              <w:ind w:firstLine="480" w:firstLineChars="200"/>
              <w:rPr>
                <w:rFonts w:hint="eastAsia"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大豆清洗用水：浸泡后的大豆需进行清洗，根据建设单位提供资料，清洗用水按照干大豆1t/t计算，则大豆清洗用水量为1750t/a，5t/d。</w:t>
            </w:r>
          </w:p>
          <w:p w14:paraId="3A5F6B75">
            <w:pPr>
              <w:spacing w:line="360" w:lineRule="auto"/>
              <w:ind w:firstLine="480" w:firstLineChars="200"/>
              <w:rPr>
                <w:rFonts w:hint="eastAsia"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磨浆用水：根据建设单位提供资料，磨浆加水量与干豆比例约为6∶1，则磨浆用水量为10500t/a，30t/d。</w:t>
            </w:r>
          </w:p>
          <w:p w14:paraId="7B948327">
            <w:pPr>
              <w:spacing w:line="360" w:lineRule="auto"/>
              <w:ind w:firstLine="480" w:firstLineChars="200"/>
              <w:rPr>
                <w:rFonts w:hint="eastAsia"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设备清洗用水：设备清洗频次为1次/天，设备清洗用水量约为2t/d。</w:t>
            </w:r>
          </w:p>
          <w:p w14:paraId="1704D311">
            <w:pPr>
              <w:spacing w:line="360" w:lineRule="auto"/>
              <w:ind w:firstLine="480" w:firstLineChars="200"/>
              <w:rPr>
                <w:rFonts w:hint="default"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地面清洗用水:本项目地面每天清洗，清洗区域主要为生产区域及油炸间，面积约为3328m</w:t>
            </w:r>
            <w:r>
              <w:rPr>
                <w:rFonts w:hint="eastAsia" w:cs="Times New Roman"/>
                <w:color w:val="auto"/>
                <w:kern w:val="0"/>
                <w:highlight w:val="none"/>
                <w:u w:val="none" w:color="auto"/>
                <w:vertAlign w:val="superscript"/>
                <w:lang w:val="en-US" w:eastAsia="zh-CN"/>
              </w:rPr>
              <w:t>2</w:t>
            </w:r>
            <w:r>
              <w:rPr>
                <w:rFonts w:hint="eastAsia" w:cs="Times New Roman"/>
                <w:color w:val="auto"/>
                <w:kern w:val="0"/>
                <w:highlight w:val="none"/>
                <w:u w:val="none" w:color="auto"/>
                <w:lang w:val="en-US" w:eastAsia="zh-CN"/>
              </w:rPr>
              <w:t>，用水量按照《建筑给水排水设计标准（GB50015-2019）》中表3.2.2 停车库地面冲洗水用量为2~3L/m</w:t>
            </w:r>
            <w:r>
              <w:rPr>
                <w:rFonts w:hint="eastAsia" w:cs="Times New Roman"/>
                <w:color w:val="auto"/>
                <w:kern w:val="0"/>
                <w:highlight w:val="none"/>
                <w:u w:val="none" w:color="auto"/>
                <w:vertAlign w:val="superscript"/>
                <w:lang w:val="en-US" w:eastAsia="zh-CN"/>
              </w:rPr>
              <w:t>2</w:t>
            </w:r>
            <w:r>
              <w:rPr>
                <w:rFonts w:hint="eastAsia" w:cs="Times New Roman"/>
                <w:color w:val="auto"/>
                <w:kern w:val="0"/>
                <w:highlight w:val="none"/>
                <w:u w:val="none" w:color="auto"/>
                <w:lang w:val="en-US" w:eastAsia="zh-CN"/>
              </w:rPr>
              <w:t>，本次用水量取2.5L/m</w:t>
            </w:r>
            <w:r>
              <w:rPr>
                <w:rFonts w:hint="eastAsia" w:cs="Times New Roman"/>
                <w:color w:val="auto"/>
                <w:kern w:val="0"/>
                <w:highlight w:val="none"/>
                <w:u w:val="none" w:color="auto"/>
                <w:vertAlign w:val="superscript"/>
                <w:lang w:val="en-US" w:eastAsia="zh-CN"/>
              </w:rPr>
              <w:t>2</w:t>
            </w:r>
            <w:r>
              <w:rPr>
                <w:rFonts w:hint="eastAsia" w:cs="Times New Roman"/>
                <w:color w:val="auto"/>
                <w:kern w:val="0"/>
                <w:highlight w:val="none"/>
                <w:u w:val="none" w:color="auto"/>
                <w:lang w:val="en-US" w:eastAsia="zh-CN"/>
              </w:rPr>
              <w:t>，则地面清洗水用量为8.32t/d，2912t/a。</w:t>
            </w:r>
          </w:p>
          <w:p w14:paraId="100A4716">
            <w:pPr>
              <w:spacing w:line="360" w:lineRule="auto"/>
              <w:ind w:firstLine="480" w:firstLineChars="200"/>
              <w:rPr>
                <w:rFonts w:hint="eastAsia"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②肉制品生产用水</w:t>
            </w:r>
          </w:p>
          <w:p w14:paraId="7943BF6D">
            <w:pPr>
              <w:spacing w:line="360" w:lineRule="auto"/>
              <w:ind w:firstLine="480" w:firstLineChars="200"/>
              <w:rPr>
                <w:rFonts w:hint="eastAsia"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原料清洗用水：肉类制品解冻后进行清洗，根据建设单位提供资料，清洗用水量为2t/t·原料，则肉类清洗用水量为3150t/a。</w:t>
            </w:r>
          </w:p>
          <w:p w14:paraId="3F3018F9">
            <w:pPr>
              <w:spacing w:line="360" w:lineRule="auto"/>
              <w:ind w:firstLine="480" w:firstLineChars="200"/>
              <w:rPr>
                <w:rFonts w:hint="eastAsia"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产品添加用水：本项目斩拌及配料腌制过程需添加水，根据企业提供资料，用水量约为产品的5%，本项目年产肉肠2500t，则肉制品生产添加水量为415t/a。</w:t>
            </w:r>
          </w:p>
          <w:p w14:paraId="296465A4">
            <w:pPr>
              <w:spacing w:line="360" w:lineRule="auto"/>
              <w:ind w:firstLine="480" w:firstLineChars="200"/>
              <w:rPr>
                <w:rFonts w:hint="eastAsia"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设备清洗用水：设备清洗用水量为3t/d，840t/a。</w:t>
            </w:r>
          </w:p>
          <w:p w14:paraId="59BF672F">
            <w:pPr>
              <w:spacing w:line="360" w:lineRule="auto"/>
              <w:ind w:firstLine="480" w:firstLineChars="200"/>
              <w:rPr>
                <w:rFonts w:hint="default"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地面清洗用水：肉制品生产车间地面需每天清洗，清洗部分主要为生产区域，生产区域面积约为1167m</w:t>
            </w:r>
            <w:r>
              <w:rPr>
                <w:rFonts w:hint="eastAsia" w:cs="Times New Roman"/>
                <w:color w:val="auto"/>
                <w:kern w:val="0"/>
                <w:highlight w:val="none"/>
                <w:u w:val="none" w:color="auto"/>
                <w:vertAlign w:val="superscript"/>
                <w:lang w:val="en-US" w:eastAsia="zh-CN"/>
              </w:rPr>
              <w:t>2</w:t>
            </w:r>
            <w:r>
              <w:rPr>
                <w:rFonts w:hint="eastAsia" w:cs="Times New Roman"/>
                <w:color w:val="auto"/>
                <w:kern w:val="0"/>
                <w:highlight w:val="none"/>
                <w:u w:val="none" w:color="auto"/>
                <w:lang w:val="en-US" w:eastAsia="zh-CN"/>
              </w:rPr>
              <w:t>，用水量按照《建筑给水排水设计标准（GB50015-2019）》中表3.2.2 停车库地面冲洗水用量为2~3L/m</w:t>
            </w:r>
            <w:r>
              <w:rPr>
                <w:rFonts w:hint="eastAsia" w:cs="Times New Roman"/>
                <w:color w:val="auto"/>
                <w:kern w:val="0"/>
                <w:highlight w:val="none"/>
                <w:u w:val="none" w:color="auto"/>
                <w:vertAlign w:val="superscript"/>
                <w:lang w:val="en-US" w:eastAsia="zh-CN"/>
              </w:rPr>
              <w:t>2</w:t>
            </w:r>
            <w:r>
              <w:rPr>
                <w:rFonts w:hint="eastAsia" w:cs="Times New Roman"/>
                <w:color w:val="auto"/>
                <w:kern w:val="0"/>
                <w:highlight w:val="none"/>
                <w:u w:val="none" w:color="auto"/>
                <w:lang w:val="en-US" w:eastAsia="zh-CN"/>
              </w:rPr>
              <w:t>，本次用水量取2.5L/m</w:t>
            </w:r>
            <w:r>
              <w:rPr>
                <w:rFonts w:hint="eastAsia" w:cs="Times New Roman"/>
                <w:color w:val="auto"/>
                <w:kern w:val="0"/>
                <w:highlight w:val="none"/>
                <w:u w:val="none" w:color="auto"/>
                <w:vertAlign w:val="superscript"/>
                <w:lang w:val="en-US" w:eastAsia="zh-CN"/>
              </w:rPr>
              <w:t>2</w:t>
            </w:r>
            <w:r>
              <w:rPr>
                <w:rFonts w:hint="eastAsia" w:cs="Times New Roman"/>
                <w:color w:val="auto"/>
                <w:kern w:val="0"/>
                <w:highlight w:val="none"/>
                <w:u w:val="none" w:color="auto"/>
                <w:lang w:val="en-US" w:eastAsia="zh-CN"/>
              </w:rPr>
              <w:t>，则肉制品生产地面清洗用水量为2.92m</w:t>
            </w:r>
            <w:r>
              <w:rPr>
                <w:rFonts w:hint="eastAsia" w:cs="Times New Roman"/>
                <w:color w:val="auto"/>
                <w:kern w:val="0"/>
                <w:highlight w:val="none"/>
                <w:u w:val="none" w:color="auto"/>
                <w:vertAlign w:val="superscript"/>
                <w:lang w:val="en-US" w:eastAsia="zh-CN"/>
              </w:rPr>
              <w:t>3</w:t>
            </w:r>
            <w:r>
              <w:rPr>
                <w:rFonts w:hint="eastAsia" w:cs="Times New Roman"/>
                <w:color w:val="auto"/>
                <w:kern w:val="0"/>
                <w:highlight w:val="none"/>
                <w:u w:val="none" w:color="auto"/>
                <w:lang w:val="en-US" w:eastAsia="zh-CN"/>
              </w:rPr>
              <w:t>/d，817.6m</w:t>
            </w:r>
            <w:r>
              <w:rPr>
                <w:rFonts w:hint="eastAsia" w:cs="Times New Roman"/>
                <w:color w:val="auto"/>
                <w:kern w:val="0"/>
                <w:highlight w:val="none"/>
                <w:u w:val="none" w:color="auto"/>
                <w:vertAlign w:val="superscript"/>
                <w:lang w:val="en-US" w:eastAsia="zh-CN"/>
              </w:rPr>
              <w:t>3</w:t>
            </w:r>
            <w:r>
              <w:rPr>
                <w:rFonts w:hint="eastAsia" w:cs="Times New Roman"/>
                <w:color w:val="auto"/>
                <w:kern w:val="0"/>
                <w:highlight w:val="none"/>
                <w:u w:val="none" w:color="auto"/>
                <w:lang w:val="en-US" w:eastAsia="zh-CN"/>
              </w:rPr>
              <w:t>/a。</w:t>
            </w:r>
          </w:p>
          <w:p w14:paraId="1ACFE79A">
            <w:pPr>
              <w:spacing w:line="360" w:lineRule="auto"/>
              <w:ind w:firstLine="480" w:firstLineChars="200"/>
              <w:rPr>
                <w:rFonts w:hint="eastAsia"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③蒸汽发生器用水</w:t>
            </w:r>
          </w:p>
          <w:p w14:paraId="0B231D63">
            <w:pPr>
              <w:spacing w:line="360" w:lineRule="auto"/>
              <w:ind w:firstLine="480" w:firstLineChars="200"/>
              <w:rPr>
                <w:rFonts w:hint="default"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本项目设置一台2.2t/h生物质蒸汽发生器（1#），年工作280天，每天运行时长按9h计，设置一台2.5t/h生物质蒸汽发生器（2#），年工作350天，每天运行时长按9h计。用水主要是软化水设备用水（用于锅炉补水），软化水设备制备效率约70%，锅炉蒸汽经管道冷凝后大部分回收，损耗率约10%，2.2t/h生物质蒸汽发生器补充水1.98t/d，554.4t/a，2.5t/h生物质蒸汽发生器补充水2.25t/d，787.5t/a，则2.2t/h生物质蒸汽发生器新鲜用水量为2.83t/d，792.4t/a，2.5t/h生物质蒸汽发生器新鲜用水量为3.21t/d，1123.5t/a。</w:t>
            </w:r>
          </w:p>
          <w:p w14:paraId="1FC0EB85">
            <w:pPr>
              <w:spacing w:line="360" w:lineRule="auto"/>
              <w:ind w:firstLine="480" w:firstLineChars="200"/>
              <w:rPr>
                <w:rFonts w:hint="default" w:ascii="Times New Roman" w:hAnsi="Times New Roman" w:eastAsia="宋体"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2）生活用水</w:t>
            </w:r>
          </w:p>
          <w:p w14:paraId="6794724F">
            <w:pPr>
              <w:spacing w:line="360" w:lineRule="auto"/>
              <w:ind w:firstLine="480" w:firstLineChars="200"/>
              <w:rPr>
                <w:rFonts w:hint="default"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本项目肉制品生产劳动定员65人，住厂职工5人，年工作280天，豆制品生产劳动定员65人，其中住厂职工5人，年工作350天，根据湖南省《用水定额 第3部分：生活、服务业及建筑业》（DB43/T388-2025），不住宿人员用水量按38m</w:t>
            </w:r>
            <w:r>
              <w:rPr>
                <w:rFonts w:hint="eastAsia" w:cs="Times New Roman"/>
                <w:color w:val="auto"/>
                <w:kern w:val="0"/>
                <w:highlight w:val="none"/>
                <w:u w:val="none" w:color="auto"/>
                <w:vertAlign w:val="superscript"/>
                <w:lang w:val="en-US" w:eastAsia="zh-CN"/>
              </w:rPr>
              <w:t>3</w:t>
            </w:r>
            <w:r>
              <w:rPr>
                <w:rFonts w:hint="eastAsia" w:cs="Times New Roman"/>
                <w:color w:val="auto"/>
                <w:kern w:val="0"/>
                <w:highlight w:val="none"/>
                <w:u w:val="none" w:color="auto"/>
                <w:lang w:val="en-US" w:eastAsia="zh-CN"/>
              </w:rPr>
              <w:t>/人•a计算，住宿人员用水量按145L/（人·d）</w:t>
            </w:r>
            <w:r>
              <w:rPr>
                <w:rFonts w:hint="eastAsia" w:cs="Times New Roman"/>
                <w:color w:val="auto"/>
                <w:kern w:val="0"/>
                <w:highlight w:val="none"/>
                <w:u w:val="none" w:color="auto"/>
                <w:lang w:eastAsia="zh-CN"/>
              </w:rPr>
              <w:t>。</w:t>
            </w:r>
            <w:r>
              <w:rPr>
                <w:rFonts w:hint="eastAsia" w:cs="Times New Roman"/>
                <w:color w:val="auto"/>
                <w:kern w:val="0"/>
                <w:highlight w:val="none"/>
                <w:u w:val="none" w:color="auto"/>
                <w:lang w:val="en-US" w:eastAsia="zh-CN"/>
              </w:rPr>
              <w:t>则本项目肉制品生产员工生活用水量为2626t/a，9.38t/d，豆制品生产员工生活用水量为3235t/a，9.24t/d。经化粪池处理后运至汨罗市大荆镇古仑片区污水处理站处理。</w:t>
            </w:r>
          </w:p>
          <w:p w14:paraId="58B6C1C1">
            <w:pPr>
              <w:spacing w:line="360" w:lineRule="auto"/>
              <w:ind w:firstLine="480" w:firstLineChars="200"/>
              <w:rPr>
                <w:rFonts w:hint="default" w:ascii="Times New Roman" w:hAnsi="Times New Roman" w:eastAsia="宋体" w:cs="Times New Roman"/>
                <w:color w:val="auto"/>
                <w:kern w:val="0"/>
                <w:highlight w:val="none"/>
                <w:u w:val="none" w:color="auto"/>
              </w:rPr>
            </w:pPr>
            <w:r>
              <w:rPr>
                <w:rFonts w:hint="default" w:ascii="Times New Roman" w:hAnsi="Times New Roman" w:eastAsia="宋体" w:cs="Times New Roman"/>
                <w:color w:val="auto"/>
                <w:kern w:val="0"/>
                <w:highlight w:val="none"/>
                <w:u w:val="none" w:color="auto"/>
              </w:rPr>
              <w:t>（2）排水</w:t>
            </w:r>
          </w:p>
          <w:p w14:paraId="60BBFAC6">
            <w:pPr>
              <w:spacing w:line="360" w:lineRule="auto"/>
              <w:ind w:firstLine="480" w:firstLineChars="200"/>
              <w:rPr>
                <w:rFonts w:hint="eastAsia"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厂区实行雨污分流，污污分流。雨水通过雨水沟排入周边水沟。生活污水经化粪池处理后用槽车运往汨罗市大荆镇古仑片区污水处理站处理。生产废水经自建污水处理站处理还有经槽车运往汨罗市大荆镇古仑片区污水处理站处理。</w:t>
            </w:r>
          </w:p>
          <w:p w14:paraId="65F1765F">
            <w:pPr>
              <w:spacing w:line="360" w:lineRule="auto"/>
              <w:ind w:firstLine="480" w:firstLineChars="200"/>
              <w:rPr>
                <w:rFonts w:hint="eastAsia"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1）生活污水</w:t>
            </w:r>
          </w:p>
          <w:p w14:paraId="3C9A669E">
            <w:pPr>
              <w:spacing w:line="360" w:lineRule="auto"/>
              <w:ind w:firstLine="480" w:firstLineChars="200"/>
              <w:rPr>
                <w:rFonts w:hint="eastAsia"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本项目生活污水产污系数按0.8计，则本项目肉制品生产员工生活污水排放量为2100.8t/a，7.5t/d；豆制品生产员工生活污水排放量为2588t/a，7.39t/d。</w:t>
            </w:r>
          </w:p>
          <w:p w14:paraId="36EF2BD7">
            <w:pPr>
              <w:spacing w:line="360" w:lineRule="auto"/>
              <w:ind w:firstLine="480" w:firstLineChars="200"/>
              <w:rPr>
                <w:rFonts w:hint="default"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2）生产废水</w:t>
            </w:r>
          </w:p>
          <w:p w14:paraId="29E1A3C9">
            <w:pPr>
              <w:spacing w:line="360" w:lineRule="auto"/>
              <w:ind w:firstLine="480" w:firstLineChars="200"/>
              <w:rPr>
                <w:rFonts w:hint="eastAsia"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①豆制品生产废水</w:t>
            </w:r>
          </w:p>
          <w:p w14:paraId="51FB3E82">
            <w:pPr>
              <w:spacing w:line="360" w:lineRule="auto"/>
              <w:ind w:firstLine="480" w:firstLineChars="200"/>
              <w:rPr>
                <w:rFonts w:hint="eastAsia"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浸泡废水：大豆浸泡用水量为3500t/a（10t/d），大豆吸水率在100~110%，本项目按100%计，则大豆吸收的水量为1750t/a，5t/d，浸泡废水产生量为1750t/a，5t/d。</w:t>
            </w:r>
          </w:p>
          <w:p w14:paraId="0656C99A">
            <w:pPr>
              <w:spacing w:line="360" w:lineRule="auto"/>
              <w:ind w:firstLine="480" w:firstLineChars="200"/>
              <w:rPr>
                <w:rFonts w:hint="eastAsia"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大豆清洗废水：废水产生系数按0.8计，则清洗废水产生量为4t/d，1400t/a。</w:t>
            </w:r>
          </w:p>
          <w:p w14:paraId="70AF67AC">
            <w:pPr>
              <w:spacing w:line="360" w:lineRule="auto"/>
              <w:ind w:firstLine="480" w:firstLineChars="200"/>
              <w:rPr>
                <w:rFonts w:hint="eastAsia"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磨浆废水：该部分水80%带入磨浆得到的豆浆中，20%在蒸煮过程中以水蒸气形式损耗，损耗量为2100t/a，6t/d。在后续过滤工序中会产生豆渣，根据物料平衡，豆渣产生量为3525.455t/a，豆渣含水率约80%，则过滤工序豆渣带走水量为2820.364t/a，8.06t/d，其余5579.636t/a的水进入下一工序，无废水外排。</w:t>
            </w:r>
          </w:p>
          <w:p w14:paraId="4E7CBC6D">
            <w:pPr>
              <w:spacing w:line="360" w:lineRule="auto"/>
              <w:ind w:firstLine="480" w:firstLineChars="200"/>
              <w:rPr>
                <w:rFonts w:hint="eastAsia"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压制成型废水：黄豆浸泡后含水量为1750t/a，磨浆带入水为5579.636t/a，则磨浆工序后豆制品中总水量为7329.636t/a。本项目年产3000t虎皮豆腐，含水率约为65%，压制成型工序产品带出水量为3000×65%=1950t/a，则压制成型废水产生量为5379.636t/a，15.37t/d。</w:t>
            </w:r>
          </w:p>
          <w:p w14:paraId="3EBA6840">
            <w:pPr>
              <w:spacing w:line="360" w:lineRule="auto"/>
              <w:ind w:firstLine="480" w:firstLineChars="200"/>
              <w:rPr>
                <w:rFonts w:hint="eastAsia"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设备清洗废水：排污系数按0.8计，则设备清洗废水产量约为1.6t/d，560t/a。</w:t>
            </w:r>
          </w:p>
          <w:p w14:paraId="719C72F5">
            <w:pPr>
              <w:spacing w:line="360" w:lineRule="auto"/>
              <w:ind w:firstLine="480" w:firstLineChars="200"/>
              <w:rPr>
                <w:rFonts w:hint="eastAsia"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地面清洗废水：排污系数按0.8计，则地面清洗废水产生量为6.66t/d，2329.6t/a。</w:t>
            </w:r>
          </w:p>
          <w:p w14:paraId="03EE108D">
            <w:pPr>
              <w:spacing w:line="360" w:lineRule="auto"/>
              <w:ind w:firstLine="480" w:firstLineChars="200"/>
              <w:rPr>
                <w:rFonts w:hint="eastAsia"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②肉制品生产废水</w:t>
            </w:r>
          </w:p>
          <w:p w14:paraId="1D9BB69B">
            <w:pPr>
              <w:spacing w:line="360" w:lineRule="auto"/>
              <w:ind w:firstLine="480" w:firstLineChars="200"/>
              <w:rPr>
                <w:rFonts w:hint="eastAsia"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肉类解冻废水：解冻废水产生量较少，约为肉类原料的2%，本项目肉类原料年用量为1575t/a，则项目产生的解冻废水量为31.5t/a，0.11t/d。</w:t>
            </w:r>
          </w:p>
          <w:p w14:paraId="2D955D19">
            <w:pPr>
              <w:spacing w:line="360" w:lineRule="auto"/>
              <w:ind w:firstLine="480" w:firstLineChars="200"/>
              <w:rPr>
                <w:rFonts w:hint="eastAsia"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原料清洗废水：废水产生量按用水量的80%计，则肉类清洗废水产生量为2520t/a，9t/d。</w:t>
            </w:r>
          </w:p>
          <w:p w14:paraId="638F9D7A">
            <w:pPr>
              <w:spacing w:line="360" w:lineRule="auto"/>
              <w:ind w:firstLine="480" w:firstLineChars="200"/>
              <w:rPr>
                <w:rFonts w:hint="eastAsia"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设备清洗废水：排污系数为0.8，则设备清洗废水产生量为672t/a，2.4t/d。</w:t>
            </w:r>
          </w:p>
          <w:p w14:paraId="79CFBB92">
            <w:pPr>
              <w:spacing w:line="360" w:lineRule="auto"/>
              <w:ind w:firstLine="480" w:firstLineChars="200"/>
              <w:rPr>
                <w:rFonts w:hint="eastAsia"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车间地面清洗废水：排污系数按0.8计，则废水产生量为2.34m</w:t>
            </w:r>
            <w:r>
              <w:rPr>
                <w:rFonts w:hint="eastAsia" w:cs="Times New Roman"/>
                <w:color w:val="auto"/>
                <w:kern w:val="0"/>
                <w:highlight w:val="none"/>
                <w:u w:val="none" w:color="auto"/>
                <w:vertAlign w:val="superscript"/>
                <w:lang w:val="en-US" w:eastAsia="zh-CN"/>
              </w:rPr>
              <w:t>3</w:t>
            </w:r>
            <w:r>
              <w:rPr>
                <w:rFonts w:hint="eastAsia" w:cs="Times New Roman"/>
                <w:color w:val="auto"/>
                <w:kern w:val="0"/>
                <w:highlight w:val="none"/>
                <w:u w:val="none" w:color="auto"/>
                <w:lang w:val="en-US" w:eastAsia="zh-CN"/>
              </w:rPr>
              <w:t>/d，655.2m</w:t>
            </w:r>
            <w:r>
              <w:rPr>
                <w:rFonts w:hint="eastAsia" w:cs="Times New Roman"/>
                <w:color w:val="auto"/>
                <w:kern w:val="0"/>
                <w:highlight w:val="none"/>
                <w:u w:val="none" w:color="auto"/>
                <w:vertAlign w:val="superscript"/>
                <w:lang w:val="en-US" w:eastAsia="zh-CN"/>
              </w:rPr>
              <w:t>3</w:t>
            </w:r>
            <w:r>
              <w:rPr>
                <w:rFonts w:hint="eastAsia" w:cs="Times New Roman"/>
                <w:color w:val="auto"/>
                <w:kern w:val="0"/>
                <w:highlight w:val="none"/>
                <w:u w:val="none" w:color="auto"/>
                <w:lang w:val="en-US" w:eastAsia="zh-CN"/>
              </w:rPr>
              <w:t>/a。</w:t>
            </w:r>
          </w:p>
          <w:p w14:paraId="2C731298">
            <w:pPr>
              <w:spacing w:line="360" w:lineRule="auto"/>
              <w:ind w:firstLine="480" w:firstLineChars="200"/>
              <w:rPr>
                <w:rFonts w:hint="default"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3）蒸汽发生器废水</w:t>
            </w:r>
          </w:p>
          <w:p w14:paraId="3519A1E0">
            <w:pPr>
              <w:spacing w:line="360" w:lineRule="auto"/>
              <w:ind w:firstLine="480" w:firstLineChars="200"/>
              <w:rPr>
                <w:rFonts w:hint="eastAsia"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2.2t/h生物质蒸汽发生器软化水制备浓水产生量为0.85t/d，238t/a，2.5t/h生物质蒸汽发生器软化水制备浓水产生量为0.96t/d，336t/a。</w:t>
            </w:r>
          </w:p>
          <w:p w14:paraId="6D0EE007">
            <w:pPr>
              <w:spacing w:line="360" w:lineRule="auto"/>
              <w:ind w:firstLine="480" w:firstLineChars="200"/>
              <w:rPr>
                <w:rFonts w:hint="eastAsia" w:cs="Times New Roman"/>
                <w:color w:val="auto"/>
                <w:kern w:val="0"/>
                <w:highlight w:val="none"/>
                <w:u w:val="none" w:color="auto"/>
                <w:lang w:val="en-US" w:eastAsia="zh-CN"/>
              </w:rPr>
            </w:pPr>
          </w:p>
          <w:p w14:paraId="566350ED">
            <w:pPr>
              <w:spacing w:line="360" w:lineRule="auto"/>
              <w:ind w:firstLine="480" w:firstLineChars="200"/>
              <w:rPr>
                <w:rFonts w:hint="default" w:cs="Times New Roman"/>
                <w:color w:val="auto"/>
                <w:kern w:val="0"/>
                <w:highlight w:val="none"/>
                <w:u w:val="none" w:color="auto"/>
                <w:lang w:val="en-US" w:eastAsia="zh-CN"/>
              </w:rPr>
            </w:pPr>
          </w:p>
          <w:p w14:paraId="56AF9BE1">
            <w:pPr>
              <w:spacing w:line="360" w:lineRule="auto"/>
              <w:jc w:val="center"/>
              <w:rPr>
                <w:rFonts w:hint="eastAsia"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drawing>
                <wp:inline distT="0" distB="0" distL="114300" distR="114300">
                  <wp:extent cx="5503545" cy="4023360"/>
                  <wp:effectExtent l="0" t="0" r="0" b="0"/>
                  <wp:docPr id="50" name="ECB019B1-382A-4266-B25C-5B523AA43C14-1" descr="C:/Users/Administrator/AppData/Local/Temp/wps.kHHUVz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ECB019B1-382A-4266-B25C-5B523AA43C14-1" descr="C:/Users/Administrator/AppData/Local/Temp/wps.kHHUVzwps"/>
                          <pic:cNvPicPr>
                            <a:picLocks noChangeAspect="1"/>
                          </pic:cNvPicPr>
                        </pic:nvPicPr>
                        <pic:blipFill>
                          <a:blip r:embed="rId18"/>
                          <a:stretch>
                            <a:fillRect/>
                          </a:stretch>
                        </pic:blipFill>
                        <pic:spPr>
                          <a:xfrm>
                            <a:off x="0" y="0"/>
                            <a:ext cx="5503545" cy="4023360"/>
                          </a:xfrm>
                          <a:prstGeom prst="rect">
                            <a:avLst/>
                          </a:prstGeom>
                        </pic:spPr>
                      </pic:pic>
                    </a:graphicData>
                  </a:graphic>
                </wp:inline>
              </w:drawing>
            </w:r>
          </w:p>
          <w:p w14:paraId="3E97FC7E">
            <w:pPr>
              <w:pStyle w:val="12"/>
              <w:spacing w:before="0" w:after="0" w:line="240" w:lineRule="auto"/>
              <w:jc w:val="center"/>
              <w:rPr>
                <w:rFonts w:hint="default" w:ascii="Times New Roman" w:hAnsi="Times New Roman" w:eastAsia="宋体" w:cs="Times New Roman"/>
                <w:color w:val="auto"/>
                <w:highlight w:val="none"/>
                <w:u w:val="single" w:color="auto"/>
              </w:rPr>
            </w:pPr>
            <w:r>
              <w:rPr>
                <w:rFonts w:hint="default" w:ascii="Times New Roman" w:hAnsi="Times New Roman" w:eastAsia="宋体" w:cs="Times New Roman"/>
                <w:b/>
                <w:bCs/>
                <w:color w:val="auto"/>
                <w:kern w:val="0"/>
                <w:sz w:val="21"/>
                <w:szCs w:val="21"/>
                <w:highlight w:val="none"/>
                <w:u w:val="none" w:color="auto"/>
              </w:rPr>
              <w:t>图2-1  项目水平衡图（m</w:t>
            </w:r>
            <w:r>
              <w:rPr>
                <w:rFonts w:hint="default" w:ascii="Times New Roman" w:hAnsi="Times New Roman" w:eastAsia="宋体" w:cs="Times New Roman"/>
                <w:b/>
                <w:bCs/>
                <w:color w:val="auto"/>
                <w:kern w:val="0"/>
                <w:sz w:val="21"/>
                <w:szCs w:val="21"/>
                <w:highlight w:val="none"/>
                <w:u w:val="none" w:color="auto"/>
                <w:vertAlign w:val="superscript"/>
              </w:rPr>
              <w:t>3</w:t>
            </w:r>
            <w:r>
              <w:rPr>
                <w:rFonts w:hint="default" w:ascii="Times New Roman" w:hAnsi="Times New Roman" w:eastAsia="宋体" w:cs="Times New Roman"/>
                <w:b/>
                <w:bCs/>
                <w:color w:val="auto"/>
                <w:kern w:val="0"/>
                <w:sz w:val="21"/>
                <w:szCs w:val="21"/>
                <w:highlight w:val="none"/>
                <w:u w:val="none" w:color="auto"/>
              </w:rPr>
              <w:t>/a）</w:t>
            </w:r>
          </w:p>
          <w:p w14:paraId="06F41953">
            <w:pPr>
              <w:spacing w:line="360" w:lineRule="auto"/>
              <w:ind w:firstLine="482" w:firstLineChars="200"/>
              <w:rPr>
                <w:rFonts w:hint="default" w:ascii="Times New Roman" w:hAnsi="Times New Roman" w:eastAsia="宋体" w:cs="Times New Roman"/>
                <w:b/>
                <w:bCs/>
                <w:color w:val="auto"/>
                <w:kern w:val="0"/>
                <w:highlight w:val="none"/>
                <w:u w:val="none" w:color="auto"/>
              </w:rPr>
            </w:pPr>
            <w:r>
              <w:rPr>
                <w:rFonts w:hint="default" w:ascii="Times New Roman" w:hAnsi="Times New Roman" w:eastAsia="宋体" w:cs="Times New Roman"/>
                <w:b/>
                <w:bCs/>
                <w:color w:val="auto"/>
                <w:kern w:val="0"/>
                <w:highlight w:val="none"/>
                <w:u w:val="none" w:color="auto"/>
              </w:rPr>
              <w:t>六、劳动定员及工作制度</w:t>
            </w:r>
          </w:p>
          <w:p w14:paraId="7318205F">
            <w:pPr>
              <w:spacing w:line="360" w:lineRule="auto"/>
              <w:ind w:firstLine="480" w:firstLineChars="200"/>
              <w:rPr>
                <w:rFonts w:hint="default"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本项目肉制品生产劳动定员65人，住厂职工5人，年工作280天，1班（9小时）制生产。</w:t>
            </w:r>
          </w:p>
          <w:p w14:paraId="4F497B52">
            <w:pPr>
              <w:spacing w:line="360" w:lineRule="auto"/>
              <w:ind w:firstLine="480" w:firstLineChars="200"/>
              <w:rPr>
                <w:rFonts w:hint="default" w:ascii="Times New Roman" w:hAnsi="Times New Roman" w:eastAsia="宋体" w:cs="Times New Roman"/>
                <w:color w:val="auto"/>
                <w:kern w:val="0"/>
                <w:highlight w:val="none"/>
                <w:u w:val="none" w:color="auto"/>
              </w:rPr>
            </w:pPr>
            <w:r>
              <w:rPr>
                <w:rFonts w:hint="eastAsia" w:cs="Times New Roman"/>
                <w:color w:val="auto"/>
                <w:kern w:val="0"/>
                <w:highlight w:val="none"/>
                <w:u w:val="none" w:color="auto"/>
                <w:lang w:val="en-US" w:eastAsia="zh-CN"/>
              </w:rPr>
              <w:t>本项目豆制品生产劳动定员65人，其中住厂职工5人，年工作350天，1 班（9小时）制生产。</w:t>
            </w:r>
          </w:p>
          <w:p w14:paraId="39860A43">
            <w:pPr>
              <w:spacing w:line="360" w:lineRule="auto"/>
              <w:ind w:firstLine="482" w:firstLineChars="200"/>
              <w:rPr>
                <w:rFonts w:hint="default" w:ascii="Times New Roman" w:hAnsi="Times New Roman" w:eastAsia="宋体" w:cs="Times New Roman"/>
                <w:b/>
                <w:bCs/>
                <w:color w:val="auto"/>
                <w:kern w:val="0"/>
                <w:highlight w:val="none"/>
                <w:u w:val="none" w:color="auto"/>
              </w:rPr>
            </w:pPr>
            <w:r>
              <w:rPr>
                <w:rFonts w:hint="default" w:ascii="Times New Roman" w:hAnsi="Times New Roman" w:eastAsia="宋体" w:cs="Times New Roman"/>
                <w:b/>
                <w:bCs/>
                <w:color w:val="auto"/>
                <w:kern w:val="0"/>
                <w:highlight w:val="none"/>
                <w:u w:val="none" w:color="auto"/>
              </w:rPr>
              <w:t>七、平面布置</w:t>
            </w:r>
          </w:p>
          <w:p w14:paraId="28453797">
            <w:pPr>
              <w:spacing w:line="360" w:lineRule="auto"/>
              <w:ind w:firstLine="480" w:firstLineChars="200"/>
              <w:rPr>
                <w:rFonts w:hint="default"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本项目肉制品车间解冻间、配料间位于车间西侧，解冻间东侧依次为半成品加工车间、内包车间、外包车间，腌制间、加熏蒸煮间、冷却间、速冻库、清洗杀菌间位于车间北侧。更衣室、手消室位于车间西北侧及东北侧。办公楼、宿舍楼位于厂区东侧。</w:t>
            </w:r>
          </w:p>
          <w:p w14:paraId="18BE368A">
            <w:pPr>
              <w:spacing w:line="360" w:lineRule="auto"/>
              <w:ind w:firstLine="480" w:firstLineChars="200"/>
              <w:rPr>
                <w:rFonts w:hint="default"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豆制品车间从南到北依次为原料库、配料间、解包间、浸泡清洗区、磨浆、洗浆煮浆区、点卤、定型、晾干区、油炸间、冷却间、成品库。</w:t>
            </w:r>
          </w:p>
          <w:p w14:paraId="55C5D683">
            <w:pPr>
              <w:spacing w:line="360" w:lineRule="auto"/>
              <w:ind w:firstLine="480" w:firstLineChars="200"/>
              <w:rPr>
                <w:rFonts w:hint="default"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蒸汽发生器房位于厂区西北侧，污水处理站位于厂区西侧，宿舍及综合楼位于厂区东侧。</w:t>
            </w:r>
          </w:p>
          <w:p w14:paraId="4251315C">
            <w:pPr>
              <w:spacing w:line="360" w:lineRule="auto"/>
              <w:ind w:firstLine="480" w:firstLineChars="200"/>
              <w:rPr>
                <w:rFonts w:hint="default" w:ascii="Times New Roman" w:hAnsi="Times New Roman" w:eastAsia="宋体" w:cs="Times New Roman"/>
                <w:color w:val="auto"/>
                <w:kern w:val="0"/>
                <w:highlight w:val="none"/>
                <w:u w:val="none" w:color="auto"/>
              </w:rPr>
            </w:pPr>
            <w:r>
              <w:rPr>
                <w:rFonts w:hint="default" w:ascii="Times New Roman" w:hAnsi="Times New Roman" w:eastAsia="宋体" w:cs="Times New Roman"/>
                <w:color w:val="auto"/>
                <w:kern w:val="0"/>
                <w:highlight w:val="none"/>
                <w:u w:val="none" w:color="auto"/>
              </w:rPr>
              <w:t>本项目的平面设计根据流程和设备运转的要求，按照工艺过程、运转顺序和安全生产的需要布置生产装置，满足了工艺流程的合理顺畅，使生产设备集中布置。综上所述，本项目厂区布局合理。具体详见附图。</w:t>
            </w:r>
          </w:p>
        </w:tc>
      </w:tr>
      <w:tr w14:paraId="6FE7425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91" w:hRule="atLeast"/>
          <w:jc w:val="center"/>
        </w:trPr>
        <w:tc>
          <w:tcPr>
            <w:tcW w:w="251" w:type="pct"/>
            <w:vAlign w:val="center"/>
          </w:tcPr>
          <w:p w14:paraId="367684AE">
            <w:pPr>
              <w:pStyle w:val="40"/>
              <w:adjustRightInd w:val="0"/>
              <w:snapToGrid w:val="0"/>
              <w:spacing w:before="0" w:beforeAutospacing="0" w:after="0" w:afterAutospacing="0"/>
              <w:jc w:val="center"/>
              <w:rPr>
                <w:rFonts w:hint="default" w:ascii="Times New Roman" w:hAnsi="Times New Roman" w:eastAsia="宋体" w:cs="Times New Roman"/>
                <w:color w:val="auto"/>
                <w:szCs w:val="24"/>
                <w:highlight w:val="none"/>
                <w:u w:val="none" w:color="auto"/>
              </w:rPr>
            </w:pPr>
            <w:r>
              <w:rPr>
                <w:rFonts w:hint="default" w:ascii="Times New Roman" w:hAnsi="Times New Roman" w:eastAsia="宋体" w:cs="Times New Roman"/>
                <w:color w:val="auto"/>
                <w:szCs w:val="24"/>
                <w:highlight w:val="none"/>
                <w:u w:val="none" w:color="auto"/>
              </w:rPr>
              <w:t>工艺流程和产排污环节</w:t>
            </w:r>
          </w:p>
        </w:tc>
        <w:tc>
          <w:tcPr>
            <w:tcW w:w="4748" w:type="pct"/>
          </w:tcPr>
          <w:p w14:paraId="5B744DED">
            <w:pPr>
              <w:keepNext w:val="0"/>
              <w:keepLines w:val="0"/>
              <w:pageBreakBefore w:val="0"/>
              <w:widowControl w:val="0"/>
              <w:numPr>
                <w:ilvl w:val="0"/>
                <w:numId w:val="5"/>
              </w:numPr>
              <w:kinsoku/>
              <w:wordWrap/>
              <w:overflowPunct/>
              <w:topLinePunct w:val="0"/>
              <w:autoSpaceDE/>
              <w:autoSpaceDN/>
              <w:bidi w:val="0"/>
              <w:adjustRightInd/>
              <w:snapToGrid/>
              <w:spacing w:line="360" w:lineRule="auto"/>
              <w:ind w:firstLine="482" w:firstLineChars="200"/>
              <w:textAlignment w:val="auto"/>
              <w:rPr>
                <w:rStyle w:val="70"/>
                <w:rFonts w:hint="default" w:ascii="Times New Roman" w:hAnsi="Times New Roman" w:eastAsia="宋体" w:cs="Times New Roman"/>
                <w:bCs w:val="0"/>
                <w:color w:val="auto"/>
                <w:sz w:val="24"/>
                <w:szCs w:val="24"/>
                <w:highlight w:val="none"/>
                <w:u w:val="none" w:color="auto"/>
              </w:rPr>
            </w:pPr>
            <w:r>
              <w:rPr>
                <w:rStyle w:val="70"/>
                <w:rFonts w:hint="default" w:ascii="Times New Roman" w:hAnsi="Times New Roman" w:eastAsia="宋体" w:cs="Times New Roman"/>
                <w:bCs w:val="0"/>
                <w:color w:val="auto"/>
                <w:sz w:val="24"/>
                <w:szCs w:val="24"/>
                <w:highlight w:val="none"/>
                <w:u w:val="none" w:color="auto"/>
              </w:rPr>
              <w:t>生产工艺流程及产污节点图</w:t>
            </w:r>
          </w:p>
          <w:p w14:paraId="36C6C2CA">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80" w:firstLineChars="200"/>
              <w:textAlignment w:val="auto"/>
              <w:rPr>
                <w:rStyle w:val="70"/>
                <w:rFonts w:hint="default" w:ascii="Times New Roman" w:hAnsi="Times New Roman" w:eastAsia="宋体" w:cs="Times New Roman"/>
                <w:b w:val="0"/>
                <w:bCs/>
                <w:color w:val="auto"/>
                <w:sz w:val="24"/>
                <w:szCs w:val="24"/>
                <w:highlight w:val="none"/>
                <w:u w:val="none" w:color="auto"/>
                <w:lang w:val="en-US" w:eastAsia="zh-CN"/>
              </w:rPr>
            </w:pPr>
            <w:r>
              <w:rPr>
                <w:rStyle w:val="70"/>
                <w:rFonts w:hint="default" w:ascii="Times New Roman" w:hAnsi="Times New Roman" w:eastAsia="宋体" w:cs="Times New Roman"/>
                <w:b w:val="0"/>
                <w:bCs/>
                <w:color w:val="auto"/>
                <w:sz w:val="24"/>
                <w:szCs w:val="24"/>
                <w:highlight w:val="none"/>
                <w:u w:val="none" w:color="auto"/>
                <w:lang w:eastAsia="zh-CN"/>
              </w:rPr>
              <w:t>（</w:t>
            </w:r>
            <w:r>
              <w:rPr>
                <w:rStyle w:val="70"/>
                <w:rFonts w:hint="default" w:ascii="Times New Roman" w:hAnsi="Times New Roman" w:eastAsia="宋体" w:cs="Times New Roman"/>
                <w:b w:val="0"/>
                <w:bCs/>
                <w:color w:val="auto"/>
                <w:sz w:val="24"/>
                <w:szCs w:val="24"/>
                <w:highlight w:val="none"/>
                <w:u w:val="none" w:color="auto"/>
                <w:lang w:val="en-US" w:eastAsia="zh-CN"/>
              </w:rPr>
              <w:t>1</w:t>
            </w:r>
            <w:r>
              <w:rPr>
                <w:rStyle w:val="70"/>
                <w:rFonts w:hint="default" w:ascii="Times New Roman" w:hAnsi="Times New Roman" w:eastAsia="宋体" w:cs="Times New Roman"/>
                <w:b w:val="0"/>
                <w:bCs/>
                <w:color w:val="auto"/>
                <w:sz w:val="24"/>
                <w:szCs w:val="24"/>
                <w:highlight w:val="none"/>
                <w:u w:val="none" w:color="auto"/>
                <w:lang w:eastAsia="zh-CN"/>
              </w:rPr>
              <w:t>）</w:t>
            </w:r>
            <w:r>
              <w:rPr>
                <w:rStyle w:val="70"/>
                <w:rFonts w:hint="eastAsia" w:ascii="Times New Roman" w:hAnsi="Times New Roman" w:eastAsia="宋体" w:cs="Times New Roman"/>
                <w:b w:val="0"/>
                <w:bCs/>
                <w:color w:val="auto"/>
                <w:sz w:val="24"/>
                <w:szCs w:val="24"/>
                <w:highlight w:val="none"/>
                <w:u w:val="none" w:color="auto"/>
                <w:lang w:val="en-US" w:eastAsia="zh-CN"/>
              </w:rPr>
              <w:t>肉肠生产工艺流程</w:t>
            </w:r>
          </w:p>
          <w:p w14:paraId="76A91186">
            <w:pPr>
              <w:jc w:val="center"/>
              <w:rPr>
                <w:rFonts w:hint="eastAsia" w:ascii="Times New Roman" w:hAnsi="Times New Roman" w:eastAsia="宋体" w:cs="Times New Roman"/>
                <w:b/>
                <w:color w:val="auto"/>
                <w:szCs w:val="21"/>
                <w:highlight w:val="none"/>
                <w:u w:val="none" w:color="auto"/>
                <w:lang w:eastAsia="zh-CN"/>
              </w:rPr>
            </w:pPr>
          </w:p>
          <w:p w14:paraId="08682BCA">
            <w:pPr>
              <w:jc w:val="center"/>
              <w:rPr>
                <w:rFonts w:hint="eastAsia" w:ascii="Times New Roman" w:hAnsi="Times New Roman" w:eastAsia="宋体" w:cs="Times New Roman"/>
                <w:b/>
                <w:color w:val="auto"/>
                <w:sz w:val="21"/>
                <w:szCs w:val="21"/>
                <w:highlight w:val="none"/>
                <w:u w:val="none" w:color="auto"/>
                <w:lang w:eastAsia="zh-CN"/>
              </w:rPr>
            </w:pPr>
            <w:r>
              <w:rPr>
                <w:rFonts w:hint="eastAsia" w:ascii="Times New Roman" w:hAnsi="Times New Roman" w:eastAsia="宋体" w:cs="Times New Roman"/>
                <w:b/>
                <w:color w:val="auto"/>
                <w:sz w:val="21"/>
                <w:szCs w:val="21"/>
                <w:highlight w:val="none"/>
                <w:u w:val="none" w:color="auto"/>
                <w:lang w:eastAsia="zh-CN"/>
              </w:rPr>
              <w:drawing>
                <wp:inline distT="0" distB="0" distL="114300" distR="114300">
                  <wp:extent cx="2527300" cy="4430395"/>
                  <wp:effectExtent l="0" t="0" r="0" b="0"/>
                  <wp:docPr id="3" name="ECB019B1-382A-4266-B25C-5B523AA43C14-2" descr="C:/Users/11357/AppData/Local/Temp/wps.pgLwSz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CB019B1-382A-4266-B25C-5B523AA43C14-2" descr="C:/Users/11357/AppData/Local/Temp/wps.pgLwSzwps"/>
                          <pic:cNvPicPr>
                            <a:picLocks noChangeAspect="1"/>
                          </pic:cNvPicPr>
                        </pic:nvPicPr>
                        <pic:blipFill>
                          <a:blip r:embed="rId19"/>
                          <a:stretch>
                            <a:fillRect/>
                          </a:stretch>
                        </pic:blipFill>
                        <pic:spPr>
                          <a:xfrm>
                            <a:off x="0" y="0"/>
                            <a:ext cx="2527300" cy="4430395"/>
                          </a:xfrm>
                          <a:prstGeom prst="rect">
                            <a:avLst/>
                          </a:prstGeom>
                        </pic:spPr>
                      </pic:pic>
                    </a:graphicData>
                  </a:graphic>
                </wp:inline>
              </w:drawing>
            </w:r>
          </w:p>
          <w:p w14:paraId="06F144A0">
            <w:pPr>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图2-</w:t>
            </w:r>
            <w:r>
              <w:rPr>
                <w:rFonts w:hint="default" w:ascii="Times New Roman" w:hAnsi="Times New Roman" w:eastAsia="宋体" w:cs="Times New Roman"/>
                <w:b/>
                <w:color w:val="auto"/>
                <w:sz w:val="21"/>
                <w:szCs w:val="21"/>
                <w:highlight w:val="none"/>
                <w:u w:val="none" w:color="auto"/>
                <w:lang w:val="en-US" w:eastAsia="zh-CN"/>
              </w:rPr>
              <w:t>2</w:t>
            </w:r>
            <w:r>
              <w:rPr>
                <w:rFonts w:hint="default" w:ascii="Times New Roman" w:hAnsi="Times New Roman" w:eastAsia="宋体" w:cs="Times New Roman"/>
                <w:b/>
                <w:color w:val="auto"/>
                <w:sz w:val="21"/>
                <w:szCs w:val="21"/>
                <w:highlight w:val="none"/>
                <w:u w:val="none" w:color="auto"/>
              </w:rPr>
              <w:t xml:space="preserve"> </w:t>
            </w:r>
            <w:r>
              <w:rPr>
                <w:rFonts w:hint="eastAsia" w:cs="Times New Roman"/>
                <w:b/>
                <w:color w:val="auto"/>
                <w:sz w:val="21"/>
                <w:szCs w:val="21"/>
                <w:highlight w:val="none"/>
                <w:u w:val="none" w:color="auto"/>
                <w:lang w:val="en-US" w:eastAsia="zh-CN"/>
              </w:rPr>
              <w:t>肉肠</w:t>
            </w:r>
            <w:r>
              <w:rPr>
                <w:rFonts w:hint="default" w:ascii="Times New Roman" w:hAnsi="Times New Roman" w:eastAsia="宋体" w:cs="Times New Roman"/>
                <w:b/>
                <w:color w:val="auto"/>
                <w:sz w:val="21"/>
                <w:szCs w:val="21"/>
                <w:highlight w:val="none"/>
                <w:u w:val="none" w:color="auto"/>
              </w:rPr>
              <w:t>生产工艺流程及产污节点图</w:t>
            </w:r>
          </w:p>
          <w:p w14:paraId="118EF2C5">
            <w:pPr>
              <w:spacing w:line="360" w:lineRule="auto"/>
              <w:ind w:firstLine="480" w:firstLineChars="200"/>
              <w:rPr>
                <w:rFonts w:hint="default" w:ascii="Times New Roman" w:hAnsi="Times New Roman" w:eastAsia="宋体" w:cs="Times New Roman"/>
                <w:color w:val="auto"/>
                <w:highlight w:val="none"/>
                <w:u w:val="none" w:color="auto"/>
                <w:lang w:bidi="ar"/>
              </w:rPr>
            </w:pPr>
            <w:r>
              <w:rPr>
                <w:rFonts w:hint="default" w:ascii="Times New Roman" w:hAnsi="Times New Roman" w:eastAsia="宋体" w:cs="Times New Roman"/>
                <w:color w:val="auto"/>
                <w:highlight w:val="none"/>
                <w:u w:val="none" w:color="auto"/>
                <w:lang w:bidi="ar"/>
              </w:rPr>
              <w:t>工艺流程简述：</w:t>
            </w:r>
          </w:p>
          <w:p w14:paraId="422291D8">
            <w:pPr>
              <w:adjustRightInd w:val="0"/>
              <w:snapToGrid w:val="0"/>
              <w:spacing w:line="360" w:lineRule="auto"/>
              <w:ind w:firstLine="480" w:firstLineChars="200"/>
              <w:textAlignment w:val="baseline"/>
              <w:rPr>
                <w:rFonts w:hint="default" w:ascii="Times New Roman" w:hAnsi="Times New Roman" w:eastAsia="宋体" w:cs="Times New Roman"/>
                <w:color w:val="auto"/>
                <w:sz w:val="24"/>
                <w:highlight w:val="none"/>
                <w:u w:val="none" w:color="auto"/>
                <w:lang w:val="en-US" w:eastAsia="zh-CN"/>
              </w:rPr>
            </w:pPr>
            <w:r>
              <w:rPr>
                <w:rFonts w:hint="eastAsia" w:cs="Times New Roman"/>
                <w:color w:val="auto"/>
                <w:sz w:val="24"/>
                <w:highlight w:val="none"/>
                <w:u w:val="none" w:color="auto"/>
                <w:lang w:val="en-US" w:eastAsia="zh-CN"/>
              </w:rPr>
              <w:t>①原料验收：对原料进行检查，外观完整、包装无破损、三证齐全，验收合格的原料放入冷冻库。</w:t>
            </w:r>
          </w:p>
          <w:p w14:paraId="1FAB12AA">
            <w:pPr>
              <w:adjustRightInd w:val="0"/>
              <w:snapToGrid w:val="0"/>
              <w:spacing w:line="360" w:lineRule="auto"/>
              <w:ind w:firstLine="480" w:firstLineChars="200"/>
              <w:textAlignment w:val="baseline"/>
              <w:rPr>
                <w:rFonts w:hint="default" w:cs="Times New Roman"/>
                <w:color w:val="auto"/>
                <w:sz w:val="24"/>
                <w:highlight w:val="none"/>
                <w:u w:val="none" w:color="auto"/>
                <w:lang w:val="en-US" w:eastAsia="zh-CN"/>
              </w:rPr>
            </w:pPr>
            <w:r>
              <w:rPr>
                <w:rFonts w:hint="eastAsia" w:cs="Times New Roman"/>
                <w:color w:val="auto"/>
                <w:sz w:val="24"/>
                <w:highlight w:val="none"/>
                <w:u w:val="none" w:color="auto"/>
                <w:lang w:val="en-US" w:eastAsia="zh-CN"/>
              </w:rPr>
              <w:t>②解冻、清洗：将原料进行解冻、清洗；</w:t>
            </w:r>
          </w:p>
          <w:p w14:paraId="0DFD7646">
            <w:pPr>
              <w:adjustRightInd w:val="0"/>
              <w:snapToGrid w:val="0"/>
              <w:spacing w:line="360" w:lineRule="auto"/>
              <w:ind w:firstLine="480" w:firstLineChars="200"/>
              <w:textAlignment w:val="baseline"/>
              <w:rPr>
                <w:rFonts w:hint="default" w:ascii="Times New Roman" w:hAnsi="Times New Roman" w:eastAsia="宋体" w:cs="Times New Roman"/>
                <w:color w:val="auto"/>
                <w:sz w:val="24"/>
                <w:highlight w:val="none"/>
                <w:u w:val="none" w:color="auto"/>
                <w:lang w:val="en-US" w:eastAsia="zh-CN"/>
              </w:rPr>
            </w:pPr>
            <w:r>
              <w:rPr>
                <w:rFonts w:hint="eastAsia" w:cs="Times New Roman"/>
                <w:color w:val="auto"/>
                <w:sz w:val="24"/>
                <w:highlight w:val="none"/>
                <w:u w:val="none" w:color="auto"/>
                <w:lang w:val="en-US" w:eastAsia="zh-CN"/>
              </w:rPr>
              <w:t>③绞肉：将肉搅碎。</w:t>
            </w:r>
          </w:p>
          <w:p w14:paraId="45773208">
            <w:pPr>
              <w:adjustRightInd w:val="0"/>
              <w:snapToGrid w:val="0"/>
              <w:spacing w:line="360" w:lineRule="auto"/>
              <w:ind w:firstLine="480" w:firstLineChars="200"/>
              <w:textAlignment w:val="baseline"/>
              <w:rPr>
                <w:rFonts w:hint="default" w:ascii="Times New Roman" w:hAnsi="Times New Roman" w:eastAsia="宋体" w:cs="Times New Roman"/>
                <w:color w:val="auto"/>
                <w:sz w:val="24"/>
                <w:highlight w:val="none"/>
                <w:u w:val="none" w:color="auto"/>
                <w:lang w:val="en-US" w:eastAsia="zh-CN"/>
              </w:rPr>
            </w:pPr>
            <w:r>
              <w:rPr>
                <w:rFonts w:hint="eastAsia" w:cs="Times New Roman"/>
                <w:color w:val="auto"/>
                <w:sz w:val="24"/>
                <w:highlight w:val="none"/>
                <w:u w:val="none" w:color="auto"/>
                <w:lang w:val="en-US" w:eastAsia="zh-CN"/>
              </w:rPr>
              <w:t>④腌制、斩拌：按照配料表分别称量所需物料，将搅碎后的肉腌制，然后搅拌均匀。</w:t>
            </w:r>
          </w:p>
          <w:p w14:paraId="6DBEEFD3">
            <w:pPr>
              <w:adjustRightInd w:val="0"/>
              <w:snapToGrid w:val="0"/>
              <w:spacing w:line="360" w:lineRule="auto"/>
              <w:ind w:firstLine="480" w:firstLineChars="200"/>
              <w:textAlignment w:val="baseline"/>
              <w:rPr>
                <w:rFonts w:hint="default" w:ascii="Times New Roman" w:hAnsi="Times New Roman" w:eastAsia="宋体" w:cs="Times New Roman"/>
                <w:color w:val="auto"/>
                <w:sz w:val="24"/>
                <w:highlight w:val="none"/>
                <w:u w:val="none" w:color="auto"/>
                <w:lang w:val="en-US" w:eastAsia="zh-CN"/>
              </w:rPr>
            </w:pPr>
            <w:r>
              <w:rPr>
                <w:rFonts w:hint="eastAsia" w:cs="Times New Roman"/>
                <w:color w:val="auto"/>
                <w:sz w:val="24"/>
                <w:highlight w:val="none"/>
                <w:u w:val="none" w:color="auto"/>
                <w:lang w:eastAsia="zh-CN"/>
              </w:rPr>
              <w:t>⑤</w:t>
            </w:r>
            <w:r>
              <w:rPr>
                <w:rFonts w:hint="eastAsia" w:cs="Times New Roman"/>
                <w:color w:val="auto"/>
                <w:sz w:val="24"/>
                <w:highlight w:val="none"/>
                <w:u w:val="none" w:color="auto"/>
                <w:lang w:val="en-US" w:eastAsia="zh-CN"/>
              </w:rPr>
              <w:t>灌装：利用灌肠机等将斩拌后的肉泥渐装在肠衣里面</w:t>
            </w:r>
          </w:p>
          <w:p w14:paraId="1E1AD8AA">
            <w:pPr>
              <w:adjustRightInd w:val="0"/>
              <w:snapToGrid w:val="0"/>
              <w:spacing w:line="360" w:lineRule="auto"/>
              <w:ind w:firstLine="480" w:firstLineChars="200"/>
              <w:textAlignment w:val="baseline"/>
              <w:rPr>
                <w:rFonts w:hint="eastAsia" w:cs="Times New Roman"/>
                <w:color w:val="auto"/>
                <w:sz w:val="24"/>
                <w:highlight w:val="none"/>
                <w:u w:val="none" w:color="auto"/>
                <w:lang w:val="en-US" w:eastAsia="zh-CN"/>
              </w:rPr>
            </w:pPr>
            <w:r>
              <w:rPr>
                <w:rFonts w:hint="eastAsia" w:cs="Times New Roman"/>
                <w:color w:val="auto"/>
                <w:sz w:val="24"/>
                <w:highlight w:val="none"/>
                <w:u w:val="none" w:color="auto"/>
                <w:lang w:val="en-US" w:eastAsia="zh-CN"/>
              </w:rPr>
              <w:t>⑥蒸制、冷却：将肉肠蒸熟后冷却。</w:t>
            </w:r>
          </w:p>
          <w:p w14:paraId="55160932">
            <w:pPr>
              <w:adjustRightInd w:val="0"/>
              <w:snapToGrid w:val="0"/>
              <w:spacing w:line="360" w:lineRule="auto"/>
              <w:ind w:firstLine="480" w:firstLineChars="200"/>
              <w:textAlignment w:val="baseline"/>
              <w:rPr>
                <w:rFonts w:hint="default" w:cs="Times New Roman"/>
                <w:color w:val="auto"/>
                <w:sz w:val="24"/>
                <w:highlight w:val="none"/>
                <w:u w:val="none" w:color="auto"/>
                <w:lang w:val="en-US" w:eastAsia="zh-CN"/>
              </w:rPr>
            </w:pPr>
            <w:r>
              <w:rPr>
                <w:rFonts w:hint="eastAsia" w:cs="Times New Roman"/>
                <w:color w:val="auto"/>
                <w:sz w:val="24"/>
                <w:highlight w:val="none"/>
                <w:u w:val="none" w:color="auto"/>
                <w:lang w:val="en-US" w:eastAsia="zh-CN"/>
              </w:rPr>
              <w:t>⑦内包：提前对内包材进行杀菌，将冷却后的肉肠进行包装。</w:t>
            </w:r>
          </w:p>
          <w:p w14:paraId="4AE42E66">
            <w:pPr>
              <w:adjustRightInd w:val="0"/>
              <w:snapToGrid w:val="0"/>
              <w:spacing w:line="360" w:lineRule="auto"/>
              <w:ind w:firstLine="480" w:firstLineChars="200"/>
              <w:textAlignment w:val="baseline"/>
              <w:rPr>
                <w:rFonts w:hint="eastAsia" w:cs="Times New Roman"/>
                <w:color w:val="auto"/>
                <w:sz w:val="24"/>
                <w:highlight w:val="none"/>
                <w:u w:val="none" w:color="auto"/>
                <w:lang w:val="en-US" w:eastAsia="zh-CN"/>
              </w:rPr>
            </w:pPr>
            <w:r>
              <w:rPr>
                <w:rFonts w:hint="eastAsia" w:cs="Times New Roman"/>
                <w:color w:val="auto"/>
                <w:sz w:val="24"/>
                <w:highlight w:val="none"/>
                <w:u w:val="none" w:color="auto"/>
                <w:lang w:val="en-US" w:eastAsia="zh-CN"/>
              </w:rPr>
              <w:t>⑧杀菌、外包：将包装好的肉肠进行高温灭菌然后进行外包装。</w:t>
            </w:r>
          </w:p>
          <w:p w14:paraId="1B5A58EE">
            <w:pPr>
              <w:adjustRightInd w:val="0"/>
              <w:snapToGrid w:val="0"/>
              <w:spacing w:line="360" w:lineRule="auto"/>
              <w:ind w:firstLine="480" w:firstLineChars="200"/>
              <w:textAlignment w:val="baseline"/>
              <w:rPr>
                <w:rFonts w:hint="default" w:cs="Times New Roman"/>
                <w:color w:val="auto"/>
                <w:sz w:val="24"/>
                <w:highlight w:val="none"/>
                <w:u w:val="none" w:color="auto"/>
                <w:lang w:val="en-US" w:eastAsia="zh-CN"/>
              </w:rPr>
            </w:pPr>
            <w:r>
              <w:rPr>
                <w:rFonts w:hint="eastAsia" w:cs="Times New Roman"/>
                <w:color w:val="auto"/>
                <w:sz w:val="24"/>
                <w:highlight w:val="none"/>
                <w:u w:val="none" w:color="auto"/>
                <w:lang w:val="en-US" w:eastAsia="zh-CN"/>
              </w:rPr>
              <w:t>（2）虎皮豆腐生产工艺流程</w:t>
            </w:r>
          </w:p>
          <w:p w14:paraId="5F887979">
            <w:pPr>
              <w:adjustRightInd w:val="0"/>
              <w:snapToGrid w:val="0"/>
              <w:spacing w:line="360" w:lineRule="auto"/>
              <w:jc w:val="center"/>
              <w:textAlignment w:val="baseline"/>
              <w:rPr>
                <w:rFonts w:hint="eastAsia" w:cs="Times New Roman"/>
                <w:color w:val="auto"/>
                <w:sz w:val="24"/>
                <w:highlight w:val="none"/>
                <w:u w:val="none" w:color="auto"/>
                <w:lang w:val="en-US" w:eastAsia="zh-CN"/>
              </w:rPr>
            </w:pPr>
            <w:r>
              <w:rPr>
                <w:rFonts w:hint="eastAsia" w:cs="Times New Roman"/>
                <w:color w:val="auto"/>
                <w:sz w:val="24"/>
                <w:highlight w:val="none"/>
                <w:u w:val="none" w:color="auto"/>
                <w:lang w:val="en-US" w:eastAsia="zh-CN"/>
              </w:rPr>
              <w:drawing>
                <wp:inline distT="0" distB="0" distL="114300" distR="114300">
                  <wp:extent cx="2322195" cy="3834765"/>
                  <wp:effectExtent l="0" t="0" r="0" b="0"/>
                  <wp:docPr id="2" name="ECB019B1-382A-4266-B25C-5B523AA43C14-3" descr="C:/Users/Administrator/AppData/Local/Temp/wps.IsqDGV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CB019B1-382A-4266-B25C-5B523AA43C14-3" descr="C:/Users/Administrator/AppData/Local/Temp/wps.IsqDGVwps"/>
                          <pic:cNvPicPr>
                            <a:picLocks noChangeAspect="1"/>
                          </pic:cNvPicPr>
                        </pic:nvPicPr>
                        <pic:blipFill>
                          <a:blip r:embed="rId20"/>
                          <a:stretch>
                            <a:fillRect/>
                          </a:stretch>
                        </pic:blipFill>
                        <pic:spPr>
                          <a:xfrm>
                            <a:off x="0" y="0"/>
                            <a:ext cx="2322195" cy="3834765"/>
                          </a:xfrm>
                          <a:prstGeom prst="rect">
                            <a:avLst/>
                          </a:prstGeom>
                        </pic:spPr>
                      </pic:pic>
                    </a:graphicData>
                  </a:graphic>
                </wp:inline>
              </w:drawing>
            </w:r>
          </w:p>
          <w:p w14:paraId="6D516B99">
            <w:pPr>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图2-</w:t>
            </w:r>
            <w:r>
              <w:rPr>
                <w:rFonts w:hint="eastAsia" w:cs="Times New Roman"/>
                <w:b/>
                <w:color w:val="auto"/>
                <w:sz w:val="21"/>
                <w:szCs w:val="21"/>
                <w:highlight w:val="none"/>
                <w:u w:val="none" w:color="auto"/>
                <w:lang w:val="en-US" w:eastAsia="zh-CN"/>
              </w:rPr>
              <w:t>3</w:t>
            </w:r>
            <w:r>
              <w:rPr>
                <w:rFonts w:hint="default" w:ascii="Times New Roman" w:hAnsi="Times New Roman" w:eastAsia="宋体" w:cs="Times New Roman"/>
                <w:b/>
                <w:color w:val="auto"/>
                <w:sz w:val="21"/>
                <w:szCs w:val="21"/>
                <w:highlight w:val="none"/>
                <w:u w:val="none" w:color="auto"/>
              </w:rPr>
              <w:t xml:space="preserve"> </w:t>
            </w:r>
            <w:r>
              <w:rPr>
                <w:rFonts w:hint="eastAsia" w:cs="Times New Roman"/>
                <w:b/>
                <w:color w:val="auto"/>
                <w:sz w:val="21"/>
                <w:szCs w:val="21"/>
                <w:highlight w:val="none"/>
                <w:u w:val="none" w:color="auto"/>
                <w:lang w:val="en-US" w:eastAsia="zh-CN"/>
              </w:rPr>
              <w:t>虎皮豆腐</w:t>
            </w:r>
            <w:r>
              <w:rPr>
                <w:rFonts w:hint="default" w:ascii="Times New Roman" w:hAnsi="Times New Roman" w:eastAsia="宋体" w:cs="Times New Roman"/>
                <w:b/>
                <w:color w:val="auto"/>
                <w:sz w:val="21"/>
                <w:szCs w:val="21"/>
                <w:highlight w:val="none"/>
                <w:u w:val="none" w:color="auto"/>
              </w:rPr>
              <w:t>生产工艺流程及产污节点图</w:t>
            </w:r>
          </w:p>
          <w:p w14:paraId="6B8FA1C6">
            <w:pPr>
              <w:adjustRightInd w:val="0"/>
              <w:snapToGrid w:val="0"/>
              <w:spacing w:line="360" w:lineRule="auto"/>
              <w:ind w:firstLine="480" w:firstLineChars="200"/>
              <w:textAlignment w:val="baseline"/>
              <w:rPr>
                <w:rFonts w:hint="eastAsia" w:cs="Times New Roman"/>
                <w:color w:val="auto"/>
                <w:sz w:val="24"/>
                <w:highlight w:val="none"/>
                <w:u w:val="none" w:color="auto"/>
                <w:lang w:val="en-US" w:eastAsia="zh-CN"/>
              </w:rPr>
            </w:pPr>
          </w:p>
          <w:p w14:paraId="4FCADFCD">
            <w:pPr>
              <w:adjustRightInd w:val="0"/>
              <w:snapToGrid w:val="0"/>
              <w:spacing w:line="360" w:lineRule="auto"/>
              <w:ind w:firstLine="480" w:firstLineChars="200"/>
              <w:textAlignment w:val="baseline"/>
              <w:rPr>
                <w:rFonts w:hint="default" w:cs="Times New Roman"/>
                <w:color w:val="auto"/>
                <w:sz w:val="24"/>
                <w:highlight w:val="none"/>
                <w:u w:val="none" w:color="auto"/>
                <w:lang w:val="en-US" w:eastAsia="zh-CN"/>
              </w:rPr>
            </w:pPr>
            <w:r>
              <w:rPr>
                <w:rFonts w:hint="eastAsia" w:cs="Times New Roman"/>
                <w:color w:val="auto"/>
                <w:sz w:val="24"/>
                <w:highlight w:val="none"/>
                <w:u w:val="none" w:color="auto"/>
                <w:lang w:val="en-US" w:eastAsia="zh-CN"/>
              </w:rPr>
              <w:t>工艺流程简述：</w:t>
            </w:r>
          </w:p>
          <w:p w14:paraId="10A2CC79">
            <w:pPr>
              <w:adjustRightInd w:val="0"/>
              <w:snapToGrid w:val="0"/>
              <w:spacing w:line="360" w:lineRule="auto"/>
              <w:ind w:firstLine="480" w:firstLineChars="200"/>
              <w:textAlignment w:val="baseline"/>
              <w:rPr>
                <w:rFonts w:hint="default" w:ascii="Times New Roman" w:hAnsi="Times New Roman" w:eastAsia="宋体" w:cs="Times New Roman"/>
                <w:color w:val="auto"/>
                <w:sz w:val="24"/>
                <w:highlight w:val="none"/>
                <w:u w:val="none" w:color="auto"/>
                <w:lang w:val="en-US" w:eastAsia="zh-CN"/>
              </w:rPr>
            </w:pPr>
            <w:r>
              <w:rPr>
                <w:rFonts w:hint="eastAsia" w:cs="Times New Roman"/>
                <w:color w:val="auto"/>
                <w:sz w:val="24"/>
                <w:highlight w:val="none"/>
                <w:u w:val="none" w:color="auto"/>
                <w:lang w:val="en-US" w:eastAsia="zh-CN"/>
              </w:rPr>
              <w:t>①浸泡清洗：先对大豆进行浸泡，冬天浸泡时间为6~8小时，夏天浸泡时间为3~4小时。浸泡后对大豆进行清洗，清洗不少于2次，</w:t>
            </w:r>
          </w:p>
          <w:p w14:paraId="7004FFFD">
            <w:pPr>
              <w:adjustRightInd w:val="0"/>
              <w:snapToGrid w:val="0"/>
              <w:spacing w:line="360" w:lineRule="auto"/>
              <w:ind w:firstLine="480" w:firstLineChars="200"/>
              <w:textAlignment w:val="baseline"/>
              <w:rPr>
                <w:rFonts w:hint="default" w:ascii="Times New Roman" w:hAnsi="Times New Roman" w:eastAsia="宋体" w:cs="Times New Roman"/>
                <w:color w:val="auto"/>
                <w:sz w:val="24"/>
                <w:highlight w:val="none"/>
                <w:u w:val="none" w:color="auto"/>
                <w:lang w:val="en-US" w:eastAsia="zh-CN"/>
              </w:rPr>
            </w:pPr>
            <w:r>
              <w:rPr>
                <w:rFonts w:hint="eastAsia" w:cs="Times New Roman"/>
                <w:color w:val="auto"/>
                <w:sz w:val="24"/>
                <w:highlight w:val="none"/>
                <w:u w:val="none" w:color="auto"/>
                <w:lang w:val="en-US" w:eastAsia="zh-CN"/>
              </w:rPr>
              <w:t>②粉碎：将浸泡好的大豆倒入磨浆机中粉碎，磨成糊状物。</w:t>
            </w:r>
          </w:p>
          <w:p w14:paraId="268F6A15">
            <w:pPr>
              <w:adjustRightInd w:val="0"/>
              <w:snapToGrid w:val="0"/>
              <w:spacing w:line="360" w:lineRule="auto"/>
              <w:ind w:firstLine="480" w:firstLineChars="200"/>
              <w:textAlignment w:val="baseline"/>
              <w:rPr>
                <w:rFonts w:hint="default" w:ascii="Times New Roman" w:hAnsi="Times New Roman" w:eastAsia="宋体" w:cs="Times New Roman"/>
                <w:color w:val="auto"/>
                <w:sz w:val="24"/>
                <w:highlight w:val="none"/>
                <w:u w:val="none" w:color="auto"/>
                <w:lang w:val="en-US" w:eastAsia="zh-CN"/>
              </w:rPr>
            </w:pPr>
            <w:r>
              <w:rPr>
                <w:rFonts w:hint="eastAsia" w:cs="Times New Roman"/>
                <w:color w:val="auto"/>
                <w:sz w:val="24"/>
                <w:highlight w:val="none"/>
                <w:u w:val="none" w:color="auto"/>
                <w:lang w:val="en-US" w:eastAsia="zh-CN"/>
              </w:rPr>
              <w:t>③渣浆分离：磨好的原料经滤网过滤，过滤出的豆渣用手捏松散、无浆水为标准。</w:t>
            </w:r>
          </w:p>
          <w:p w14:paraId="38A5C86F">
            <w:pPr>
              <w:adjustRightInd w:val="0"/>
              <w:snapToGrid w:val="0"/>
              <w:spacing w:line="360" w:lineRule="auto"/>
              <w:ind w:firstLine="480" w:firstLineChars="200"/>
              <w:textAlignment w:val="baseline"/>
              <w:rPr>
                <w:rFonts w:hint="default" w:ascii="Times New Roman" w:hAnsi="Times New Roman" w:eastAsia="宋体" w:cs="Times New Roman"/>
                <w:color w:val="auto"/>
                <w:sz w:val="24"/>
                <w:highlight w:val="none"/>
                <w:u w:val="none" w:color="auto"/>
                <w:lang w:val="en-US" w:eastAsia="zh-CN"/>
              </w:rPr>
            </w:pPr>
            <w:r>
              <w:rPr>
                <w:rFonts w:hint="eastAsia" w:cs="Times New Roman"/>
                <w:color w:val="auto"/>
                <w:sz w:val="24"/>
                <w:highlight w:val="none"/>
                <w:u w:val="none" w:color="auto"/>
                <w:lang w:val="en-US" w:eastAsia="zh-CN"/>
              </w:rPr>
              <w:t>④煮浆：磨好的豆浆进行煮制，利用蒸汽加热。</w:t>
            </w:r>
          </w:p>
          <w:p w14:paraId="1AA1EEB3">
            <w:pPr>
              <w:adjustRightInd w:val="0"/>
              <w:snapToGrid w:val="0"/>
              <w:spacing w:line="360" w:lineRule="auto"/>
              <w:ind w:firstLine="480" w:firstLineChars="200"/>
              <w:textAlignment w:val="baseline"/>
              <w:rPr>
                <w:rFonts w:hint="default" w:ascii="Times New Roman" w:hAnsi="Times New Roman" w:eastAsia="宋体" w:cs="Times New Roman"/>
                <w:color w:val="auto"/>
                <w:sz w:val="24"/>
                <w:highlight w:val="none"/>
                <w:u w:val="none" w:color="auto"/>
                <w:lang w:val="en-US" w:eastAsia="zh-CN"/>
              </w:rPr>
            </w:pPr>
            <w:r>
              <w:rPr>
                <w:rFonts w:hint="eastAsia" w:cs="Times New Roman"/>
                <w:color w:val="auto"/>
                <w:sz w:val="24"/>
                <w:highlight w:val="none"/>
                <w:u w:val="none" w:color="auto"/>
                <w:lang w:val="en-US" w:eastAsia="zh-CN"/>
              </w:rPr>
              <w:t>⑤点卤：完成煮浆的豆浆加入石膏进行凝固定型。</w:t>
            </w:r>
          </w:p>
          <w:p w14:paraId="79CAE03D">
            <w:pPr>
              <w:adjustRightInd w:val="0"/>
              <w:snapToGrid w:val="0"/>
              <w:spacing w:line="360" w:lineRule="auto"/>
              <w:ind w:firstLine="480" w:firstLineChars="200"/>
              <w:textAlignment w:val="baseline"/>
              <w:rPr>
                <w:rFonts w:hint="default" w:ascii="Times New Roman" w:hAnsi="Times New Roman" w:eastAsia="宋体" w:cs="Times New Roman"/>
                <w:color w:val="auto"/>
                <w:sz w:val="24"/>
                <w:highlight w:val="none"/>
                <w:u w:val="none" w:color="auto"/>
                <w:lang w:val="en-US" w:eastAsia="zh-CN"/>
              </w:rPr>
            </w:pPr>
            <w:r>
              <w:rPr>
                <w:rFonts w:hint="eastAsia" w:cs="Times New Roman"/>
                <w:color w:val="auto"/>
                <w:sz w:val="24"/>
                <w:highlight w:val="none"/>
                <w:u w:val="none" w:color="auto"/>
                <w:lang w:val="en-US" w:eastAsia="zh-CN"/>
              </w:rPr>
              <w:t>⑥定型压榨：凝固成型的豆腐进行压榨5~10分钟，压出水分。</w:t>
            </w:r>
          </w:p>
          <w:p w14:paraId="356453FB">
            <w:pPr>
              <w:adjustRightInd w:val="0"/>
              <w:snapToGrid w:val="0"/>
              <w:spacing w:line="360" w:lineRule="auto"/>
              <w:ind w:firstLine="480" w:firstLineChars="200"/>
              <w:textAlignment w:val="baseline"/>
              <w:rPr>
                <w:rFonts w:hint="default" w:ascii="Times New Roman" w:hAnsi="Times New Roman" w:eastAsia="宋体" w:cs="Times New Roman"/>
                <w:color w:val="auto"/>
                <w:sz w:val="24"/>
                <w:highlight w:val="none"/>
                <w:u w:val="none" w:color="auto"/>
                <w:lang w:val="en-US" w:eastAsia="zh-CN"/>
              </w:rPr>
            </w:pPr>
            <w:r>
              <w:rPr>
                <w:rFonts w:hint="eastAsia" w:cs="Times New Roman"/>
                <w:color w:val="auto"/>
                <w:sz w:val="24"/>
                <w:highlight w:val="none"/>
                <w:u w:val="none" w:color="auto"/>
                <w:lang w:val="en-US" w:eastAsia="zh-CN"/>
              </w:rPr>
              <w:t>⑦晾干：将压榨后的豆腐进行晾干。</w:t>
            </w:r>
          </w:p>
          <w:p w14:paraId="713CB0F3">
            <w:pPr>
              <w:adjustRightInd w:val="0"/>
              <w:snapToGrid w:val="0"/>
              <w:spacing w:line="360" w:lineRule="auto"/>
              <w:ind w:firstLine="480" w:firstLineChars="200"/>
              <w:textAlignment w:val="baseline"/>
              <w:rPr>
                <w:rFonts w:hint="default" w:ascii="Times New Roman" w:hAnsi="Times New Roman" w:eastAsia="宋体" w:cs="Times New Roman"/>
                <w:color w:val="auto"/>
                <w:sz w:val="24"/>
                <w:highlight w:val="none"/>
                <w:u w:val="none" w:color="auto"/>
                <w:lang w:val="en-US" w:eastAsia="zh-CN"/>
              </w:rPr>
            </w:pPr>
            <w:r>
              <w:rPr>
                <w:rFonts w:hint="eastAsia" w:cs="Times New Roman"/>
                <w:color w:val="auto"/>
                <w:sz w:val="24"/>
                <w:highlight w:val="none"/>
                <w:u w:val="none" w:color="auto"/>
                <w:lang w:val="en-US" w:eastAsia="zh-CN"/>
              </w:rPr>
              <w:t>⑧高温油炸：将晾干的豆腐进行油炸，油炸温度为170~210℃。</w:t>
            </w:r>
          </w:p>
          <w:p w14:paraId="79A1BABC">
            <w:pPr>
              <w:adjustRightInd w:val="0"/>
              <w:snapToGrid w:val="0"/>
              <w:spacing w:line="360" w:lineRule="auto"/>
              <w:ind w:firstLine="480" w:firstLineChars="200"/>
              <w:textAlignment w:val="baseline"/>
              <w:rPr>
                <w:rFonts w:hint="default" w:ascii="Times New Roman" w:hAnsi="Times New Roman" w:eastAsia="宋体" w:cs="Times New Roman"/>
                <w:color w:val="auto"/>
                <w:sz w:val="24"/>
                <w:highlight w:val="none"/>
                <w:u w:val="none" w:color="auto"/>
                <w:lang w:val="en-US" w:eastAsia="zh-CN"/>
              </w:rPr>
            </w:pPr>
            <w:r>
              <w:rPr>
                <w:rFonts w:hint="eastAsia" w:cs="Times New Roman"/>
                <w:color w:val="auto"/>
                <w:sz w:val="24"/>
                <w:highlight w:val="none"/>
                <w:u w:val="none" w:color="auto"/>
                <w:lang w:val="en-US" w:eastAsia="zh-CN"/>
              </w:rPr>
              <w:t>⑨冷却：炸好的虎皮豆腐放入冷却间自然冷却。</w:t>
            </w:r>
          </w:p>
          <w:p w14:paraId="52F0413B">
            <w:pPr>
              <w:adjustRightInd w:val="0"/>
              <w:snapToGrid w:val="0"/>
              <w:spacing w:line="360" w:lineRule="auto"/>
              <w:ind w:firstLine="480" w:firstLineChars="200"/>
              <w:textAlignment w:val="baseline"/>
              <w:rPr>
                <w:rFonts w:hint="default" w:ascii="Times New Roman" w:hAnsi="Times New Roman" w:eastAsia="宋体" w:cs="Times New Roman"/>
                <w:color w:val="auto"/>
                <w:sz w:val="24"/>
                <w:highlight w:val="none"/>
                <w:u w:val="none" w:color="auto"/>
                <w:lang w:val="en-US" w:eastAsia="zh-CN"/>
              </w:rPr>
            </w:pPr>
            <w:r>
              <w:rPr>
                <w:rFonts w:hint="eastAsia" w:cs="Times New Roman"/>
                <w:color w:val="auto"/>
                <w:sz w:val="24"/>
                <w:highlight w:val="none"/>
                <w:u w:val="none" w:color="auto"/>
                <w:lang w:val="en-US" w:eastAsia="zh-CN"/>
              </w:rPr>
              <w:t>⑩包装、成品：合格产品包装好后出库。</w:t>
            </w:r>
          </w:p>
          <w:p w14:paraId="2C6DC32C">
            <w:pPr>
              <w:adjustRightInd w:val="0"/>
              <w:snapToGrid w:val="0"/>
              <w:spacing w:line="360" w:lineRule="auto"/>
              <w:ind w:firstLine="480" w:firstLineChars="200"/>
              <w:textAlignment w:val="baseline"/>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t>营运期污染工序及处理情况如下表2-</w:t>
            </w:r>
            <w:r>
              <w:rPr>
                <w:rFonts w:hint="eastAsia" w:cs="Times New Roman"/>
                <w:color w:val="auto"/>
                <w:sz w:val="24"/>
                <w:highlight w:val="none"/>
                <w:u w:val="none" w:color="auto"/>
                <w:lang w:val="en-US" w:eastAsia="zh-CN"/>
              </w:rPr>
              <w:t>7</w:t>
            </w:r>
            <w:r>
              <w:rPr>
                <w:rFonts w:hint="default" w:ascii="Times New Roman" w:hAnsi="Times New Roman" w:eastAsia="宋体" w:cs="Times New Roman"/>
                <w:color w:val="auto"/>
                <w:sz w:val="24"/>
                <w:highlight w:val="none"/>
                <w:u w:val="none" w:color="auto"/>
              </w:rPr>
              <w:t>所示：</w:t>
            </w:r>
          </w:p>
          <w:p w14:paraId="11DEAFCF">
            <w:pPr>
              <w:pStyle w:val="116"/>
              <w:tabs>
                <w:tab w:val="left" w:pos="1204"/>
              </w:tabs>
              <w:spacing w:before="24" w:after="24"/>
              <w:ind w:left="450"/>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表</w:t>
            </w:r>
            <w:r>
              <w:rPr>
                <w:rFonts w:hint="default" w:ascii="Times New Roman" w:hAnsi="Times New Roman" w:eastAsia="宋体" w:cs="Times New Roman"/>
                <w:b/>
                <w:color w:val="auto"/>
                <w:spacing w:val="-52"/>
                <w:sz w:val="21"/>
                <w:szCs w:val="21"/>
                <w:highlight w:val="none"/>
                <w:u w:val="none" w:color="auto"/>
              </w:rPr>
              <w:t xml:space="preserve"> </w:t>
            </w:r>
            <w:r>
              <w:rPr>
                <w:rFonts w:hint="default" w:ascii="Times New Roman" w:hAnsi="Times New Roman" w:eastAsia="宋体" w:cs="Times New Roman"/>
                <w:b/>
                <w:color w:val="auto"/>
                <w:sz w:val="21"/>
                <w:szCs w:val="21"/>
                <w:highlight w:val="none"/>
                <w:u w:val="none" w:color="auto"/>
              </w:rPr>
              <w:t>2-</w:t>
            </w:r>
            <w:r>
              <w:rPr>
                <w:rFonts w:hint="eastAsia" w:ascii="Times New Roman" w:hAnsi="Times New Roman" w:eastAsia="宋体" w:cs="Times New Roman"/>
                <w:b/>
                <w:color w:val="auto"/>
                <w:sz w:val="21"/>
                <w:szCs w:val="21"/>
                <w:highlight w:val="none"/>
                <w:u w:val="none" w:color="auto"/>
                <w:lang w:val="en-US" w:eastAsia="zh-CN"/>
              </w:rPr>
              <w:t>7</w:t>
            </w:r>
            <w:r>
              <w:rPr>
                <w:rFonts w:hint="default" w:ascii="Times New Roman" w:hAnsi="Times New Roman" w:eastAsia="宋体" w:cs="Times New Roman"/>
                <w:b/>
                <w:color w:val="auto"/>
                <w:sz w:val="21"/>
                <w:szCs w:val="21"/>
                <w:highlight w:val="none"/>
                <w:u w:val="none" w:color="auto"/>
              </w:rPr>
              <w:tab/>
            </w:r>
            <w:r>
              <w:rPr>
                <w:rFonts w:hint="default" w:ascii="Times New Roman" w:hAnsi="Times New Roman" w:eastAsia="宋体" w:cs="Times New Roman"/>
                <w:b/>
                <w:color w:val="auto"/>
                <w:sz w:val="21"/>
                <w:szCs w:val="21"/>
                <w:highlight w:val="none"/>
                <w:u w:val="none" w:color="auto"/>
              </w:rPr>
              <w:t>项目主要产污工序及污染物对照表</w:t>
            </w:r>
          </w:p>
          <w:tbl>
            <w:tblPr>
              <w:tblStyle w:val="42"/>
              <w:tblW w:w="0" w:type="auto"/>
              <w:tblInd w:w="-15"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682"/>
              <w:gridCol w:w="1416"/>
              <w:gridCol w:w="1469"/>
              <w:gridCol w:w="1469"/>
              <w:gridCol w:w="3322"/>
            </w:tblGrid>
            <w:tr w14:paraId="2380B7A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00" w:hRule="atLeast"/>
              </w:trPr>
              <w:tc>
                <w:tcPr>
                  <w:tcW w:w="682" w:type="dxa"/>
                  <w:tcBorders>
                    <w:tl2br w:val="nil"/>
                    <w:tr2bl w:val="nil"/>
                  </w:tcBorders>
                  <w:noWrap w:val="0"/>
                  <w:vAlign w:val="center"/>
                </w:tcPr>
                <w:p w14:paraId="7F47021F">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z w:val="21"/>
                      <w:szCs w:val="21"/>
                      <w:highlight w:val="none"/>
                      <w:u w:val="none" w:color="auto"/>
                    </w:rPr>
                    <w:t>污染类别</w:t>
                  </w:r>
                </w:p>
              </w:tc>
              <w:tc>
                <w:tcPr>
                  <w:tcW w:w="1416" w:type="dxa"/>
                  <w:tcBorders>
                    <w:tl2br w:val="nil"/>
                    <w:tr2bl w:val="nil"/>
                  </w:tcBorders>
                  <w:noWrap w:val="0"/>
                  <w:vAlign w:val="center"/>
                </w:tcPr>
                <w:p w14:paraId="4CEE4ACF">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z w:val="21"/>
                      <w:szCs w:val="21"/>
                      <w:highlight w:val="none"/>
                      <w:u w:val="none" w:color="auto"/>
                    </w:rPr>
                    <w:t>污染源</w:t>
                  </w:r>
                </w:p>
              </w:tc>
              <w:tc>
                <w:tcPr>
                  <w:tcW w:w="2938" w:type="dxa"/>
                  <w:gridSpan w:val="2"/>
                  <w:tcBorders>
                    <w:tl2br w:val="nil"/>
                    <w:tr2bl w:val="nil"/>
                  </w:tcBorders>
                  <w:noWrap w:val="0"/>
                  <w:vAlign w:val="center"/>
                </w:tcPr>
                <w:p w14:paraId="43EE514F">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z w:val="21"/>
                      <w:szCs w:val="21"/>
                      <w:highlight w:val="none"/>
                      <w:u w:val="none" w:color="auto"/>
                    </w:rPr>
                    <w:t>主要污染因子</w:t>
                  </w:r>
                </w:p>
              </w:tc>
              <w:tc>
                <w:tcPr>
                  <w:tcW w:w="3322" w:type="dxa"/>
                  <w:tcBorders>
                    <w:tl2br w:val="nil"/>
                    <w:tr2bl w:val="nil"/>
                  </w:tcBorders>
                  <w:noWrap w:val="0"/>
                  <w:vAlign w:val="center"/>
                </w:tcPr>
                <w:p w14:paraId="1D1641DF">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b/>
                      <w:bCs/>
                      <w:color w:val="auto"/>
                      <w:sz w:val="21"/>
                      <w:szCs w:val="21"/>
                      <w:highlight w:val="none"/>
                      <w:u w:val="none" w:color="auto"/>
                      <w:lang w:val="en-US" w:eastAsia="zh-CN"/>
                    </w:rPr>
                  </w:pPr>
                  <w:r>
                    <w:rPr>
                      <w:rFonts w:hint="default" w:ascii="Times New Roman" w:hAnsi="Times New Roman" w:eastAsia="宋体" w:cs="Times New Roman"/>
                      <w:b/>
                      <w:bCs/>
                      <w:color w:val="auto"/>
                      <w:sz w:val="21"/>
                      <w:szCs w:val="21"/>
                      <w:highlight w:val="none"/>
                      <w:u w:val="none" w:color="auto"/>
                      <w:lang w:val="en-US" w:eastAsia="zh-CN"/>
                    </w:rPr>
                    <w:t>环保措施</w:t>
                  </w:r>
                </w:p>
              </w:tc>
            </w:tr>
            <w:tr w14:paraId="525E7DE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82" w:type="dxa"/>
                  <w:vMerge w:val="restart"/>
                  <w:tcBorders>
                    <w:tl2br w:val="nil"/>
                    <w:tr2bl w:val="nil"/>
                  </w:tcBorders>
                  <w:noWrap w:val="0"/>
                  <w:vAlign w:val="center"/>
                </w:tcPr>
                <w:p w14:paraId="54C9930F">
                  <w:pPr>
                    <w:keepNext w:val="0"/>
                    <w:keepLines w:val="0"/>
                    <w:pageBreakBefore w:val="0"/>
                    <w:widowControl/>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废气</w:t>
                  </w:r>
                </w:p>
              </w:tc>
              <w:tc>
                <w:tcPr>
                  <w:tcW w:w="1416" w:type="dxa"/>
                  <w:tcBorders>
                    <w:tl2br w:val="nil"/>
                    <w:tr2bl w:val="nil"/>
                  </w:tcBorders>
                  <w:shd w:val="clear" w:color="auto" w:fill="auto"/>
                  <w:noWrap w:val="0"/>
                  <w:vAlign w:val="center"/>
                </w:tcPr>
                <w:p w14:paraId="2DC4057E">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sz w:val="21"/>
                      <w:szCs w:val="21"/>
                      <w:highlight w:val="none"/>
                      <w:u w:val="none" w:color="auto"/>
                      <w:lang w:val="en-US" w:eastAsia="zh-CN"/>
                    </w:rPr>
                    <w:t>2.5t生物质锅炉</w:t>
                  </w:r>
                </w:p>
              </w:tc>
              <w:tc>
                <w:tcPr>
                  <w:tcW w:w="2938" w:type="dxa"/>
                  <w:gridSpan w:val="2"/>
                  <w:tcBorders>
                    <w:tl2br w:val="nil"/>
                    <w:tr2bl w:val="nil"/>
                  </w:tcBorders>
                  <w:shd w:val="clear" w:color="auto" w:fill="auto"/>
                  <w:noWrap w:val="0"/>
                  <w:vAlign w:val="center"/>
                </w:tcPr>
                <w:p w14:paraId="01C0C0A0">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sz w:val="21"/>
                      <w:szCs w:val="21"/>
                      <w:highlight w:val="none"/>
                      <w:u w:val="none" w:color="auto"/>
                      <w:lang w:val="en-US" w:eastAsia="zh-CN"/>
                    </w:rPr>
                    <w:t>颗粒物、SO</w:t>
                  </w:r>
                  <w:r>
                    <w:rPr>
                      <w:rFonts w:hint="eastAsia" w:cs="Times New Roman"/>
                      <w:color w:val="auto"/>
                      <w:sz w:val="21"/>
                      <w:szCs w:val="21"/>
                      <w:highlight w:val="none"/>
                      <w:u w:val="none" w:color="auto"/>
                      <w:vertAlign w:val="subscript"/>
                      <w:lang w:val="en-US" w:eastAsia="zh-CN"/>
                    </w:rPr>
                    <w:t>2</w:t>
                  </w:r>
                  <w:r>
                    <w:rPr>
                      <w:rFonts w:hint="eastAsia" w:cs="Times New Roman"/>
                      <w:color w:val="auto"/>
                      <w:sz w:val="21"/>
                      <w:szCs w:val="21"/>
                      <w:highlight w:val="none"/>
                      <w:u w:val="none" w:color="auto"/>
                      <w:lang w:val="en-US" w:eastAsia="zh-CN"/>
                    </w:rPr>
                    <w:t>、NOx、烟气黑度</w:t>
                  </w:r>
                </w:p>
              </w:tc>
              <w:tc>
                <w:tcPr>
                  <w:tcW w:w="3322" w:type="dxa"/>
                  <w:tcBorders>
                    <w:tl2br w:val="nil"/>
                    <w:tr2bl w:val="nil"/>
                  </w:tcBorders>
                  <w:shd w:val="clear" w:color="auto" w:fill="auto"/>
                  <w:noWrap w:val="0"/>
                  <w:vAlign w:val="center"/>
                </w:tcPr>
                <w:p w14:paraId="51E2B5FC">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sz w:val="21"/>
                      <w:szCs w:val="21"/>
                      <w:highlight w:val="none"/>
                      <w:u w:val="none" w:color="auto"/>
                      <w:lang w:val="en-US" w:eastAsia="zh-CN"/>
                    </w:rPr>
                    <w:t>布袋除尘器+30m排气筒（DA001）</w:t>
                  </w:r>
                </w:p>
              </w:tc>
            </w:tr>
            <w:tr w14:paraId="3E8EA48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82" w:type="dxa"/>
                  <w:vMerge w:val="continue"/>
                  <w:tcBorders>
                    <w:tl2br w:val="nil"/>
                    <w:tr2bl w:val="nil"/>
                  </w:tcBorders>
                  <w:noWrap w:val="0"/>
                  <w:vAlign w:val="center"/>
                </w:tcPr>
                <w:p w14:paraId="3DDE9698">
                  <w:pPr>
                    <w:keepNext w:val="0"/>
                    <w:keepLines w:val="0"/>
                    <w:pageBreakBefore w:val="0"/>
                    <w:widowControl/>
                    <w:kinsoku/>
                    <w:wordWrap/>
                    <w:overflowPunct/>
                    <w:topLinePunct w:val="0"/>
                    <w:autoSpaceDE/>
                    <w:autoSpaceDN/>
                    <w:bidi w:val="0"/>
                    <w:adjustRightInd/>
                    <w:snapToGrid/>
                    <w:jc w:val="center"/>
                    <w:textAlignment w:val="auto"/>
                    <w:rPr>
                      <w:rFonts w:hint="eastAsia" w:cs="Times New Roman"/>
                      <w:color w:val="auto"/>
                      <w:sz w:val="21"/>
                      <w:szCs w:val="21"/>
                      <w:highlight w:val="none"/>
                      <w:u w:val="none" w:color="auto"/>
                      <w:lang w:val="en-US" w:eastAsia="zh-CN"/>
                    </w:rPr>
                  </w:pPr>
                </w:p>
              </w:tc>
              <w:tc>
                <w:tcPr>
                  <w:tcW w:w="1416" w:type="dxa"/>
                  <w:tcBorders>
                    <w:tl2br w:val="nil"/>
                    <w:tr2bl w:val="nil"/>
                  </w:tcBorders>
                  <w:shd w:val="clear" w:color="auto" w:fill="auto"/>
                  <w:noWrap w:val="0"/>
                  <w:vAlign w:val="center"/>
                </w:tcPr>
                <w:p w14:paraId="2BA4938B">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sz w:val="21"/>
                      <w:szCs w:val="21"/>
                      <w:highlight w:val="none"/>
                      <w:u w:val="none" w:color="auto"/>
                      <w:lang w:val="en-US" w:eastAsia="zh-CN"/>
                    </w:rPr>
                    <w:t>2.2t生物质锅炉</w:t>
                  </w:r>
                </w:p>
              </w:tc>
              <w:tc>
                <w:tcPr>
                  <w:tcW w:w="2938" w:type="dxa"/>
                  <w:gridSpan w:val="2"/>
                  <w:tcBorders>
                    <w:tl2br w:val="nil"/>
                    <w:tr2bl w:val="nil"/>
                  </w:tcBorders>
                  <w:shd w:val="clear" w:color="auto" w:fill="auto"/>
                  <w:noWrap w:val="0"/>
                  <w:vAlign w:val="center"/>
                </w:tcPr>
                <w:p w14:paraId="069049CF">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sz w:val="21"/>
                      <w:szCs w:val="21"/>
                      <w:highlight w:val="none"/>
                      <w:u w:val="none" w:color="auto"/>
                      <w:lang w:val="en-US" w:eastAsia="zh-CN"/>
                    </w:rPr>
                    <w:t>颗粒物、SO</w:t>
                  </w:r>
                  <w:r>
                    <w:rPr>
                      <w:rFonts w:hint="eastAsia" w:cs="Times New Roman"/>
                      <w:color w:val="auto"/>
                      <w:sz w:val="21"/>
                      <w:szCs w:val="21"/>
                      <w:highlight w:val="none"/>
                      <w:u w:val="none" w:color="auto"/>
                      <w:vertAlign w:val="subscript"/>
                      <w:lang w:val="en-US" w:eastAsia="zh-CN"/>
                    </w:rPr>
                    <w:t>2</w:t>
                  </w:r>
                  <w:r>
                    <w:rPr>
                      <w:rFonts w:hint="eastAsia" w:cs="Times New Roman"/>
                      <w:color w:val="auto"/>
                      <w:sz w:val="21"/>
                      <w:szCs w:val="21"/>
                      <w:highlight w:val="none"/>
                      <w:u w:val="none" w:color="auto"/>
                      <w:lang w:val="en-US" w:eastAsia="zh-CN"/>
                    </w:rPr>
                    <w:t>、NOx、烟气黑度</w:t>
                  </w:r>
                </w:p>
              </w:tc>
              <w:tc>
                <w:tcPr>
                  <w:tcW w:w="3322" w:type="dxa"/>
                  <w:tcBorders>
                    <w:tl2br w:val="nil"/>
                    <w:tr2bl w:val="nil"/>
                  </w:tcBorders>
                  <w:shd w:val="clear" w:color="auto" w:fill="auto"/>
                  <w:noWrap w:val="0"/>
                  <w:vAlign w:val="center"/>
                </w:tcPr>
                <w:p w14:paraId="0F06E215">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sz w:val="21"/>
                      <w:szCs w:val="21"/>
                      <w:highlight w:val="none"/>
                      <w:u w:val="none" w:color="auto"/>
                      <w:lang w:val="en-US" w:eastAsia="zh-CN"/>
                    </w:rPr>
                    <w:t>布袋除尘器+30m排气筒（DA002）</w:t>
                  </w:r>
                </w:p>
              </w:tc>
            </w:tr>
            <w:tr w14:paraId="0CCDE4D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82" w:type="dxa"/>
                  <w:vMerge w:val="continue"/>
                  <w:tcBorders>
                    <w:tl2br w:val="nil"/>
                    <w:tr2bl w:val="nil"/>
                  </w:tcBorders>
                  <w:noWrap w:val="0"/>
                  <w:vAlign w:val="center"/>
                </w:tcPr>
                <w:p w14:paraId="36EDD19E">
                  <w:pPr>
                    <w:keepNext w:val="0"/>
                    <w:keepLines w:val="0"/>
                    <w:pageBreakBefore w:val="0"/>
                    <w:widowControl/>
                    <w:kinsoku/>
                    <w:wordWrap/>
                    <w:overflowPunct/>
                    <w:topLinePunct w:val="0"/>
                    <w:autoSpaceDE/>
                    <w:autoSpaceDN/>
                    <w:bidi w:val="0"/>
                    <w:adjustRightInd/>
                    <w:snapToGrid/>
                    <w:jc w:val="center"/>
                    <w:textAlignment w:val="auto"/>
                    <w:rPr>
                      <w:rFonts w:hint="eastAsia" w:cs="Times New Roman"/>
                      <w:color w:val="auto"/>
                      <w:sz w:val="21"/>
                      <w:szCs w:val="21"/>
                      <w:highlight w:val="none"/>
                      <w:u w:val="none" w:color="auto"/>
                      <w:lang w:val="en-US" w:eastAsia="zh-CN"/>
                    </w:rPr>
                  </w:pPr>
                </w:p>
              </w:tc>
              <w:tc>
                <w:tcPr>
                  <w:tcW w:w="1416" w:type="dxa"/>
                  <w:tcBorders>
                    <w:tl2br w:val="nil"/>
                    <w:tr2bl w:val="nil"/>
                  </w:tcBorders>
                  <w:shd w:val="clear" w:color="auto" w:fill="auto"/>
                  <w:noWrap w:val="0"/>
                  <w:vAlign w:val="center"/>
                </w:tcPr>
                <w:p w14:paraId="0A74AB5B">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sz w:val="21"/>
                      <w:szCs w:val="21"/>
                      <w:highlight w:val="none"/>
                      <w:u w:val="none" w:color="auto"/>
                      <w:lang w:val="en-US" w:eastAsia="zh-CN"/>
                    </w:rPr>
                    <w:t>高温油炸</w:t>
                  </w:r>
                </w:p>
              </w:tc>
              <w:tc>
                <w:tcPr>
                  <w:tcW w:w="2938" w:type="dxa"/>
                  <w:gridSpan w:val="2"/>
                  <w:tcBorders>
                    <w:tl2br w:val="nil"/>
                    <w:tr2bl w:val="nil"/>
                  </w:tcBorders>
                  <w:shd w:val="clear" w:color="auto" w:fill="auto"/>
                  <w:noWrap w:val="0"/>
                  <w:vAlign w:val="center"/>
                </w:tcPr>
                <w:p w14:paraId="2B927603">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sz w:val="21"/>
                      <w:szCs w:val="21"/>
                      <w:highlight w:val="none"/>
                      <w:u w:val="none" w:color="auto"/>
                      <w:lang w:val="en-US" w:eastAsia="zh-CN"/>
                    </w:rPr>
                    <w:t>油烟</w:t>
                  </w:r>
                </w:p>
              </w:tc>
              <w:tc>
                <w:tcPr>
                  <w:tcW w:w="3322" w:type="dxa"/>
                  <w:tcBorders>
                    <w:tl2br w:val="nil"/>
                    <w:tr2bl w:val="nil"/>
                  </w:tcBorders>
                  <w:shd w:val="clear" w:color="auto" w:fill="auto"/>
                  <w:noWrap w:val="0"/>
                  <w:vAlign w:val="center"/>
                </w:tcPr>
                <w:p w14:paraId="131006FF">
                  <w:pPr>
                    <w:keepNext w:val="0"/>
                    <w:keepLines w:val="0"/>
                    <w:pageBreakBefore w:val="0"/>
                    <w:kinsoku/>
                    <w:wordWrap/>
                    <w:overflowPunct/>
                    <w:topLinePunct w:val="0"/>
                    <w:autoSpaceDE/>
                    <w:autoSpaceDN/>
                    <w:bidi w:val="0"/>
                    <w:adjustRightInd/>
                    <w:snapToGrid/>
                    <w:jc w:val="center"/>
                    <w:textAlignment w:val="auto"/>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sz w:val="21"/>
                      <w:szCs w:val="21"/>
                      <w:highlight w:val="none"/>
                      <w:u w:val="none" w:color="auto"/>
                      <w:lang w:val="en-US" w:eastAsia="zh-CN"/>
                    </w:rPr>
                    <w:t>集气罩+油烟净化装置+15m高排气筒（DA003）</w:t>
                  </w:r>
                </w:p>
              </w:tc>
            </w:tr>
            <w:tr w14:paraId="3CB0B8C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82" w:type="dxa"/>
                  <w:vMerge w:val="continue"/>
                  <w:tcBorders>
                    <w:tl2br w:val="nil"/>
                    <w:tr2bl w:val="nil"/>
                  </w:tcBorders>
                  <w:noWrap w:val="0"/>
                  <w:vAlign w:val="center"/>
                </w:tcPr>
                <w:p w14:paraId="526EE619">
                  <w:pPr>
                    <w:keepNext w:val="0"/>
                    <w:keepLines w:val="0"/>
                    <w:pageBreakBefore w:val="0"/>
                    <w:widowControl/>
                    <w:kinsoku/>
                    <w:wordWrap/>
                    <w:overflowPunct/>
                    <w:topLinePunct w:val="0"/>
                    <w:autoSpaceDE/>
                    <w:autoSpaceDN/>
                    <w:bidi w:val="0"/>
                    <w:adjustRightInd/>
                    <w:snapToGrid/>
                    <w:jc w:val="center"/>
                    <w:textAlignment w:val="auto"/>
                    <w:rPr>
                      <w:rFonts w:hint="eastAsia" w:cs="Times New Roman"/>
                      <w:color w:val="auto"/>
                      <w:sz w:val="21"/>
                      <w:szCs w:val="21"/>
                      <w:highlight w:val="none"/>
                      <w:u w:val="none" w:color="auto"/>
                      <w:lang w:val="en-US" w:eastAsia="zh-CN"/>
                    </w:rPr>
                  </w:pPr>
                </w:p>
              </w:tc>
              <w:tc>
                <w:tcPr>
                  <w:tcW w:w="1416" w:type="dxa"/>
                  <w:tcBorders>
                    <w:tl2br w:val="nil"/>
                    <w:tr2bl w:val="nil"/>
                  </w:tcBorders>
                  <w:shd w:val="clear" w:color="auto" w:fill="auto"/>
                  <w:noWrap w:val="0"/>
                  <w:vAlign w:val="center"/>
                </w:tcPr>
                <w:p w14:paraId="08DA8BA1">
                  <w:pPr>
                    <w:keepNext w:val="0"/>
                    <w:keepLines w:val="0"/>
                    <w:pageBreakBefore w:val="0"/>
                    <w:kinsoku/>
                    <w:wordWrap/>
                    <w:overflowPunct/>
                    <w:topLinePunct w:val="0"/>
                    <w:autoSpaceDE/>
                    <w:autoSpaceDN/>
                    <w:bidi w:val="0"/>
                    <w:adjustRightInd/>
                    <w:snapToGrid/>
                    <w:jc w:val="center"/>
                    <w:textAlignment w:val="auto"/>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车间异味</w:t>
                  </w:r>
                </w:p>
              </w:tc>
              <w:tc>
                <w:tcPr>
                  <w:tcW w:w="2938" w:type="dxa"/>
                  <w:gridSpan w:val="2"/>
                  <w:tcBorders>
                    <w:tl2br w:val="nil"/>
                    <w:tr2bl w:val="nil"/>
                  </w:tcBorders>
                  <w:shd w:val="clear" w:color="auto" w:fill="auto"/>
                  <w:noWrap w:val="0"/>
                  <w:vAlign w:val="center"/>
                </w:tcPr>
                <w:p w14:paraId="369D8BF5">
                  <w:pPr>
                    <w:keepNext w:val="0"/>
                    <w:keepLines w:val="0"/>
                    <w:pageBreakBefore w:val="0"/>
                    <w:kinsoku/>
                    <w:wordWrap/>
                    <w:overflowPunct/>
                    <w:topLinePunct w:val="0"/>
                    <w:autoSpaceDE/>
                    <w:autoSpaceDN/>
                    <w:bidi w:val="0"/>
                    <w:adjustRightInd/>
                    <w:snapToGrid/>
                    <w:jc w:val="center"/>
                    <w:textAlignment w:val="auto"/>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臭气浓度</w:t>
                  </w:r>
                </w:p>
              </w:tc>
              <w:tc>
                <w:tcPr>
                  <w:tcW w:w="3322" w:type="dxa"/>
                  <w:tcBorders>
                    <w:tl2br w:val="nil"/>
                    <w:tr2bl w:val="nil"/>
                  </w:tcBorders>
                  <w:shd w:val="clear" w:color="auto" w:fill="auto"/>
                  <w:noWrap w:val="0"/>
                  <w:vAlign w:val="center"/>
                </w:tcPr>
                <w:p w14:paraId="7432A7A4">
                  <w:pPr>
                    <w:pStyle w:val="103"/>
                    <w:rPr>
                      <w:rFonts w:hint="eastAsia" w:ascii="Times New Roman" w:hAnsi="Times New Roman" w:eastAsia="宋体" w:cs="Times New Roman"/>
                      <w:color w:val="auto"/>
                      <w:kern w:val="0"/>
                      <w:sz w:val="21"/>
                      <w:szCs w:val="21"/>
                      <w:highlight w:val="none"/>
                      <w:u w:val="none" w:color="auto"/>
                      <w:lang w:val="en-US" w:eastAsia="zh-CN" w:bidi="ar-SA"/>
                    </w:rPr>
                  </w:pPr>
                  <w:r>
                    <w:rPr>
                      <w:rFonts w:hint="eastAsia" w:cs="Times New Roman"/>
                      <w:color w:val="auto"/>
                      <w:sz w:val="21"/>
                      <w:szCs w:val="21"/>
                      <w:highlight w:val="none"/>
                      <w:u w:val="none" w:color="auto"/>
                      <w:lang w:val="en-US" w:eastAsia="zh-CN"/>
                    </w:rPr>
                    <w:t>加强车间通风</w:t>
                  </w:r>
                </w:p>
              </w:tc>
            </w:tr>
            <w:tr w14:paraId="09BADC1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82" w:type="dxa"/>
                  <w:vMerge w:val="continue"/>
                  <w:tcBorders>
                    <w:tl2br w:val="nil"/>
                    <w:tr2bl w:val="nil"/>
                  </w:tcBorders>
                  <w:noWrap w:val="0"/>
                  <w:vAlign w:val="center"/>
                </w:tcPr>
                <w:p w14:paraId="55241196">
                  <w:pPr>
                    <w:keepNext w:val="0"/>
                    <w:keepLines w:val="0"/>
                    <w:pageBreakBefore w:val="0"/>
                    <w:widowControl/>
                    <w:kinsoku/>
                    <w:wordWrap/>
                    <w:overflowPunct/>
                    <w:topLinePunct w:val="0"/>
                    <w:autoSpaceDE/>
                    <w:autoSpaceDN/>
                    <w:bidi w:val="0"/>
                    <w:adjustRightInd/>
                    <w:snapToGrid/>
                    <w:jc w:val="center"/>
                    <w:textAlignment w:val="auto"/>
                    <w:rPr>
                      <w:rFonts w:hint="eastAsia" w:cs="Times New Roman"/>
                      <w:color w:val="auto"/>
                      <w:sz w:val="21"/>
                      <w:szCs w:val="21"/>
                      <w:highlight w:val="none"/>
                      <w:u w:val="none" w:color="auto"/>
                      <w:lang w:val="en-US" w:eastAsia="zh-CN"/>
                    </w:rPr>
                  </w:pPr>
                </w:p>
              </w:tc>
              <w:tc>
                <w:tcPr>
                  <w:tcW w:w="1416" w:type="dxa"/>
                  <w:tcBorders>
                    <w:tl2br w:val="nil"/>
                    <w:tr2bl w:val="nil"/>
                  </w:tcBorders>
                  <w:shd w:val="clear" w:color="auto" w:fill="auto"/>
                  <w:noWrap w:val="0"/>
                  <w:vAlign w:val="center"/>
                </w:tcPr>
                <w:p w14:paraId="4CA6C9A0">
                  <w:pPr>
                    <w:keepNext w:val="0"/>
                    <w:keepLines w:val="0"/>
                    <w:pageBreakBefore w:val="0"/>
                    <w:kinsoku/>
                    <w:wordWrap/>
                    <w:overflowPunct/>
                    <w:topLinePunct w:val="0"/>
                    <w:autoSpaceDE/>
                    <w:autoSpaceDN/>
                    <w:bidi w:val="0"/>
                    <w:adjustRightInd/>
                    <w:snapToGrid/>
                    <w:jc w:val="center"/>
                    <w:textAlignment w:val="auto"/>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粉料投料</w:t>
                  </w:r>
                </w:p>
              </w:tc>
              <w:tc>
                <w:tcPr>
                  <w:tcW w:w="2938" w:type="dxa"/>
                  <w:gridSpan w:val="2"/>
                  <w:tcBorders>
                    <w:tl2br w:val="nil"/>
                    <w:tr2bl w:val="nil"/>
                  </w:tcBorders>
                  <w:shd w:val="clear" w:color="auto" w:fill="auto"/>
                  <w:noWrap w:val="0"/>
                  <w:vAlign w:val="center"/>
                </w:tcPr>
                <w:p w14:paraId="6AD8142A">
                  <w:pPr>
                    <w:keepNext w:val="0"/>
                    <w:keepLines w:val="0"/>
                    <w:pageBreakBefore w:val="0"/>
                    <w:kinsoku/>
                    <w:wordWrap/>
                    <w:overflowPunct/>
                    <w:topLinePunct w:val="0"/>
                    <w:autoSpaceDE/>
                    <w:autoSpaceDN/>
                    <w:bidi w:val="0"/>
                    <w:adjustRightInd/>
                    <w:snapToGrid/>
                    <w:jc w:val="center"/>
                    <w:textAlignment w:val="auto"/>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颗粒物</w:t>
                  </w:r>
                </w:p>
              </w:tc>
              <w:tc>
                <w:tcPr>
                  <w:tcW w:w="3322" w:type="dxa"/>
                  <w:tcBorders>
                    <w:tl2br w:val="nil"/>
                    <w:tr2bl w:val="nil"/>
                  </w:tcBorders>
                  <w:shd w:val="clear" w:color="auto" w:fill="auto"/>
                  <w:noWrap w:val="0"/>
                  <w:vAlign w:val="center"/>
                </w:tcPr>
                <w:p w14:paraId="695665C4">
                  <w:pPr>
                    <w:pStyle w:val="103"/>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降低投料高度</w:t>
                  </w:r>
                </w:p>
              </w:tc>
            </w:tr>
            <w:tr w14:paraId="7008E4E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82" w:type="dxa"/>
                  <w:vMerge w:val="continue"/>
                  <w:tcBorders>
                    <w:tl2br w:val="nil"/>
                    <w:tr2bl w:val="nil"/>
                  </w:tcBorders>
                  <w:noWrap w:val="0"/>
                  <w:vAlign w:val="center"/>
                </w:tcPr>
                <w:p w14:paraId="7B7930E9">
                  <w:pPr>
                    <w:keepNext w:val="0"/>
                    <w:keepLines w:val="0"/>
                    <w:pageBreakBefore w:val="0"/>
                    <w:widowControl/>
                    <w:kinsoku/>
                    <w:wordWrap/>
                    <w:overflowPunct/>
                    <w:topLinePunct w:val="0"/>
                    <w:autoSpaceDE/>
                    <w:autoSpaceDN/>
                    <w:bidi w:val="0"/>
                    <w:adjustRightInd/>
                    <w:snapToGrid/>
                    <w:jc w:val="center"/>
                    <w:textAlignment w:val="auto"/>
                    <w:rPr>
                      <w:rFonts w:hint="eastAsia" w:cs="Times New Roman"/>
                      <w:color w:val="auto"/>
                      <w:sz w:val="21"/>
                      <w:szCs w:val="21"/>
                      <w:highlight w:val="none"/>
                      <w:u w:val="none" w:color="auto"/>
                      <w:lang w:val="en-US" w:eastAsia="zh-CN"/>
                    </w:rPr>
                  </w:pPr>
                </w:p>
              </w:tc>
              <w:tc>
                <w:tcPr>
                  <w:tcW w:w="1416" w:type="dxa"/>
                  <w:tcBorders>
                    <w:tl2br w:val="nil"/>
                    <w:tr2bl w:val="nil"/>
                  </w:tcBorders>
                  <w:shd w:val="clear" w:color="auto" w:fill="auto"/>
                  <w:noWrap w:val="0"/>
                  <w:vAlign w:val="center"/>
                </w:tcPr>
                <w:p w14:paraId="2ABAF4BA">
                  <w:pPr>
                    <w:keepNext w:val="0"/>
                    <w:keepLines w:val="0"/>
                    <w:pageBreakBefore w:val="0"/>
                    <w:kinsoku/>
                    <w:wordWrap/>
                    <w:overflowPunct/>
                    <w:topLinePunct w:val="0"/>
                    <w:autoSpaceDE/>
                    <w:autoSpaceDN/>
                    <w:bidi w:val="0"/>
                    <w:adjustRightInd/>
                    <w:snapToGrid/>
                    <w:jc w:val="center"/>
                    <w:textAlignment w:val="auto"/>
                    <w:rPr>
                      <w:rFonts w:hint="eastAsia"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豆渣存放</w:t>
                  </w:r>
                </w:p>
              </w:tc>
              <w:tc>
                <w:tcPr>
                  <w:tcW w:w="2938" w:type="dxa"/>
                  <w:gridSpan w:val="2"/>
                  <w:tcBorders>
                    <w:tl2br w:val="nil"/>
                    <w:tr2bl w:val="nil"/>
                  </w:tcBorders>
                  <w:shd w:val="clear" w:color="auto" w:fill="auto"/>
                  <w:noWrap w:val="0"/>
                  <w:vAlign w:val="center"/>
                </w:tcPr>
                <w:p w14:paraId="560D6CC2">
                  <w:pPr>
                    <w:keepNext w:val="0"/>
                    <w:keepLines w:val="0"/>
                    <w:pageBreakBefore w:val="0"/>
                    <w:kinsoku/>
                    <w:wordWrap/>
                    <w:overflowPunct/>
                    <w:topLinePunct w:val="0"/>
                    <w:autoSpaceDE/>
                    <w:autoSpaceDN/>
                    <w:bidi w:val="0"/>
                    <w:adjustRightInd/>
                    <w:snapToGrid/>
                    <w:jc w:val="center"/>
                    <w:textAlignment w:val="auto"/>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臭气浓度</w:t>
                  </w:r>
                </w:p>
              </w:tc>
              <w:tc>
                <w:tcPr>
                  <w:tcW w:w="3322" w:type="dxa"/>
                  <w:tcBorders>
                    <w:tl2br w:val="nil"/>
                    <w:tr2bl w:val="nil"/>
                  </w:tcBorders>
                  <w:shd w:val="clear" w:color="auto" w:fill="auto"/>
                  <w:noWrap w:val="0"/>
                  <w:vAlign w:val="center"/>
                </w:tcPr>
                <w:p w14:paraId="1611A4BA">
                  <w:pPr>
                    <w:pStyle w:val="103"/>
                    <w:rPr>
                      <w:rFonts w:hint="eastAsia" w:ascii="Times New Roman" w:hAnsi="Times New Roman" w:eastAsia="宋体" w:cs="Times New Roman"/>
                      <w:color w:val="auto"/>
                      <w:kern w:val="0"/>
                      <w:sz w:val="21"/>
                      <w:szCs w:val="21"/>
                      <w:highlight w:val="none"/>
                      <w:u w:val="none" w:color="auto"/>
                      <w:lang w:val="en-US" w:eastAsia="zh-CN" w:bidi="ar-SA"/>
                    </w:rPr>
                  </w:pPr>
                  <w:r>
                    <w:rPr>
                      <w:rFonts w:hint="eastAsia" w:cs="Times New Roman"/>
                      <w:color w:val="auto"/>
                      <w:sz w:val="21"/>
                      <w:szCs w:val="21"/>
                      <w:highlight w:val="none"/>
                      <w:u w:val="none" w:color="auto"/>
                      <w:lang w:val="en-US" w:eastAsia="zh-CN"/>
                    </w:rPr>
                    <w:t>密闭暂存，日产日清</w:t>
                  </w:r>
                </w:p>
              </w:tc>
            </w:tr>
            <w:tr w14:paraId="4B0276A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82" w:type="dxa"/>
                  <w:vMerge w:val="continue"/>
                  <w:tcBorders>
                    <w:tl2br w:val="nil"/>
                    <w:tr2bl w:val="nil"/>
                  </w:tcBorders>
                  <w:noWrap w:val="0"/>
                  <w:vAlign w:val="center"/>
                </w:tcPr>
                <w:p w14:paraId="75351403">
                  <w:pPr>
                    <w:keepNext w:val="0"/>
                    <w:keepLines w:val="0"/>
                    <w:pageBreakBefore w:val="0"/>
                    <w:widowControl/>
                    <w:kinsoku/>
                    <w:wordWrap/>
                    <w:overflowPunct/>
                    <w:topLinePunct w:val="0"/>
                    <w:autoSpaceDE/>
                    <w:autoSpaceDN/>
                    <w:bidi w:val="0"/>
                    <w:adjustRightInd/>
                    <w:snapToGrid/>
                    <w:jc w:val="center"/>
                    <w:textAlignment w:val="auto"/>
                    <w:rPr>
                      <w:rFonts w:hint="eastAsia" w:cs="Times New Roman"/>
                      <w:color w:val="auto"/>
                      <w:sz w:val="21"/>
                      <w:szCs w:val="21"/>
                      <w:highlight w:val="none"/>
                      <w:u w:val="none" w:color="auto"/>
                      <w:lang w:val="en-US" w:eastAsia="zh-CN"/>
                    </w:rPr>
                  </w:pPr>
                </w:p>
              </w:tc>
              <w:tc>
                <w:tcPr>
                  <w:tcW w:w="1416" w:type="dxa"/>
                  <w:tcBorders>
                    <w:tl2br w:val="nil"/>
                    <w:tr2bl w:val="nil"/>
                  </w:tcBorders>
                  <w:shd w:val="clear" w:color="auto" w:fill="auto"/>
                  <w:noWrap w:val="0"/>
                  <w:vAlign w:val="center"/>
                </w:tcPr>
                <w:p w14:paraId="4D8A587F">
                  <w:pPr>
                    <w:keepNext w:val="0"/>
                    <w:keepLines w:val="0"/>
                    <w:pageBreakBefore w:val="0"/>
                    <w:kinsoku/>
                    <w:wordWrap/>
                    <w:overflowPunct/>
                    <w:topLinePunct w:val="0"/>
                    <w:autoSpaceDE/>
                    <w:autoSpaceDN/>
                    <w:bidi w:val="0"/>
                    <w:adjustRightInd/>
                    <w:snapToGrid/>
                    <w:jc w:val="center"/>
                    <w:textAlignment w:val="auto"/>
                    <w:rPr>
                      <w:rFonts w:hint="eastAsia"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污水处理站</w:t>
                  </w:r>
                </w:p>
              </w:tc>
              <w:tc>
                <w:tcPr>
                  <w:tcW w:w="2938" w:type="dxa"/>
                  <w:gridSpan w:val="2"/>
                  <w:tcBorders>
                    <w:tl2br w:val="nil"/>
                    <w:tr2bl w:val="nil"/>
                  </w:tcBorders>
                  <w:shd w:val="clear" w:color="auto" w:fill="auto"/>
                  <w:noWrap w:val="0"/>
                  <w:vAlign w:val="center"/>
                </w:tcPr>
                <w:p w14:paraId="0F7A0999">
                  <w:pPr>
                    <w:keepNext w:val="0"/>
                    <w:keepLines w:val="0"/>
                    <w:pageBreakBefore w:val="0"/>
                    <w:kinsoku/>
                    <w:wordWrap/>
                    <w:overflowPunct/>
                    <w:topLinePunct w:val="0"/>
                    <w:autoSpaceDE/>
                    <w:autoSpaceDN/>
                    <w:bidi w:val="0"/>
                    <w:adjustRightInd/>
                    <w:snapToGrid/>
                    <w:jc w:val="center"/>
                    <w:textAlignment w:val="auto"/>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硫化氢、氨、臭气浓度</w:t>
                  </w:r>
                </w:p>
              </w:tc>
              <w:tc>
                <w:tcPr>
                  <w:tcW w:w="3322" w:type="dxa"/>
                  <w:tcBorders>
                    <w:tl2br w:val="nil"/>
                    <w:tr2bl w:val="nil"/>
                  </w:tcBorders>
                  <w:shd w:val="clear" w:color="auto" w:fill="auto"/>
                  <w:noWrap w:val="0"/>
                  <w:vAlign w:val="center"/>
                </w:tcPr>
                <w:p w14:paraId="00AE9C71">
                  <w:pPr>
                    <w:pStyle w:val="103"/>
                    <w:rPr>
                      <w:rFonts w:hint="eastAsia" w:ascii="Times New Roman" w:hAnsi="Times New Roman" w:eastAsia="宋体" w:cs="Times New Roman"/>
                      <w:color w:val="auto"/>
                      <w:kern w:val="0"/>
                      <w:sz w:val="21"/>
                      <w:szCs w:val="21"/>
                      <w:highlight w:val="none"/>
                      <w:u w:val="none" w:color="auto"/>
                      <w:lang w:val="en-US" w:eastAsia="zh-CN" w:bidi="ar-SA"/>
                    </w:rPr>
                  </w:pPr>
                  <w:r>
                    <w:rPr>
                      <w:rFonts w:hint="eastAsia" w:cs="Times New Roman"/>
                      <w:color w:val="auto"/>
                      <w:sz w:val="21"/>
                      <w:szCs w:val="21"/>
                      <w:highlight w:val="none"/>
                      <w:u w:val="none" w:color="auto"/>
                      <w:lang w:val="en-US" w:eastAsia="zh-CN"/>
                    </w:rPr>
                    <w:t>加盖密闭，加强绿化</w:t>
                  </w:r>
                </w:p>
              </w:tc>
            </w:tr>
            <w:tr w14:paraId="39874FA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82" w:type="dxa"/>
                  <w:vMerge w:val="restart"/>
                  <w:tcBorders>
                    <w:tl2br w:val="nil"/>
                    <w:tr2bl w:val="nil"/>
                  </w:tcBorders>
                  <w:noWrap w:val="0"/>
                  <w:vAlign w:val="center"/>
                </w:tcPr>
                <w:p w14:paraId="6C6D195C">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废水</w:t>
                  </w:r>
                </w:p>
              </w:tc>
              <w:tc>
                <w:tcPr>
                  <w:tcW w:w="1416" w:type="dxa"/>
                  <w:tcBorders>
                    <w:tl2br w:val="nil"/>
                    <w:tr2bl w:val="nil"/>
                  </w:tcBorders>
                  <w:noWrap w:val="0"/>
                  <w:vAlign w:val="center"/>
                </w:tcPr>
                <w:p w14:paraId="320002C9">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val="en-US" w:eastAsia="zh-CN"/>
                    </w:rPr>
                    <w:t>生活污水</w:t>
                  </w:r>
                </w:p>
              </w:tc>
              <w:tc>
                <w:tcPr>
                  <w:tcW w:w="2938" w:type="dxa"/>
                  <w:gridSpan w:val="2"/>
                  <w:tcBorders>
                    <w:tl2br w:val="nil"/>
                    <w:tr2bl w:val="nil"/>
                  </w:tcBorders>
                  <w:noWrap w:val="0"/>
                  <w:vAlign w:val="center"/>
                </w:tcPr>
                <w:p w14:paraId="23ED28E4">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val="en-US" w:eastAsia="zh-CN"/>
                    </w:rPr>
                    <w:t>pH、COD</w:t>
                  </w:r>
                  <w:r>
                    <w:rPr>
                      <w:rFonts w:hint="default" w:ascii="Times New Roman" w:hAnsi="Times New Roman" w:eastAsia="宋体" w:cs="Times New Roman"/>
                      <w:color w:val="auto"/>
                      <w:sz w:val="21"/>
                      <w:szCs w:val="21"/>
                      <w:highlight w:val="none"/>
                      <w:u w:val="none" w:color="auto"/>
                      <w:vertAlign w:val="subscript"/>
                      <w:lang w:val="en-US" w:eastAsia="zh-CN"/>
                    </w:rPr>
                    <w:t>Cr</w:t>
                  </w:r>
                  <w:r>
                    <w:rPr>
                      <w:rFonts w:hint="default" w:ascii="Times New Roman" w:hAnsi="Times New Roman" w:eastAsia="宋体" w:cs="Times New Roman"/>
                      <w:color w:val="auto"/>
                      <w:sz w:val="21"/>
                      <w:szCs w:val="21"/>
                      <w:highlight w:val="none"/>
                      <w:u w:val="none" w:color="auto"/>
                      <w:lang w:val="en-US" w:eastAsia="zh-CN"/>
                    </w:rPr>
                    <w:t>、BOD</w:t>
                  </w:r>
                  <w:r>
                    <w:rPr>
                      <w:rFonts w:hint="default" w:ascii="Times New Roman" w:hAnsi="Times New Roman" w:eastAsia="宋体" w:cs="Times New Roman"/>
                      <w:color w:val="auto"/>
                      <w:sz w:val="21"/>
                      <w:szCs w:val="21"/>
                      <w:highlight w:val="none"/>
                      <w:u w:val="none" w:color="auto"/>
                      <w:vertAlign w:val="subscript"/>
                      <w:lang w:val="en-US" w:eastAsia="zh-CN"/>
                    </w:rPr>
                    <w:t>5</w:t>
                  </w:r>
                  <w:r>
                    <w:rPr>
                      <w:rFonts w:hint="default" w:ascii="Times New Roman" w:hAnsi="Times New Roman" w:eastAsia="宋体" w:cs="Times New Roman"/>
                      <w:color w:val="auto"/>
                      <w:sz w:val="21"/>
                      <w:szCs w:val="21"/>
                      <w:highlight w:val="none"/>
                      <w:u w:val="none" w:color="auto"/>
                      <w:lang w:val="en-US" w:eastAsia="zh-CN"/>
                    </w:rPr>
                    <w:t>、NH</w:t>
                  </w:r>
                  <w:r>
                    <w:rPr>
                      <w:rFonts w:hint="default" w:ascii="Times New Roman" w:hAnsi="Times New Roman" w:eastAsia="宋体" w:cs="Times New Roman"/>
                      <w:color w:val="auto"/>
                      <w:sz w:val="21"/>
                      <w:szCs w:val="21"/>
                      <w:highlight w:val="none"/>
                      <w:u w:val="none" w:color="auto"/>
                      <w:vertAlign w:val="subscript"/>
                      <w:lang w:val="en-US" w:eastAsia="zh-CN"/>
                    </w:rPr>
                    <w:t>3</w:t>
                  </w:r>
                  <w:r>
                    <w:rPr>
                      <w:rFonts w:hint="default" w:ascii="Times New Roman" w:hAnsi="Times New Roman" w:eastAsia="宋体" w:cs="Times New Roman"/>
                      <w:color w:val="auto"/>
                      <w:sz w:val="21"/>
                      <w:szCs w:val="21"/>
                      <w:highlight w:val="none"/>
                      <w:u w:val="none" w:color="auto"/>
                      <w:lang w:val="en-US" w:eastAsia="zh-CN"/>
                    </w:rPr>
                    <w:t>-N、SS、</w:t>
                  </w:r>
                  <w:r>
                    <w:rPr>
                      <w:rFonts w:hint="eastAsia" w:cs="Times New Roman"/>
                      <w:color w:val="auto"/>
                      <w:sz w:val="21"/>
                      <w:szCs w:val="21"/>
                      <w:highlight w:val="none"/>
                      <w:u w:val="none" w:color="auto"/>
                      <w:lang w:val="en-US" w:eastAsia="zh-CN"/>
                    </w:rPr>
                    <w:t>动植物油</w:t>
                  </w:r>
                  <w:r>
                    <w:rPr>
                      <w:rFonts w:hint="default" w:ascii="Times New Roman" w:hAnsi="Times New Roman" w:eastAsia="宋体" w:cs="Times New Roman"/>
                      <w:color w:val="auto"/>
                      <w:sz w:val="21"/>
                      <w:szCs w:val="21"/>
                      <w:highlight w:val="none"/>
                      <w:u w:val="none" w:color="auto"/>
                      <w:lang w:val="en-US" w:eastAsia="zh-CN"/>
                    </w:rPr>
                    <w:t>、总磷、总氮</w:t>
                  </w:r>
                </w:p>
              </w:tc>
              <w:tc>
                <w:tcPr>
                  <w:tcW w:w="3322" w:type="dxa"/>
                  <w:tcBorders>
                    <w:tl2br w:val="nil"/>
                    <w:tr2bl w:val="nil"/>
                  </w:tcBorders>
                  <w:noWrap w:val="0"/>
                  <w:vAlign w:val="center"/>
                </w:tcPr>
                <w:p w14:paraId="3B6C7A85">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kern w:val="0"/>
                      <w:sz w:val="21"/>
                      <w:szCs w:val="21"/>
                      <w:highlight w:val="none"/>
                      <w:u w:val="none" w:color="auto"/>
                      <w:lang w:val="en-US" w:eastAsia="zh-CN"/>
                    </w:rPr>
                    <w:t>经化粪池处理达标后</w:t>
                  </w:r>
                  <w:r>
                    <w:rPr>
                      <w:rFonts w:hint="eastAsia" w:cs="Times New Roman"/>
                      <w:color w:val="auto"/>
                      <w:sz w:val="21"/>
                      <w:szCs w:val="21"/>
                      <w:highlight w:val="none"/>
                      <w:u w:val="none" w:color="auto"/>
                      <w:lang w:val="en-US" w:eastAsia="zh-CN"/>
                    </w:rPr>
                    <w:t>经槽车运往汨罗市大荆镇古仑片区污水处理站处理</w:t>
                  </w:r>
                </w:p>
              </w:tc>
            </w:tr>
            <w:tr w14:paraId="4BA3A80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82" w:type="dxa"/>
                  <w:vMerge w:val="continue"/>
                  <w:tcBorders>
                    <w:tl2br w:val="nil"/>
                    <w:tr2bl w:val="nil"/>
                  </w:tcBorders>
                  <w:noWrap w:val="0"/>
                  <w:vAlign w:val="center"/>
                </w:tcPr>
                <w:p w14:paraId="430642F2">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u w:val="none" w:color="auto"/>
                    </w:rPr>
                  </w:pPr>
                </w:p>
              </w:tc>
              <w:tc>
                <w:tcPr>
                  <w:tcW w:w="1416" w:type="dxa"/>
                  <w:tcBorders>
                    <w:tl2br w:val="nil"/>
                    <w:tr2bl w:val="nil"/>
                  </w:tcBorders>
                  <w:noWrap w:val="0"/>
                  <w:vAlign w:val="center"/>
                </w:tcPr>
                <w:p w14:paraId="0258F94D">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生产废水</w:t>
                  </w:r>
                </w:p>
              </w:tc>
              <w:tc>
                <w:tcPr>
                  <w:tcW w:w="2938" w:type="dxa"/>
                  <w:gridSpan w:val="2"/>
                  <w:tcBorders>
                    <w:tl2br w:val="nil"/>
                    <w:tr2bl w:val="nil"/>
                  </w:tcBorders>
                  <w:noWrap w:val="0"/>
                  <w:vAlign w:val="center"/>
                </w:tcPr>
                <w:p w14:paraId="16DFF993">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pH、COD</w:t>
                  </w:r>
                  <w:r>
                    <w:rPr>
                      <w:rFonts w:hint="default" w:ascii="Times New Roman" w:hAnsi="Times New Roman" w:eastAsia="宋体" w:cs="Times New Roman"/>
                      <w:color w:val="auto"/>
                      <w:sz w:val="21"/>
                      <w:szCs w:val="21"/>
                      <w:highlight w:val="none"/>
                      <w:u w:val="none" w:color="auto"/>
                      <w:vertAlign w:val="subscript"/>
                      <w:lang w:val="en-US" w:eastAsia="zh-CN"/>
                    </w:rPr>
                    <w:t>Cr</w:t>
                  </w:r>
                  <w:r>
                    <w:rPr>
                      <w:rFonts w:hint="default" w:ascii="Times New Roman" w:hAnsi="Times New Roman" w:eastAsia="宋体" w:cs="Times New Roman"/>
                      <w:color w:val="auto"/>
                      <w:sz w:val="21"/>
                      <w:szCs w:val="21"/>
                      <w:highlight w:val="none"/>
                      <w:u w:val="none" w:color="auto"/>
                      <w:lang w:val="en-US" w:eastAsia="zh-CN"/>
                    </w:rPr>
                    <w:t>、BOD</w:t>
                  </w:r>
                  <w:r>
                    <w:rPr>
                      <w:rFonts w:hint="default" w:ascii="Times New Roman" w:hAnsi="Times New Roman" w:eastAsia="宋体" w:cs="Times New Roman"/>
                      <w:color w:val="auto"/>
                      <w:sz w:val="21"/>
                      <w:szCs w:val="21"/>
                      <w:highlight w:val="none"/>
                      <w:u w:val="none" w:color="auto"/>
                      <w:vertAlign w:val="subscript"/>
                      <w:lang w:val="en-US" w:eastAsia="zh-CN"/>
                    </w:rPr>
                    <w:t>5</w:t>
                  </w:r>
                  <w:r>
                    <w:rPr>
                      <w:rFonts w:hint="default" w:ascii="Times New Roman" w:hAnsi="Times New Roman" w:eastAsia="宋体" w:cs="Times New Roman"/>
                      <w:color w:val="auto"/>
                      <w:sz w:val="21"/>
                      <w:szCs w:val="21"/>
                      <w:highlight w:val="none"/>
                      <w:u w:val="none" w:color="auto"/>
                      <w:lang w:val="en-US" w:eastAsia="zh-CN"/>
                    </w:rPr>
                    <w:t>、NH</w:t>
                  </w:r>
                  <w:r>
                    <w:rPr>
                      <w:rFonts w:hint="default" w:ascii="Times New Roman" w:hAnsi="Times New Roman" w:eastAsia="宋体" w:cs="Times New Roman"/>
                      <w:color w:val="auto"/>
                      <w:sz w:val="21"/>
                      <w:szCs w:val="21"/>
                      <w:highlight w:val="none"/>
                      <w:u w:val="none" w:color="auto"/>
                      <w:vertAlign w:val="subscript"/>
                      <w:lang w:val="en-US" w:eastAsia="zh-CN"/>
                    </w:rPr>
                    <w:t>3</w:t>
                  </w:r>
                  <w:r>
                    <w:rPr>
                      <w:rFonts w:hint="default" w:ascii="Times New Roman" w:hAnsi="Times New Roman" w:eastAsia="宋体" w:cs="Times New Roman"/>
                      <w:color w:val="auto"/>
                      <w:sz w:val="21"/>
                      <w:szCs w:val="21"/>
                      <w:highlight w:val="none"/>
                      <w:u w:val="none" w:color="auto"/>
                      <w:lang w:val="en-US" w:eastAsia="zh-CN"/>
                    </w:rPr>
                    <w:t>-N、SS、</w:t>
                  </w:r>
                  <w:r>
                    <w:rPr>
                      <w:rFonts w:hint="eastAsia" w:cs="Times New Roman"/>
                      <w:color w:val="auto"/>
                      <w:sz w:val="21"/>
                      <w:szCs w:val="21"/>
                      <w:highlight w:val="none"/>
                      <w:u w:val="none" w:color="auto"/>
                      <w:lang w:val="en-US" w:eastAsia="zh-CN"/>
                    </w:rPr>
                    <w:t>动植物油</w:t>
                  </w:r>
                  <w:r>
                    <w:rPr>
                      <w:rFonts w:hint="default" w:ascii="Times New Roman" w:hAnsi="Times New Roman" w:eastAsia="宋体" w:cs="Times New Roman"/>
                      <w:color w:val="auto"/>
                      <w:sz w:val="21"/>
                      <w:szCs w:val="21"/>
                      <w:highlight w:val="none"/>
                      <w:u w:val="none" w:color="auto"/>
                      <w:lang w:val="en-US" w:eastAsia="zh-CN"/>
                    </w:rPr>
                    <w:t>、总磷、总氮</w:t>
                  </w:r>
                </w:p>
              </w:tc>
              <w:tc>
                <w:tcPr>
                  <w:tcW w:w="3322" w:type="dxa"/>
                  <w:tcBorders>
                    <w:tl2br w:val="nil"/>
                    <w:tr2bl w:val="nil"/>
                  </w:tcBorders>
                  <w:noWrap w:val="0"/>
                  <w:vAlign w:val="center"/>
                </w:tcPr>
                <w:p w14:paraId="68223A46">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0"/>
                      <w:sz w:val="21"/>
                      <w:szCs w:val="21"/>
                      <w:highlight w:val="none"/>
                      <w:u w:val="none" w:color="auto"/>
                    </w:rPr>
                  </w:pPr>
                  <w:r>
                    <w:rPr>
                      <w:rFonts w:hint="eastAsia" w:cs="Times New Roman"/>
                      <w:color w:val="auto"/>
                      <w:sz w:val="21"/>
                      <w:szCs w:val="21"/>
                      <w:highlight w:val="none"/>
                      <w:u w:val="none" w:color="auto"/>
                      <w:lang w:val="en-US" w:eastAsia="zh-CN"/>
                    </w:rPr>
                    <w:t>“格栅+隔油池+调节池+气浮+中间水池+一体化（厌氧+缺氧+好氧+二沉池+消毒）”，处理后的废水暂存于储水池，经槽车运往汨罗市大荆镇古仑片区污水处理站处理</w:t>
                  </w:r>
                </w:p>
              </w:tc>
            </w:tr>
            <w:tr w14:paraId="64B9487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c>
                <w:tcPr>
                  <w:tcW w:w="682" w:type="dxa"/>
                  <w:tcBorders>
                    <w:tl2br w:val="nil"/>
                    <w:tr2bl w:val="nil"/>
                  </w:tcBorders>
                  <w:noWrap w:val="0"/>
                  <w:vAlign w:val="center"/>
                </w:tcPr>
                <w:p w14:paraId="1C6BF897">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噪声</w:t>
                  </w:r>
                </w:p>
              </w:tc>
              <w:tc>
                <w:tcPr>
                  <w:tcW w:w="1416" w:type="dxa"/>
                  <w:tcBorders>
                    <w:tl2br w:val="nil"/>
                    <w:tr2bl w:val="nil"/>
                  </w:tcBorders>
                  <w:noWrap w:val="0"/>
                  <w:vAlign w:val="center"/>
                </w:tcPr>
                <w:p w14:paraId="107050C6">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设备噪声</w:t>
                  </w:r>
                </w:p>
              </w:tc>
              <w:tc>
                <w:tcPr>
                  <w:tcW w:w="2938" w:type="dxa"/>
                  <w:gridSpan w:val="2"/>
                  <w:tcBorders>
                    <w:tl2br w:val="nil"/>
                    <w:tr2bl w:val="nil"/>
                  </w:tcBorders>
                  <w:noWrap w:val="0"/>
                  <w:vAlign w:val="center"/>
                </w:tcPr>
                <w:p w14:paraId="7F1D57FC">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Leq（A）</w:t>
                  </w:r>
                </w:p>
              </w:tc>
              <w:tc>
                <w:tcPr>
                  <w:tcW w:w="3322" w:type="dxa"/>
                  <w:tcBorders>
                    <w:tl2br w:val="nil"/>
                    <w:tr2bl w:val="nil"/>
                  </w:tcBorders>
                  <w:noWrap w:val="0"/>
                  <w:vAlign w:val="center"/>
                </w:tcPr>
                <w:p w14:paraId="3AED2453">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选用低噪声设备，采取消声、减震、隔声等措施，合理布局。</w:t>
                  </w:r>
                </w:p>
              </w:tc>
            </w:tr>
            <w:tr w14:paraId="7F27F31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682" w:type="dxa"/>
                  <w:vMerge w:val="restart"/>
                  <w:tcBorders>
                    <w:tl2br w:val="nil"/>
                    <w:tr2bl w:val="nil"/>
                  </w:tcBorders>
                  <w:noWrap w:val="0"/>
                  <w:vAlign w:val="center"/>
                </w:tcPr>
                <w:p w14:paraId="6B6B7876">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固废</w:t>
                  </w:r>
                </w:p>
              </w:tc>
              <w:tc>
                <w:tcPr>
                  <w:tcW w:w="1416" w:type="dxa"/>
                  <w:tcBorders>
                    <w:tl2br w:val="nil"/>
                    <w:tr2bl w:val="nil"/>
                  </w:tcBorders>
                  <w:noWrap w:val="0"/>
                  <w:vAlign w:val="center"/>
                </w:tcPr>
                <w:p w14:paraId="38D451DC">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员工生活</w:t>
                  </w:r>
                </w:p>
              </w:tc>
              <w:tc>
                <w:tcPr>
                  <w:tcW w:w="2938" w:type="dxa"/>
                  <w:gridSpan w:val="2"/>
                  <w:tcBorders>
                    <w:tl2br w:val="nil"/>
                    <w:tr2bl w:val="nil"/>
                  </w:tcBorders>
                  <w:noWrap w:val="0"/>
                  <w:vAlign w:val="center"/>
                </w:tcPr>
                <w:p w14:paraId="4B03C70C">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生活垃圾</w:t>
                  </w:r>
                </w:p>
              </w:tc>
              <w:tc>
                <w:tcPr>
                  <w:tcW w:w="3322" w:type="dxa"/>
                  <w:tcBorders>
                    <w:tl2br w:val="nil"/>
                    <w:tr2bl w:val="nil"/>
                  </w:tcBorders>
                  <w:noWrap w:val="0"/>
                  <w:vAlign w:val="center"/>
                </w:tcPr>
                <w:p w14:paraId="3D74D0D0">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收集后交由环卫部门统一清运处置</w:t>
                  </w:r>
                </w:p>
              </w:tc>
            </w:tr>
            <w:tr w14:paraId="4BD5377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682" w:type="dxa"/>
                  <w:vMerge w:val="continue"/>
                  <w:tcBorders>
                    <w:tl2br w:val="nil"/>
                    <w:tr2bl w:val="nil"/>
                  </w:tcBorders>
                  <w:noWrap w:val="0"/>
                  <w:vAlign w:val="center"/>
                </w:tcPr>
                <w:p w14:paraId="1C1CC5E6">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宋体" w:cs="Times New Roman"/>
                      <w:color w:val="auto"/>
                      <w:sz w:val="21"/>
                      <w:szCs w:val="21"/>
                      <w:highlight w:val="none"/>
                      <w:u w:val="none" w:color="auto"/>
                    </w:rPr>
                  </w:pPr>
                </w:p>
              </w:tc>
              <w:tc>
                <w:tcPr>
                  <w:tcW w:w="1416" w:type="dxa"/>
                  <w:vMerge w:val="restart"/>
                  <w:tcBorders>
                    <w:tl2br w:val="nil"/>
                    <w:tr2bl w:val="nil"/>
                  </w:tcBorders>
                  <w:noWrap w:val="0"/>
                  <w:vAlign w:val="center"/>
                </w:tcPr>
                <w:p w14:paraId="108763C8">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生产</w:t>
                  </w:r>
                </w:p>
              </w:tc>
              <w:tc>
                <w:tcPr>
                  <w:tcW w:w="1469" w:type="dxa"/>
                  <w:tcBorders>
                    <w:tl2br w:val="nil"/>
                    <w:tr2bl w:val="nil"/>
                  </w:tcBorders>
                  <w:noWrap w:val="0"/>
                  <w:vAlign w:val="center"/>
                </w:tcPr>
                <w:p w14:paraId="22067B88">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绞肉、斩拌</w:t>
                  </w:r>
                </w:p>
              </w:tc>
              <w:tc>
                <w:tcPr>
                  <w:tcW w:w="1469" w:type="dxa"/>
                  <w:tcBorders>
                    <w:tl2br w:val="nil"/>
                    <w:tr2bl w:val="nil"/>
                  </w:tcBorders>
                  <w:noWrap w:val="0"/>
                  <w:vAlign w:val="center"/>
                </w:tcPr>
                <w:p w14:paraId="05180440">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废边角料</w:t>
                  </w:r>
                </w:p>
              </w:tc>
              <w:tc>
                <w:tcPr>
                  <w:tcW w:w="3322" w:type="dxa"/>
                  <w:vMerge w:val="restart"/>
                  <w:tcBorders>
                    <w:tl2br w:val="nil"/>
                    <w:tr2bl w:val="nil"/>
                  </w:tcBorders>
                  <w:noWrap w:val="0"/>
                  <w:vAlign w:val="center"/>
                </w:tcPr>
                <w:p w14:paraId="67FC1241">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外售给养殖场作为饲料综合利用</w:t>
                  </w:r>
                </w:p>
              </w:tc>
            </w:tr>
            <w:tr w14:paraId="40BD4D4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682" w:type="dxa"/>
                  <w:vMerge w:val="continue"/>
                  <w:tcBorders>
                    <w:tl2br w:val="nil"/>
                    <w:tr2bl w:val="nil"/>
                  </w:tcBorders>
                  <w:noWrap w:val="0"/>
                  <w:vAlign w:val="center"/>
                </w:tcPr>
                <w:p w14:paraId="5BC95B51">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宋体" w:cs="Times New Roman"/>
                      <w:color w:val="auto"/>
                      <w:sz w:val="21"/>
                      <w:szCs w:val="21"/>
                      <w:highlight w:val="none"/>
                      <w:u w:val="none" w:color="auto"/>
                    </w:rPr>
                  </w:pPr>
                </w:p>
              </w:tc>
              <w:tc>
                <w:tcPr>
                  <w:tcW w:w="1416" w:type="dxa"/>
                  <w:vMerge w:val="continue"/>
                  <w:tcBorders>
                    <w:tl2br w:val="nil"/>
                    <w:tr2bl w:val="nil"/>
                  </w:tcBorders>
                  <w:noWrap w:val="0"/>
                  <w:vAlign w:val="center"/>
                </w:tcPr>
                <w:p w14:paraId="22F7B5B8">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u w:val="none" w:color="auto"/>
                    </w:rPr>
                  </w:pPr>
                </w:p>
              </w:tc>
              <w:tc>
                <w:tcPr>
                  <w:tcW w:w="1469" w:type="dxa"/>
                  <w:tcBorders>
                    <w:tl2br w:val="nil"/>
                    <w:tr2bl w:val="nil"/>
                  </w:tcBorders>
                  <w:noWrap w:val="0"/>
                  <w:vAlign w:val="center"/>
                </w:tcPr>
                <w:p w14:paraId="74879C65">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渣浆分离</w:t>
                  </w:r>
                </w:p>
              </w:tc>
              <w:tc>
                <w:tcPr>
                  <w:tcW w:w="1469" w:type="dxa"/>
                  <w:tcBorders>
                    <w:tl2br w:val="nil"/>
                    <w:tr2bl w:val="nil"/>
                  </w:tcBorders>
                  <w:noWrap w:val="0"/>
                  <w:vAlign w:val="center"/>
                </w:tcPr>
                <w:p w14:paraId="3CCF61D3">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豆渣</w:t>
                  </w:r>
                </w:p>
              </w:tc>
              <w:tc>
                <w:tcPr>
                  <w:tcW w:w="3322" w:type="dxa"/>
                  <w:vMerge w:val="continue"/>
                  <w:tcBorders>
                    <w:tl2br w:val="nil"/>
                    <w:tr2bl w:val="nil"/>
                  </w:tcBorders>
                  <w:noWrap w:val="0"/>
                  <w:vAlign w:val="center"/>
                </w:tcPr>
                <w:p w14:paraId="3941DDEB">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u w:val="none" w:color="auto"/>
                      <w:lang w:val="en-US" w:eastAsia="zh-CN"/>
                    </w:rPr>
                  </w:pPr>
                </w:p>
              </w:tc>
            </w:tr>
            <w:tr w14:paraId="241A312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682" w:type="dxa"/>
                  <w:vMerge w:val="continue"/>
                  <w:tcBorders>
                    <w:tl2br w:val="nil"/>
                    <w:tr2bl w:val="nil"/>
                  </w:tcBorders>
                  <w:noWrap w:val="0"/>
                  <w:vAlign w:val="center"/>
                </w:tcPr>
                <w:p w14:paraId="71E4BB48">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宋体" w:cs="Times New Roman"/>
                      <w:color w:val="auto"/>
                      <w:sz w:val="21"/>
                      <w:szCs w:val="21"/>
                      <w:highlight w:val="none"/>
                      <w:u w:val="none" w:color="auto"/>
                    </w:rPr>
                  </w:pPr>
                </w:p>
              </w:tc>
              <w:tc>
                <w:tcPr>
                  <w:tcW w:w="1416" w:type="dxa"/>
                  <w:vMerge w:val="continue"/>
                  <w:tcBorders>
                    <w:tl2br w:val="nil"/>
                    <w:tr2bl w:val="nil"/>
                  </w:tcBorders>
                  <w:noWrap w:val="0"/>
                  <w:vAlign w:val="center"/>
                </w:tcPr>
                <w:p w14:paraId="4E4207DE">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u w:val="none" w:color="auto"/>
                    </w:rPr>
                  </w:pPr>
                </w:p>
              </w:tc>
              <w:tc>
                <w:tcPr>
                  <w:tcW w:w="1469" w:type="dxa"/>
                  <w:tcBorders>
                    <w:tl2br w:val="nil"/>
                    <w:tr2bl w:val="nil"/>
                  </w:tcBorders>
                  <w:noWrap w:val="0"/>
                  <w:vAlign w:val="center"/>
                </w:tcPr>
                <w:p w14:paraId="7C3BD0F7">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高温油炸</w:t>
                  </w:r>
                </w:p>
              </w:tc>
              <w:tc>
                <w:tcPr>
                  <w:tcW w:w="1469" w:type="dxa"/>
                  <w:tcBorders>
                    <w:tl2br w:val="nil"/>
                    <w:tr2bl w:val="nil"/>
                  </w:tcBorders>
                  <w:noWrap w:val="0"/>
                  <w:vAlign w:val="center"/>
                </w:tcPr>
                <w:p w14:paraId="53336D3A">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废油</w:t>
                  </w:r>
                </w:p>
              </w:tc>
              <w:tc>
                <w:tcPr>
                  <w:tcW w:w="3322" w:type="dxa"/>
                  <w:tcBorders>
                    <w:tl2br w:val="nil"/>
                    <w:tr2bl w:val="nil"/>
                  </w:tcBorders>
                  <w:noWrap w:val="0"/>
                  <w:vAlign w:val="center"/>
                </w:tcPr>
                <w:p w14:paraId="4ECBF4F8">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交由专门的废弃食用油回收公司处理</w:t>
                  </w:r>
                </w:p>
              </w:tc>
            </w:tr>
            <w:tr w14:paraId="1A55F83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682" w:type="dxa"/>
                  <w:vMerge w:val="continue"/>
                  <w:tcBorders>
                    <w:tl2br w:val="nil"/>
                    <w:tr2bl w:val="nil"/>
                  </w:tcBorders>
                  <w:noWrap w:val="0"/>
                  <w:vAlign w:val="center"/>
                </w:tcPr>
                <w:p w14:paraId="0BFED09D">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宋体" w:cs="Times New Roman"/>
                      <w:color w:val="auto"/>
                      <w:sz w:val="21"/>
                      <w:szCs w:val="21"/>
                      <w:highlight w:val="none"/>
                      <w:u w:val="none" w:color="auto"/>
                    </w:rPr>
                  </w:pPr>
                </w:p>
              </w:tc>
              <w:tc>
                <w:tcPr>
                  <w:tcW w:w="1416" w:type="dxa"/>
                  <w:vMerge w:val="continue"/>
                  <w:tcBorders>
                    <w:tl2br w:val="nil"/>
                    <w:tr2bl w:val="nil"/>
                  </w:tcBorders>
                  <w:noWrap w:val="0"/>
                  <w:vAlign w:val="center"/>
                </w:tcPr>
                <w:p w14:paraId="65906D64">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u w:val="none" w:color="auto"/>
                    </w:rPr>
                  </w:pPr>
                </w:p>
              </w:tc>
              <w:tc>
                <w:tcPr>
                  <w:tcW w:w="2938" w:type="dxa"/>
                  <w:gridSpan w:val="2"/>
                  <w:tcBorders>
                    <w:tl2br w:val="nil"/>
                    <w:tr2bl w:val="nil"/>
                  </w:tcBorders>
                  <w:noWrap w:val="0"/>
                  <w:vAlign w:val="center"/>
                </w:tcPr>
                <w:p w14:paraId="08017E09">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不合格品</w:t>
                  </w:r>
                </w:p>
              </w:tc>
              <w:tc>
                <w:tcPr>
                  <w:tcW w:w="3322" w:type="dxa"/>
                  <w:tcBorders>
                    <w:tl2br w:val="nil"/>
                    <w:tr2bl w:val="nil"/>
                  </w:tcBorders>
                  <w:noWrap w:val="0"/>
                  <w:vAlign w:val="center"/>
                </w:tcPr>
                <w:p w14:paraId="2BDEBD1E">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外售给养殖场作为饲料综合利用</w:t>
                  </w:r>
                </w:p>
              </w:tc>
            </w:tr>
            <w:tr w14:paraId="156CB87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682" w:type="dxa"/>
                  <w:vMerge w:val="continue"/>
                  <w:tcBorders>
                    <w:tl2br w:val="nil"/>
                    <w:tr2bl w:val="nil"/>
                  </w:tcBorders>
                  <w:noWrap w:val="0"/>
                  <w:vAlign w:val="center"/>
                </w:tcPr>
                <w:p w14:paraId="654B0513">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宋体" w:cs="Times New Roman"/>
                      <w:color w:val="auto"/>
                      <w:sz w:val="21"/>
                      <w:szCs w:val="21"/>
                      <w:highlight w:val="none"/>
                      <w:u w:val="none" w:color="auto"/>
                    </w:rPr>
                  </w:pPr>
                </w:p>
              </w:tc>
              <w:tc>
                <w:tcPr>
                  <w:tcW w:w="1416" w:type="dxa"/>
                  <w:vMerge w:val="continue"/>
                  <w:tcBorders>
                    <w:tl2br w:val="nil"/>
                    <w:tr2bl w:val="nil"/>
                  </w:tcBorders>
                  <w:noWrap w:val="0"/>
                  <w:vAlign w:val="center"/>
                </w:tcPr>
                <w:p w14:paraId="1BBC4D90">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u w:val="none" w:color="auto"/>
                    </w:rPr>
                  </w:pPr>
                </w:p>
              </w:tc>
              <w:tc>
                <w:tcPr>
                  <w:tcW w:w="2938" w:type="dxa"/>
                  <w:gridSpan w:val="2"/>
                  <w:tcBorders>
                    <w:tl2br w:val="nil"/>
                    <w:tr2bl w:val="nil"/>
                  </w:tcBorders>
                  <w:noWrap w:val="0"/>
                  <w:vAlign w:val="center"/>
                </w:tcPr>
                <w:p w14:paraId="74114BED">
                  <w:pPr>
                    <w:keepNext w:val="0"/>
                    <w:keepLines w:val="0"/>
                    <w:pageBreakBefore w:val="0"/>
                    <w:kinsoku/>
                    <w:wordWrap/>
                    <w:overflowPunct/>
                    <w:topLinePunct w:val="0"/>
                    <w:autoSpaceDE/>
                    <w:autoSpaceDN/>
                    <w:bidi w:val="0"/>
                    <w:adjustRightInd/>
                    <w:snapToGrid/>
                    <w:jc w:val="center"/>
                    <w:textAlignment w:val="auto"/>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废包装</w:t>
                  </w:r>
                </w:p>
              </w:tc>
              <w:tc>
                <w:tcPr>
                  <w:tcW w:w="3322" w:type="dxa"/>
                  <w:tcBorders>
                    <w:tl2br w:val="nil"/>
                    <w:tr2bl w:val="nil"/>
                  </w:tcBorders>
                  <w:noWrap w:val="0"/>
                  <w:vAlign w:val="center"/>
                </w:tcPr>
                <w:p w14:paraId="5A1869D7">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kern w:val="2"/>
                      <w:sz w:val="21"/>
                      <w:szCs w:val="21"/>
                      <w:highlight w:val="none"/>
                      <w:u w:val="none" w:color="auto"/>
                      <w:lang w:val="en-US" w:eastAsia="zh-CN"/>
                    </w:rPr>
                    <w:t>可回收利用的外售资源回收部门，不能利用的交由环卫部门统一清运</w:t>
                  </w:r>
                </w:p>
              </w:tc>
            </w:tr>
            <w:tr w14:paraId="3585D3F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489" w:hRule="atLeast"/>
              </w:trPr>
              <w:tc>
                <w:tcPr>
                  <w:tcW w:w="682" w:type="dxa"/>
                  <w:vMerge w:val="continue"/>
                  <w:tcBorders>
                    <w:tl2br w:val="nil"/>
                    <w:tr2bl w:val="nil"/>
                  </w:tcBorders>
                  <w:noWrap w:val="0"/>
                  <w:vAlign w:val="center"/>
                </w:tcPr>
                <w:p w14:paraId="22A93637">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宋体" w:cs="Times New Roman"/>
                      <w:color w:val="auto"/>
                      <w:sz w:val="21"/>
                      <w:szCs w:val="21"/>
                      <w:highlight w:val="none"/>
                      <w:u w:val="none" w:color="auto"/>
                    </w:rPr>
                  </w:pPr>
                </w:p>
              </w:tc>
              <w:tc>
                <w:tcPr>
                  <w:tcW w:w="1416" w:type="dxa"/>
                  <w:vMerge w:val="continue"/>
                  <w:tcBorders>
                    <w:tl2br w:val="nil"/>
                    <w:tr2bl w:val="nil"/>
                  </w:tcBorders>
                  <w:noWrap w:val="0"/>
                  <w:vAlign w:val="center"/>
                </w:tcPr>
                <w:p w14:paraId="309A66BD">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u w:val="none" w:color="auto"/>
                    </w:rPr>
                  </w:pPr>
                </w:p>
              </w:tc>
              <w:tc>
                <w:tcPr>
                  <w:tcW w:w="2938" w:type="dxa"/>
                  <w:gridSpan w:val="2"/>
                  <w:tcBorders>
                    <w:tl2br w:val="nil"/>
                    <w:tr2bl w:val="nil"/>
                  </w:tcBorders>
                  <w:noWrap w:val="0"/>
                  <w:vAlign w:val="center"/>
                </w:tcPr>
                <w:p w14:paraId="0E495CFC">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沉淀池污泥</w:t>
                  </w:r>
                </w:p>
              </w:tc>
              <w:tc>
                <w:tcPr>
                  <w:tcW w:w="3322" w:type="dxa"/>
                  <w:tcBorders>
                    <w:tl2br w:val="nil"/>
                    <w:tr2bl w:val="nil"/>
                  </w:tcBorders>
                  <w:noWrap w:val="0"/>
                  <w:vAlign w:val="center"/>
                </w:tcPr>
                <w:p w14:paraId="05993CE4">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收集后交由环卫部门统一清运</w:t>
                  </w:r>
                </w:p>
              </w:tc>
            </w:tr>
            <w:tr w14:paraId="772D68C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682" w:type="dxa"/>
                  <w:vMerge w:val="continue"/>
                  <w:tcBorders>
                    <w:tl2br w:val="nil"/>
                    <w:tr2bl w:val="nil"/>
                  </w:tcBorders>
                  <w:noWrap w:val="0"/>
                  <w:vAlign w:val="center"/>
                </w:tcPr>
                <w:p w14:paraId="61CBC81E">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宋体" w:cs="Times New Roman"/>
                      <w:color w:val="auto"/>
                      <w:sz w:val="21"/>
                      <w:szCs w:val="21"/>
                      <w:highlight w:val="none"/>
                      <w:u w:val="none" w:color="auto"/>
                    </w:rPr>
                  </w:pPr>
                </w:p>
              </w:tc>
              <w:tc>
                <w:tcPr>
                  <w:tcW w:w="1416" w:type="dxa"/>
                  <w:vMerge w:val="continue"/>
                  <w:tcBorders>
                    <w:tl2br w:val="nil"/>
                    <w:tr2bl w:val="nil"/>
                  </w:tcBorders>
                  <w:noWrap w:val="0"/>
                  <w:vAlign w:val="center"/>
                </w:tcPr>
                <w:p w14:paraId="19262DBF">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u w:val="none" w:color="auto"/>
                    </w:rPr>
                  </w:pPr>
                </w:p>
              </w:tc>
              <w:tc>
                <w:tcPr>
                  <w:tcW w:w="2938" w:type="dxa"/>
                  <w:gridSpan w:val="2"/>
                  <w:tcBorders>
                    <w:tl2br w:val="nil"/>
                    <w:tr2bl w:val="nil"/>
                  </w:tcBorders>
                  <w:noWrap w:val="0"/>
                  <w:vAlign w:val="center"/>
                </w:tcPr>
                <w:p w14:paraId="0C7E3AF6">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kern w:val="2"/>
                      <w:sz w:val="21"/>
                      <w:szCs w:val="21"/>
                      <w:highlight w:val="none"/>
                      <w:u w:val="none" w:color="auto"/>
                      <w:lang w:eastAsia="zh-CN"/>
                    </w:rPr>
                    <w:t>废滤芯</w:t>
                  </w:r>
                </w:p>
              </w:tc>
              <w:tc>
                <w:tcPr>
                  <w:tcW w:w="3322" w:type="dxa"/>
                  <w:tcBorders>
                    <w:tl2br w:val="nil"/>
                    <w:tr2bl w:val="nil"/>
                  </w:tcBorders>
                  <w:noWrap w:val="0"/>
                  <w:vAlign w:val="center"/>
                </w:tcPr>
                <w:p w14:paraId="4C33976E">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kern w:val="2"/>
                      <w:sz w:val="21"/>
                      <w:szCs w:val="21"/>
                      <w:highlight w:val="none"/>
                      <w:u w:val="none" w:color="auto"/>
                      <w:lang w:val="en-US" w:eastAsia="zh-CN"/>
                    </w:rPr>
                    <w:t>外售资源回收部门综合利用</w:t>
                  </w:r>
                </w:p>
              </w:tc>
            </w:tr>
            <w:tr w14:paraId="1CFF15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21" w:hRule="atLeast"/>
              </w:trPr>
              <w:tc>
                <w:tcPr>
                  <w:tcW w:w="682" w:type="dxa"/>
                  <w:vMerge w:val="continue"/>
                  <w:tcBorders>
                    <w:tl2br w:val="nil"/>
                    <w:tr2bl w:val="nil"/>
                  </w:tcBorders>
                  <w:noWrap w:val="0"/>
                  <w:vAlign w:val="center"/>
                </w:tcPr>
                <w:p w14:paraId="58B16348">
                  <w:pPr>
                    <w:keepNext w:val="0"/>
                    <w:keepLines w:val="0"/>
                    <w:pageBreakBefore w:val="0"/>
                    <w:widowControl/>
                    <w:kinsoku/>
                    <w:wordWrap/>
                    <w:overflowPunct/>
                    <w:topLinePunct w:val="0"/>
                    <w:autoSpaceDE/>
                    <w:autoSpaceDN/>
                    <w:bidi w:val="0"/>
                    <w:adjustRightInd/>
                    <w:snapToGrid/>
                    <w:jc w:val="left"/>
                    <w:textAlignment w:val="auto"/>
                    <w:rPr>
                      <w:rFonts w:hint="default" w:ascii="Times New Roman" w:hAnsi="Times New Roman" w:eastAsia="宋体" w:cs="Times New Roman"/>
                      <w:color w:val="auto"/>
                      <w:sz w:val="21"/>
                      <w:szCs w:val="21"/>
                      <w:highlight w:val="none"/>
                      <w:u w:val="none" w:color="auto"/>
                    </w:rPr>
                  </w:pPr>
                </w:p>
              </w:tc>
              <w:tc>
                <w:tcPr>
                  <w:tcW w:w="1416" w:type="dxa"/>
                  <w:vMerge w:val="continue"/>
                  <w:tcBorders>
                    <w:tl2br w:val="nil"/>
                    <w:tr2bl w:val="nil"/>
                  </w:tcBorders>
                  <w:noWrap w:val="0"/>
                  <w:vAlign w:val="center"/>
                </w:tcPr>
                <w:p w14:paraId="4D00A37A">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sz w:val="21"/>
                      <w:szCs w:val="21"/>
                      <w:highlight w:val="none"/>
                      <w:u w:val="none" w:color="auto"/>
                    </w:rPr>
                  </w:pPr>
                </w:p>
              </w:tc>
              <w:tc>
                <w:tcPr>
                  <w:tcW w:w="2938" w:type="dxa"/>
                  <w:gridSpan w:val="2"/>
                  <w:tcBorders>
                    <w:tl2br w:val="nil"/>
                    <w:tr2bl w:val="nil"/>
                  </w:tcBorders>
                  <w:noWrap w:val="0"/>
                  <w:vAlign w:val="center"/>
                </w:tcPr>
                <w:p w14:paraId="7E0B7AA5">
                  <w:pPr>
                    <w:keepNext w:val="0"/>
                    <w:keepLines w:val="0"/>
                    <w:pageBreakBefore w:val="0"/>
                    <w:kinsoku/>
                    <w:wordWrap/>
                    <w:overflowPunct/>
                    <w:topLinePunct w:val="0"/>
                    <w:autoSpaceDE/>
                    <w:autoSpaceDN/>
                    <w:bidi w:val="0"/>
                    <w:adjustRightInd/>
                    <w:snapToGrid/>
                    <w:jc w:val="center"/>
                    <w:textAlignment w:val="auto"/>
                    <w:rPr>
                      <w:rFonts w:hint="default" w:ascii="Times New Roman" w:hAnsi="Times New Roman" w:eastAsia="宋体" w:cs="Times New Roman"/>
                      <w:color w:val="auto"/>
                      <w:kern w:val="2"/>
                      <w:sz w:val="21"/>
                      <w:szCs w:val="21"/>
                      <w:highlight w:val="none"/>
                      <w:u w:val="none" w:color="auto"/>
                      <w:lang w:eastAsia="zh-CN"/>
                    </w:rPr>
                  </w:pPr>
                  <w:r>
                    <w:rPr>
                      <w:rFonts w:hint="eastAsia" w:cs="Times New Roman"/>
                      <w:color w:val="auto"/>
                      <w:kern w:val="2"/>
                      <w:sz w:val="21"/>
                      <w:szCs w:val="21"/>
                      <w:highlight w:val="none"/>
                      <w:u w:val="none" w:color="auto"/>
                      <w:lang w:eastAsia="zh-CN"/>
                    </w:rPr>
                    <w:t>废机油</w:t>
                  </w:r>
                </w:p>
              </w:tc>
              <w:tc>
                <w:tcPr>
                  <w:tcW w:w="3322" w:type="dxa"/>
                  <w:tcBorders>
                    <w:tl2br w:val="nil"/>
                    <w:tr2bl w:val="nil"/>
                  </w:tcBorders>
                  <w:noWrap w:val="0"/>
                  <w:vAlign w:val="center"/>
                </w:tcPr>
                <w:p w14:paraId="2A90188A">
                  <w:pPr>
                    <w:keepNext w:val="0"/>
                    <w:keepLines w:val="0"/>
                    <w:pageBreakBefore w:val="0"/>
                    <w:kinsoku/>
                    <w:wordWrap/>
                    <w:overflowPunct/>
                    <w:topLinePunct w:val="0"/>
                    <w:autoSpaceDE/>
                    <w:autoSpaceDN/>
                    <w:bidi w:val="0"/>
                    <w:adjustRightInd/>
                    <w:snapToGrid/>
                    <w:jc w:val="center"/>
                    <w:textAlignment w:val="auto"/>
                    <w:rPr>
                      <w:rFonts w:hint="eastAsia" w:cs="Times New Roman"/>
                      <w:color w:val="auto"/>
                      <w:kern w:val="2"/>
                      <w:sz w:val="21"/>
                      <w:szCs w:val="21"/>
                      <w:highlight w:val="none"/>
                      <w:u w:val="none" w:color="auto"/>
                      <w:lang w:val="en-US" w:eastAsia="zh-CN"/>
                    </w:rPr>
                  </w:pPr>
                  <w:r>
                    <w:rPr>
                      <w:rFonts w:hint="eastAsia" w:cs="Times New Roman"/>
                      <w:color w:val="auto"/>
                      <w:kern w:val="2"/>
                      <w:sz w:val="21"/>
                      <w:szCs w:val="21"/>
                      <w:highlight w:val="none"/>
                      <w:u w:val="none" w:color="auto"/>
                      <w:lang w:val="en-US" w:eastAsia="zh-CN"/>
                    </w:rPr>
                    <w:t>交由有资质的单位处置</w:t>
                  </w:r>
                </w:p>
              </w:tc>
            </w:tr>
          </w:tbl>
          <w:p w14:paraId="08DBCC4D">
            <w:pPr>
              <w:keepNext w:val="0"/>
              <w:keepLines w:val="0"/>
              <w:pageBreakBefore w:val="0"/>
              <w:widowControl w:val="0"/>
              <w:kinsoku/>
              <w:wordWrap/>
              <w:overflowPunct/>
              <w:topLinePunct w:val="0"/>
              <w:autoSpaceDE/>
              <w:autoSpaceDN/>
              <w:bidi w:val="0"/>
              <w:adjustRightInd/>
              <w:snapToGrid w:val="0"/>
              <w:spacing w:line="360" w:lineRule="auto"/>
              <w:ind w:firstLine="482"/>
              <w:jc w:val="left"/>
              <w:textAlignment w:val="auto"/>
              <w:rPr>
                <w:rFonts w:hint="default" w:ascii="Times New Roman" w:hAnsi="Times New Roman" w:eastAsia="宋体" w:cs="Times New Roman"/>
                <w:b/>
                <w:bCs/>
                <w:color w:val="auto"/>
                <w:kern w:val="0"/>
                <w:sz w:val="24"/>
                <w:highlight w:val="none"/>
                <w:u w:val="none" w:color="auto"/>
              </w:rPr>
            </w:pPr>
            <w:r>
              <w:rPr>
                <w:rFonts w:hint="default" w:ascii="Times New Roman" w:hAnsi="Times New Roman" w:eastAsia="宋体" w:cs="Times New Roman"/>
                <w:b/>
                <w:bCs/>
                <w:color w:val="auto"/>
                <w:kern w:val="0"/>
                <w:sz w:val="24"/>
                <w:highlight w:val="none"/>
                <w:u w:val="none" w:color="auto"/>
              </w:rPr>
              <w:t>营运期物料平衡</w:t>
            </w:r>
          </w:p>
          <w:p w14:paraId="382DB5B8">
            <w:pPr>
              <w:keepNext w:val="0"/>
              <w:keepLines w:val="0"/>
              <w:pageBreakBefore w:val="0"/>
              <w:widowControl w:val="0"/>
              <w:kinsoku/>
              <w:wordWrap/>
              <w:overflowPunct/>
              <w:topLinePunct w:val="0"/>
              <w:autoSpaceDE/>
              <w:autoSpaceDN/>
              <w:bidi w:val="0"/>
              <w:adjustRightInd/>
              <w:snapToGrid w:val="0"/>
              <w:spacing w:line="360" w:lineRule="auto"/>
              <w:ind w:firstLine="482"/>
              <w:jc w:val="left"/>
              <w:textAlignment w:val="auto"/>
              <w:rPr>
                <w:rFonts w:hint="default" w:ascii="Times New Roman" w:hAnsi="Times New Roman" w:eastAsia="宋体" w:cs="Times New Roman"/>
                <w:color w:val="auto"/>
                <w:sz w:val="24"/>
                <w:highlight w:val="none"/>
                <w:u w:val="none" w:color="auto"/>
                <w:lang w:eastAsia="zh-CN"/>
              </w:rPr>
            </w:pPr>
            <w:r>
              <w:rPr>
                <w:rFonts w:hint="default" w:ascii="Times New Roman" w:hAnsi="Times New Roman" w:eastAsia="宋体" w:cs="Times New Roman"/>
                <w:color w:val="auto"/>
                <w:sz w:val="24"/>
                <w:highlight w:val="none"/>
                <w:u w:val="none" w:color="auto"/>
              </w:rPr>
              <w:t>本项目物料平衡表见下表</w:t>
            </w:r>
            <w:r>
              <w:rPr>
                <w:rFonts w:hint="default" w:ascii="Times New Roman" w:hAnsi="Times New Roman" w:eastAsia="宋体" w:cs="Times New Roman"/>
                <w:color w:val="auto"/>
                <w:sz w:val="24"/>
                <w:highlight w:val="none"/>
                <w:u w:val="none" w:color="auto"/>
                <w:lang w:eastAsia="zh-CN"/>
              </w:rPr>
              <w:t>。</w:t>
            </w:r>
          </w:p>
          <w:p w14:paraId="2539543D">
            <w:pPr>
              <w:spacing w:before="120" w:beforeLines="50"/>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表2-</w:t>
            </w:r>
            <w:r>
              <w:rPr>
                <w:rFonts w:hint="eastAsia" w:cs="Times New Roman"/>
                <w:b/>
                <w:color w:val="auto"/>
                <w:sz w:val="21"/>
                <w:szCs w:val="21"/>
                <w:highlight w:val="none"/>
                <w:u w:val="none" w:color="auto"/>
                <w:lang w:val="en-US" w:eastAsia="zh-CN"/>
              </w:rPr>
              <w:t>8</w:t>
            </w:r>
            <w:r>
              <w:rPr>
                <w:rFonts w:hint="default" w:ascii="Times New Roman" w:hAnsi="Times New Roman" w:eastAsia="宋体" w:cs="Times New Roman"/>
                <w:b/>
                <w:color w:val="auto"/>
                <w:sz w:val="21"/>
                <w:szCs w:val="21"/>
                <w:highlight w:val="none"/>
                <w:u w:val="none" w:color="auto"/>
              </w:rPr>
              <w:t xml:space="preserve"> 生产物料平衡表 </w:t>
            </w:r>
          </w:p>
          <w:tbl>
            <w:tblPr>
              <w:tblStyle w:val="42"/>
              <w:tblW w:w="8392"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242"/>
              <w:gridCol w:w="1837"/>
              <w:gridCol w:w="2453"/>
              <w:gridCol w:w="1860"/>
            </w:tblGrid>
            <w:tr w14:paraId="110558E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79" w:type="dxa"/>
                  <w:gridSpan w:val="2"/>
                  <w:tcBorders>
                    <w:left w:val="single" w:color="auto" w:sz="0" w:space="0"/>
                  </w:tcBorders>
                  <w:vAlign w:val="center"/>
                </w:tcPr>
                <w:p w14:paraId="33B2DB76">
                  <w:pPr>
                    <w:jc w:val="center"/>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z w:val="21"/>
                      <w:szCs w:val="21"/>
                      <w:highlight w:val="none"/>
                      <w:u w:val="none" w:color="auto"/>
                    </w:rPr>
                    <w:t>入 料</w:t>
                  </w:r>
                </w:p>
              </w:tc>
              <w:tc>
                <w:tcPr>
                  <w:tcW w:w="4313" w:type="dxa"/>
                  <w:gridSpan w:val="2"/>
                  <w:tcBorders>
                    <w:right w:val="single" w:color="auto" w:sz="12" w:space="0"/>
                  </w:tcBorders>
                  <w:vAlign w:val="center"/>
                </w:tcPr>
                <w:p w14:paraId="68ADB290">
                  <w:pPr>
                    <w:jc w:val="center"/>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z w:val="21"/>
                      <w:szCs w:val="21"/>
                      <w:highlight w:val="none"/>
                      <w:u w:val="none" w:color="auto"/>
                    </w:rPr>
                    <w:t>出 料</w:t>
                  </w:r>
                </w:p>
              </w:tc>
            </w:tr>
            <w:tr w14:paraId="689DF0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92" w:type="dxa"/>
                  <w:gridSpan w:val="4"/>
                  <w:tcBorders>
                    <w:left w:val="single" w:color="auto" w:sz="0" w:space="0"/>
                    <w:right w:val="single" w:color="auto" w:sz="12" w:space="0"/>
                  </w:tcBorders>
                  <w:vAlign w:val="center"/>
                </w:tcPr>
                <w:p w14:paraId="0FE3D2D4">
                  <w:pPr>
                    <w:jc w:val="center"/>
                    <w:rPr>
                      <w:rFonts w:hint="eastAsia" w:ascii="Times New Roman" w:hAnsi="Times New Roman" w:eastAsia="宋体" w:cs="Times New Roman"/>
                      <w:b/>
                      <w:bCs/>
                      <w:color w:val="auto"/>
                      <w:sz w:val="21"/>
                      <w:szCs w:val="21"/>
                      <w:highlight w:val="none"/>
                      <w:u w:val="none" w:color="auto"/>
                      <w:lang w:eastAsia="zh-CN"/>
                    </w:rPr>
                  </w:pPr>
                  <w:r>
                    <w:rPr>
                      <w:rFonts w:hint="eastAsia" w:cs="Times New Roman"/>
                      <w:b/>
                      <w:bCs/>
                      <w:color w:val="auto"/>
                      <w:sz w:val="21"/>
                      <w:szCs w:val="21"/>
                      <w:highlight w:val="none"/>
                      <w:u w:val="none" w:color="auto"/>
                      <w:lang w:eastAsia="zh-CN"/>
                    </w:rPr>
                    <w:t>肉制品生产</w:t>
                  </w:r>
                </w:p>
              </w:tc>
            </w:tr>
            <w:tr w14:paraId="46D7884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42" w:type="dxa"/>
                  <w:tcBorders>
                    <w:left w:val="single" w:color="auto" w:sz="4" w:space="0"/>
                  </w:tcBorders>
                  <w:vAlign w:val="center"/>
                </w:tcPr>
                <w:p w14:paraId="5749428D">
                  <w:pPr>
                    <w:jc w:val="center"/>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z w:val="21"/>
                      <w:szCs w:val="21"/>
                      <w:highlight w:val="none"/>
                      <w:u w:val="none" w:color="auto"/>
                    </w:rPr>
                    <w:t>名称</w:t>
                  </w:r>
                </w:p>
              </w:tc>
              <w:tc>
                <w:tcPr>
                  <w:tcW w:w="1837" w:type="dxa"/>
                  <w:vAlign w:val="center"/>
                </w:tcPr>
                <w:p w14:paraId="00DDF4AE">
                  <w:pPr>
                    <w:jc w:val="center"/>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z w:val="21"/>
                      <w:szCs w:val="21"/>
                      <w:highlight w:val="none"/>
                      <w:u w:val="none" w:color="auto"/>
                    </w:rPr>
                    <w:t>年投入量（t/a）</w:t>
                  </w:r>
                </w:p>
              </w:tc>
              <w:tc>
                <w:tcPr>
                  <w:tcW w:w="2453" w:type="dxa"/>
                  <w:vAlign w:val="center"/>
                </w:tcPr>
                <w:p w14:paraId="62200AB5">
                  <w:pPr>
                    <w:jc w:val="center"/>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z w:val="21"/>
                      <w:szCs w:val="21"/>
                      <w:highlight w:val="none"/>
                      <w:u w:val="none" w:color="auto"/>
                    </w:rPr>
                    <w:t>物料去向</w:t>
                  </w:r>
                </w:p>
              </w:tc>
              <w:tc>
                <w:tcPr>
                  <w:tcW w:w="1860" w:type="dxa"/>
                  <w:tcBorders>
                    <w:right w:val="single" w:color="auto" w:sz="12" w:space="0"/>
                  </w:tcBorders>
                  <w:noWrap/>
                  <w:vAlign w:val="center"/>
                </w:tcPr>
                <w:p w14:paraId="70D84DE1">
                  <w:pPr>
                    <w:jc w:val="center"/>
                    <w:rPr>
                      <w:rFonts w:hint="default" w:ascii="Times New Roman" w:hAnsi="Times New Roman" w:eastAsia="宋体" w:cs="Times New Roman"/>
                      <w:b/>
                      <w:bCs/>
                      <w:color w:val="auto"/>
                      <w:sz w:val="21"/>
                      <w:szCs w:val="21"/>
                      <w:highlight w:val="none"/>
                      <w:u w:val="none" w:color="auto"/>
                    </w:rPr>
                  </w:pPr>
                  <w:r>
                    <w:rPr>
                      <w:rFonts w:hint="default" w:ascii="Times New Roman" w:hAnsi="Times New Roman" w:eastAsia="宋体" w:cs="Times New Roman"/>
                      <w:b/>
                      <w:bCs/>
                      <w:color w:val="auto"/>
                      <w:sz w:val="21"/>
                      <w:szCs w:val="21"/>
                      <w:highlight w:val="none"/>
                      <w:u w:val="none" w:color="auto"/>
                    </w:rPr>
                    <w:t>年产出量（t/a）</w:t>
                  </w:r>
                </w:p>
              </w:tc>
            </w:tr>
            <w:tr w14:paraId="55F5D16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42" w:type="dxa"/>
                  <w:tcBorders>
                    <w:left w:val="single" w:color="auto" w:sz="4" w:space="0"/>
                  </w:tcBorders>
                  <w:vAlign w:val="center"/>
                </w:tcPr>
                <w:p w14:paraId="765D2FE0">
                  <w:pPr>
                    <w:jc w:val="center"/>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鸡胸肉等原料</w:t>
                  </w:r>
                </w:p>
              </w:tc>
              <w:tc>
                <w:tcPr>
                  <w:tcW w:w="1837" w:type="dxa"/>
                  <w:vAlign w:val="center"/>
                </w:tcPr>
                <w:p w14:paraId="60345162">
                  <w:pPr>
                    <w:jc w:val="center"/>
                    <w:textAlignment w:val="center"/>
                    <w:rPr>
                      <w:rFonts w:hint="default" w:ascii="Times New Roman" w:hAnsi="Times New Roman" w:eastAsia="宋体" w:cs="Times New Roman"/>
                      <w:color w:val="auto"/>
                      <w:sz w:val="21"/>
                      <w:szCs w:val="21"/>
                      <w:highlight w:val="none"/>
                      <w:u w:val="none" w:color="auto"/>
                      <w:lang w:val="en-US" w:bidi="ar"/>
                    </w:rPr>
                  </w:pPr>
                  <w:r>
                    <w:rPr>
                      <w:rFonts w:hint="eastAsia" w:cs="Times New Roman"/>
                      <w:color w:val="auto"/>
                      <w:sz w:val="21"/>
                      <w:szCs w:val="21"/>
                      <w:highlight w:val="none"/>
                      <w:u w:val="none" w:color="auto"/>
                      <w:lang w:val="en-US" w:eastAsia="zh-CN" w:bidi="ar"/>
                    </w:rPr>
                    <w:t>2173.1</w:t>
                  </w:r>
                </w:p>
              </w:tc>
              <w:tc>
                <w:tcPr>
                  <w:tcW w:w="2453" w:type="dxa"/>
                  <w:vAlign w:val="center"/>
                </w:tcPr>
                <w:p w14:paraId="09D893DB">
                  <w:pPr>
                    <w:jc w:val="center"/>
                    <w:rPr>
                      <w:rFonts w:hint="eastAsia" w:ascii="Times New Roman" w:hAnsi="Times New Roman" w:eastAsia="宋体" w:cs="Times New Roman"/>
                      <w:color w:val="auto"/>
                      <w:sz w:val="21"/>
                      <w:szCs w:val="21"/>
                      <w:highlight w:val="none"/>
                      <w:u w:val="none" w:color="auto"/>
                      <w:lang w:eastAsia="zh-CN" w:bidi="ar"/>
                    </w:rPr>
                  </w:pPr>
                  <w:r>
                    <w:rPr>
                      <w:rFonts w:hint="eastAsia" w:cs="Times New Roman"/>
                      <w:color w:val="auto"/>
                      <w:sz w:val="21"/>
                      <w:szCs w:val="21"/>
                      <w:highlight w:val="none"/>
                      <w:u w:val="none" w:color="auto"/>
                      <w:lang w:eastAsia="zh-CN" w:bidi="ar"/>
                    </w:rPr>
                    <w:t>产品</w:t>
                  </w:r>
                </w:p>
              </w:tc>
              <w:tc>
                <w:tcPr>
                  <w:tcW w:w="1860" w:type="dxa"/>
                  <w:tcBorders>
                    <w:right w:val="single" w:color="auto" w:sz="12" w:space="0"/>
                  </w:tcBorders>
                  <w:vAlign w:val="center"/>
                </w:tcPr>
                <w:p w14:paraId="3F33EFA4">
                  <w:pPr>
                    <w:jc w:val="center"/>
                    <w:textAlignment w:val="center"/>
                    <w:rPr>
                      <w:rFonts w:hint="default" w:ascii="Times New Roman" w:hAnsi="Times New Roman" w:eastAsia="宋体" w:cs="Times New Roman"/>
                      <w:color w:val="auto"/>
                      <w:sz w:val="21"/>
                      <w:szCs w:val="21"/>
                      <w:highlight w:val="none"/>
                      <w:u w:val="none" w:color="auto"/>
                      <w:lang w:val="en-US" w:eastAsia="zh-CN" w:bidi="ar"/>
                    </w:rPr>
                  </w:pPr>
                  <w:r>
                    <w:rPr>
                      <w:rFonts w:hint="eastAsia" w:cs="Times New Roman"/>
                      <w:color w:val="auto"/>
                      <w:sz w:val="21"/>
                      <w:szCs w:val="21"/>
                      <w:highlight w:val="none"/>
                      <w:u w:val="none" w:color="auto"/>
                      <w:lang w:val="en-US" w:eastAsia="zh-CN" w:bidi="ar"/>
                    </w:rPr>
                    <w:t>2500</w:t>
                  </w:r>
                </w:p>
              </w:tc>
            </w:tr>
            <w:tr w14:paraId="3270E3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42" w:type="dxa"/>
                  <w:tcBorders>
                    <w:left w:val="single" w:color="auto" w:sz="4" w:space="0"/>
                  </w:tcBorders>
                  <w:vAlign w:val="center"/>
                </w:tcPr>
                <w:p w14:paraId="709F21E3">
                  <w:pPr>
                    <w:jc w:val="center"/>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水</w:t>
                  </w:r>
                </w:p>
              </w:tc>
              <w:tc>
                <w:tcPr>
                  <w:tcW w:w="1837" w:type="dxa"/>
                  <w:vAlign w:val="center"/>
                </w:tcPr>
                <w:p w14:paraId="42DC1B95">
                  <w:pPr>
                    <w:jc w:val="center"/>
                    <w:textAlignment w:val="center"/>
                    <w:rPr>
                      <w:rFonts w:hint="default" w:cs="Times New Roman"/>
                      <w:color w:val="auto"/>
                      <w:sz w:val="21"/>
                      <w:szCs w:val="21"/>
                      <w:highlight w:val="none"/>
                      <w:u w:val="none" w:color="auto"/>
                      <w:lang w:val="en-US" w:eastAsia="zh-CN" w:bidi="ar"/>
                    </w:rPr>
                  </w:pPr>
                  <w:r>
                    <w:rPr>
                      <w:rFonts w:hint="eastAsia" w:cs="Times New Roman"/>
                      <w:color w:val="auto"/>
                      <w:sz w:val="21"/>
                      <w:szCs w:val="21"/>
                      <w:highlight w:val="none"/>
                      <w:u w:val="none" w:color="auto"/>
                      <w:lang w:val="en-US" w:eastAsia="zh-CN" w:bidi="ar"/>
                    </w:rPr>
                    <w:t>328.18</w:t>
                  </w:r>
                </w:p>
              </w:tc>
              <w:tc>
                <w:tcPr>
                  <w:tcW w:w="2453" w:type="dxa"/>
                  <w:vAlign w:val="center"/>
                </w:tcPr>
                <w:p w14:paraId="1E6F4661">
                  <w:pPr>
                    <w:jc w:val="center"/>
                    <w:rPr>
                      <w:rFonts w:hint="eastAsia" w:ascii="Times New Roman" w:hAnsi="Times New Roman" w:eastAsia="宋体" w:cs="Times New Roman"/>
                      <w:color w:val="auto"/>
                      <w:kern w:val="0"/>
                      <w:sz w:val="21"/>
                      <w:szCs w:val="21"/>
                      <w:highlight w:val="none"/>
                      <w:u w:val="none" w:color="auto"/>
                      <w:lang w:val="en-US" w:eastAsia="zh-CN" w:bidi="ar-SA"/>
                    </w:rPr>
                  </w:pPr>
                  <w:r>
                    <w:rPr>
                      <w:rFonts w:hint="eastAsia" w:cs="Times New Roman"/>
                      <w:color w:val="auto"/>
                      <w:kern w:val="0"/>
                      <w:sz w:val="21"/>
                      <w:szCs w:val="21"/>
                      <w:highlight w:val="none"/>
                      <w:u w:val="none" w:color="auto"/>
                      <w:lang w:val="en-US" w:eastAsia="zh-CN" w:bidi="ar-SA"/>
                    </w:rPr>
                    <w:t>投料粉尘</w:t>
                  </w:r>
                </w:p>
              </w:tc>
              <w:tc>
                <w:tcPr>
                  <w:tcW w:w="1860" w:type="dxa"/>
                  <w:tcBorders>
                    <w:right w:val="single" w:color="auto" w:sz="12" w:space="0"/>
                  </w:tcBorders>
                  <w:vAlign w:val="center"/>
                </w:tcPr>
                <w:p w14:paraId="6ADCD83D">
                  <w:pPr>
                    <w:jc w:val="center"/>
                    <w:textAlignment w:val="center"/>
                    <w:rPr>
                      <w:rFonts w:hint="default" w:ascii="Times New Roman" w:hAnsi="Times New Roman" w:eastAsia="宋体" w:cs="Times New Roman"/>
                      <w:color w:val="auto"/>
                      <w:kern w:val="0"/>
                      <w:sz w:val="21"/>
                      <w:szCs w:val="21"/>
                      <w:highlight w:val="none"/>
                      <w:u w:val="none" w:color="auto"/>
                      <w:lang w:val="en-US" w:eastAsia="zh-CN" w:bidi="ar-SA"/>
                    </w:rPr>
                  </w:pPr>
                  <w:r>
                    <w:rPr>
                      <w:rFonts w:hint="eastAsia" w:cs="Times New Roman"/>
                      <w:color w:val="auto"/>
                      <w:kern w:val="0"/>
                      <w:sz w:val="21"/>
                      <w:szCs w:val="21"/>
                      <w:highlight w:val="none"/>
                      <w:u w:val="none" w:color="auto"/>
                      <w:lang w:val="en-US" w:eastAsia="zh-CN" w:bidi="ar-SA"/>
                    </w:rPr>
                    <w:t>0.03</w:t>
                  </w:r>
                </w:p>
              </w:tc>
            </w:tr>
            <w:tr w14:paraId="49B021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42" w:type="dxa"/>
                  <w:tcBorders>
                    <w:left w:val="single" w:color="auto" w:sz="4" w:space="0"/>
                  </w:tcBorders>
                  <w:vAlign w:val="center"/>
                </w:tcPr>
                <w:p w14:paraId="621503CB">
                  <w:pPr>
                    <w:jc w:val="center"/>
                    <w:rPr>
                      <w:rFonts w:hint="eastAsia" w:cs="Times New Roman"/>
                      <w:color w:val="auto"/>
                      <w:sz w:val="21"/>
                      <w:szCs w:val="21"/>
                      <w:highlight w:val="none"/>
                      <w:u w:val="none" w:color="auto"/>
                      <w:lang w:val="en-US" w:eastAsia="zh-CN"/>
                    </w:rPr>
                  </w:pPr>
                </w:p>
              </w:tc>
              <w:tc>
                <w:tcPr>
                  <w:tcW w:w="1837" w:type="dxa"/>
                  <w:vAlign w:val="center"/>
                </w:tcPr>
                <w:p w14:paraId="1F965245">
                  <w:pPr>
                    <w:jc w:val="center"/>
                    <w:textAlignment w:val="center"/>
                    <w:rPr>
                      <w:rFonts w:hint="eastAsia" w:cs="Times New Roman"/>
                      <w:color w:val="auto"/>
                      <w:sz w:val="21"/>
                      <w:szCs w:val="21"/>
                      <w:highlight w:val="none"/>
                      <w:u w:val="none" w:color="auto"/>
                      <w:lang w:val="en-US" w:eastAsia="zh-CN" w:bidi="ar"/>
                    </w:rPr>
                  </w:pPr>
                </w:p>
              </w:tc>
              <w:tc>
                <w:tcPr>
                  <w:tcW w:w="2453" w:type="dxa"/>
                  <w:vAlign w:val="center"/>
                </w:tcPr>
                <w:p w14:paraId="101B2428">
                  <w:pPr>
                    <w:jc w:val="center"/>
                    <w:rPr>
                      <w:rFonts w:hint="eastAsia" w:ascii="Times New Roman" w:hAnsi="Times New Roman" w:eastAsia="宋体" w:cs="Times New Roman"/>
                      <w:color w:val="auto"/>
                      <w:kern w:val="0"/>
                      <w:sz w:val="21"/>
                      <w:szCs w:val="21"/>
                      <w:highlight w:val="none"/>
                      <w:u w:val="none" w:color="auto"/>
                      <w:lang w:val="en-US" w:eastAsia="zh-CN" w:bidi="ar-SA"/>
                    </w:rPr>
                  </w:pPr>
                  <w:r>
                    <w:rPr>
                      <w:rFonts w:hint="eastAsia" w:ascii="Times New Roman" w:hAnsi="Times New Roman" w:eastAsia="宋体" w:cs="Times New Roman"/>
                      <w:color w:val="auto"/>
                      <w:kern w:val="0"/>
                      <w:sz w:val="21"/>
                      <w:szCs w:val="21"/>
                      <w:highlight w:val="none"/>
                      <w:u w:val="none" w:color="auto"/>
                      <w:lang w:val="en-US" w:eastAsia="zh-CN" w:bidi="ar-SA"/>
                    </w:rPr>
                    <w:t>食物残渣及不合格产品</w:t>
                  </w:r>
                </w:p>
              </w:tc>
              <w:tc>
                <w:tcPr>
                  <w:tcW w:w="1860" w:type="dxa"/>
                  <w:tcBorders>
                    <w:right w:val="single" w:color="auto" w:sz="12" w:space="0"/>
                  </w:tcBorders>
                  <w:vAlign w:val="center"/>
                </w:tcPr>
                <w:p w14:paraId="59C97673">
                  <w:pPr>
                    <w:jc w:val="center"/>
                    <w:textAlignment w:val="center"/>
                    <w:rPr>
                      <w:rFonts w:hint="default" w:ascii="Times New Roman" w:hAnsi="Times New Roman" w:eastAsia="宋体" w:cs="Times New Roman"/>
                      <w:color w:val="auto"/>
                      <w:kern w:val="0"/>
                      <w:sz w:val="21"/>
                      <w:szCs w:val="21"/>
                      <w:highlight w:val="none"/>
                      <w:u w:val="none" w:color="auto"/>
                      <w:lang w:val="en-US" w:eastAsia="zh-CN" w:bidi="ar-SA"/>
                    </w:rPr>
                  </w:pPr>
                  <w:r>
                    <w:rPr>
                      <w:rFonts w:hint="eastAsia" w:cs="Times New Roman"/>
                      <w:color w:val="auto"/>
                      <w:kern w:val="0"/>
                      <w:sz w:val="21"/>
                      <w:szCs w:val="21"/>
                      <w:highlight w:val="none"/>
                      <w:u w:val="none" w:color="auto"/>
                      <w:lang w:val="en-US" w:eastAsia="zh-CN" w:bidi="ar-SA"/>
                    </w:rPr>
                    <w:t>1.25</w:t>
                  </w:r>
                </w:p>
              </w:tc>
            </w:tr>
            <w:tr w14:paraId="69272F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42" w:type="dxa"/>
                  <w:tcBorders>
                    <w:left w:val="single" w:color="auto" w:sz="4" w:space="0"/>
                  </w:tcBorders>
                  <w:shd w:val="clear" w:color="auto" w:fill="auto"/>
                  <w:vAlign w:val="center"/>
                </w:tcPr>
                <w:p w14:paraId="3CAA647F">
                  <w:pPr>
                    <w:jc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rPr>
                    <w:t>总投入</w:t>
                  </w:r>
                </w:p>
              </w:tc>
              <w:tc>
                <w:tcPr>
                  <w:tcW w:w="1837" w:type="dxa"/>
                  <w:shd w:val="clear" w:color="auto" w:fill="auto"/>
                  <w:vAlign w:val="center"/>
                </w:tcPr>
                <w:p w14:paraId="243649CA">
                  <w:pPr>
                    <w:jc w:val="center"/>
                    <w:textAlignment w:val="center"/>
                    <w:rPr>
                      <w:rFonts w:hint="eastAsia" w:ascii="Times New Roman" w:hAnsi="Times New Roman" w:eastAsia="宋体" w:cs="Times New Roman"/>
                      <w:color w:val="auto"/>
                      <w:kern w:val="2"/>
                      <w:sz w:val="21"/>
                      <w:szCs w:val="21"/>
                      <w:highlight w:val="none"/>
                      <w:u w:val="none" w:color="auto"/>
                      <w:lang w:val="en-US" w:eastAsia="zh-CN" w:bidi="ar"/>
                    </w:rPr>
                  </w:pPr>
                  <w:r>
                    <w:rPr>
                      <w:rFonts w:hint="eastAsia" w:cs="Times New Roman"/>
                      <w:color w:val="auto"/>
                      <w:sz w:val="21"/>
                      <w:szCs w:val="21"/>
                      <w:highlight w:val="none"/>
                      <w:u w:val="none" w:color="auto"/>
                      <w:lang w:val="en-US" w:eastAsia="zh-CN" w:bidi="ar"/>
                    </w:rPr>
                    <w:t>2501.28</w:t>
                  </w:r>
                </w:p>
              </w:tc>
              <w:tc>
                <w:tcPr>
                  <w:tcW w:w="2453" w:type="dxa"/>
                  <w:shd w:val="clear" w:color="auto" w:fill="auto"/>
                  <w:vAlign w:val="center"/>
                </w:tcPr>
                <w:p w14:paraId="34BA7C26">
                  <w:pPr>
                    <w:jc w:val="center"/>
                    <w:textAlignment w:val="center"/>
                    <w:rPr>
                      <w:rFonts w:hint="eastAsia" w:ascii="Times New Roman" w:hAnsi="Times New Roman" w:eastAsia="宋体" w:cs="Times New Roman"/>
                      <w:color w:val="auto"/>
                      <w:kern w:val="2"/>
                      <w:sz w:val="21"/>
                      <w:szCs w:val="21"/>
                      <w:highlight w:val="none"/>
                      <w:u w:val="none" w:color="auto"/>
                      <w:lang w:val="en-US" w:eastAsia="zh-CN" w:bidi="ar"/>
                    </w:rPr>
                  </w:pPr>
                  <w:r>
                    <w:rPr>
                      <w:rFonts w:hint="default" w:ascii="Times New Roman" w:hAnsi="Times New Roman" w:eastAsia="宋体" w:cs="Times New Roman"/>
                      <w:color w:val="auto"/>
                      <w:sz w:val="21"/>
                      <w:szCs w:val="21"/>
                      <w:highlight w:val="none"/>
                      <w:u w:val="none" w:color="auto"/>
                      <w:lang w:bidi="ar"/>
                    </w:rPr>
                    <w:t>总产出</w:t>
                  </w:r>
                </w:p>
              </w:tc>
              <w:tc>
                <w:tcPr>
                  <w:tcW w:w="1860" w:type="dxa"/>
                  <w:tcBorders>
                    <w:right w:val="single" w:color="auto" w:sz="12" w:space="0"/>
                  </w:tcBorders>
                  <w:shd w:val="clear" w:color="auto" w:fill="auto"/>
                  <w:vAlign w:val="center"/>
                </w:tcPr>
                <w:p w14:paraId="219CDC6C">
                  <w:pPr>
                    <w:jc w:val="center"/>
                    <w:textAlignment w:val="center"/>
                    <w:rPr>
                      <w:rFonts w:hint="default" w:ascii="Times New Roman" w:hAnsi="Times New Roman" w:eastAsia="宋体" w:cs="Times New Roman"/>
                      <w:color w:val="auto"/>
                      <w:kern w:val="2"/>
                      <w:sz w:val="21"/>
                      <w:szCs w:val="21"/>
                      <w:highlight w:val="none"/>
                      <w:u w:val="none" w:color="auto"/>
                      <w:lang w:val="en-US" w:eastAsia="zh-CN" w:bidi="ar"/>
                    </w:rPr>
                  </w:pPr>
                  <w:r>
                    <w:rPr>
                      <w:rFonts w:hint="eastAsia" w:cs="Times New Roman"/>
                      <w:color w:val="auto"/>
                      <w:sz w:val="21"/>
                      <w:szCs w:val="21"/>
                      <w:highlight w:val="none"/>
                      <w:u w:val="none" w:color="auto"/>
                      <w:lang w:val="en-US" w:eastAsia="zh-CN" w:bidi="ar"/>
                    </w:rPr>
                    <w:t>2501.28</w:t>
                  </w:r>
                </w:p>
              </w:tc>
            </w:tr>
            <w:tr w14:paraId="781E08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92" w:type="dxa"/>
                  <w:gridSpan w:val="4"/>
                  <w:tcBorders>
                    <w:left w:val="single" w:color="auto" w:sz="4" w:space="0"/>
                    <w:right w:val="single" w:color="auto" w:sz="12" w:space="0"/>
                  </w:tcBorders>
                  <w:vAlign w:val="center"/>
                </w:tcPr>
                <w:p w14:paraId="554DACF1">
                  <w:pPr>
                    <w:jc w:val="center"/>
                    <w:textAlignment w:val="center"/>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豆制品生产</w:t>
                  </w:r>
                </w:p>
              </w:tc>
            </w:tr>
            <w:tr w14:paraId="02D447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42" w:type="dxa"/>
                  <w:tcBorders>
                    <w:left w:val="single" w:color="auto" w:sz="4" w:space="0"/>
                  </w:tcBorders>
                  <w:shd w:val="clear" w:color="auto" w:fill="auto"/>
                  <w:vAlign w:val="center"/>
                </w:tcPr>
                <w:p w14:paraId="69C67F2A">
                  <w:pPr>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大豆</w:t>
                  </w:r>
                </w:p>
              </w:tc>
              <w:tc>
                <w:tcPr>
                  <w:tcW w:w="1837" w:type="dxa"/>
                  <w:shd w:val="clear" w:color="auto" w:fill="auto"/>
                  <w:noWrap/>
                  <w:vAlign w:val="center"/>
                </w:tcPr>
                <w:p w14:paraId="1894AFBA">
                  <w:pPr>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1750</w:t>
                  </w:r>
                </w:p>
              </w:tc>
              <w:tc>
                <w:tcPr>
                  <w:tcW w:w="2453" w:type="dxa"/>
                  <w:noWrap/>
                  <w:vAlign w:val="center"/>
                </w:tcPr>
                <w:p w14:paraId="49601210">
                  <w:pPr>
                    <w:jc w:val="center"/>
                    <w:textAlignment w:val="center"/>
                    <w:rPr>
                      <w:rFonts w:hint="default" w:ascii="Times New Roman" w:hAnsi="Times New Roman" w:eastAsia="宋体" w:cs="Times New Roman"/>
                      <w:color w:val="auto"/>
                      <w:sz w:val="21"/>
                      <w:szCs w:val="21"/>
                      <w:highlight w:val="none"/>
                      <w:u w:val="none" w:color="auto"/>
                      <w:lang w:val="en-US" w:eastAsia="zh-CN" w:bidi="ar"/>
                    </w:rPr>
                  </w:pPr>
                  <w:r>
                    <w:rPr>
                      <w:rFonts w:hint="eastAsia" w:cs="Times New Roman"/>
                      <w:color w:val="auto"/>
                      <w:sz w:val="21"/>
                      <w:szCs w:val="21"/>
                      <w:highlight w:val="none"/>
                      <w:u w:val="none" w:color="auto"/>
                      <w:lang w:eastAsia="zh-CN" w:bidi="ar"/>
                    </w:rPr>
                    <w:t>产品</w:t>
                  </w:r>
                </w:p>
              </w:tc>
              <w:tc>
                <w:tcPr>
                  <w:tcW w:w="1860" w:type="dxa"/>
                  <w:tcBorders>
                    <w:right w:val="single" w:color="auto" w:sz="12" w:space="0"/>
                  </w:tcBorders>
                  <w:noWrap/>
                  <w:vAlign w:val="center"/>
                </w:tcPr>
                <w:p w14:paraId="75411BA0">
                  <w:pPr>
                    <w:jc w:val="center"/>
                    <w:textAlignment w:val="center"/>
                    <w:rPr>
                      <w:rFonts w:hint="default" w:ascii="Times New Roman" w:hAnsi="Times New Roman" w:eastAsia="宋体" w:cs="Times New Roman"/>
                      <w:color w:val="auto"/>
                      <w:sz w:val="21"/>
                      <w:szCs w:val="21"/>
                      <w:highlight w:val="none"/>
                      <w:u w:val="none" w:color="auto"/>
                      <w:lang w:val="en-US" w:eastAsia="zh-CN" w:bidi="ar"/>
                    </w:rPr>
                  </w:pPr>
                  <w:r>
                    <w:rPr>
                      <w:rFonts w:hint="eastAsia" w:cs="Times New Roman"/>
                      <w:color w:val="auto"/>
                      <w:sz w:val="21"/>
                      <w:szCs w:val="21"/>
                      <w:highlight w:val="none"/>
                      <w:u w:val="none" w:color="auto"/>
                      <w:lang w:val="en-US" w:eastAsia="zh-CN" w:bidi="ar"/>
                    </w:rPr>
                    <w:t>3000（含水1950）</w:t>
                  </w:r>
                </w:p>
              </w:tc>
            </w:tr>
            <w:tr w14:paraId="6D972CB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42" w:type="dxa"/>
                  <w:tcBorders>
                    <w:left w:val="single" w:color="auto" w:sz="4" w:space="0"/>
                  </w:tcBorders>
                  <w:shd w:val="clear" w:color="auto" w:fill="auto"/>
                  <w:vAlign w:val="center"/>
                </w:tcPr>
                <w:p w14:paraId="5F3F2C32">
                  <w:pPr>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食用油</w:t>
                  </w:r>
                </w:p>
              </w:tc>
              <w:tc>
                <w:tcPr>
                  <w:tcW w:w="1837" w:type="dxa"/>
                  <w:shd w:val="clear" w:color="auto" w:fill="auto"/>
                  <w:noWrap/>
                  <w:vAlign w:val="center"/>
                </w:tcPr>
                <w:p w14:paraId="2E9238C6">
                  <w:pPr>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35</w:t>
                  </w:r>
                </w:p>
              </w:tc>
              <w:tc>
                <w:tcPr>
                  <w:tcW w:w="2453" w:type="dxa"/>
                  <w:noWrap/>
                  <w:vAlign w:val="center"/>
                </w:tcPr>
                <w:p w14:paraId="30EF0D8C">
                  <w:pPr>
                    <w:jc w:val="center"/>
                    <w:textAlignment w:val="center"/>
                    <w:rPr>
                      <w:rFonts w:hint="eastAsia" w:ascii="Times New Roman" w:hAnsi="Times New Roman" w:eastAsia="宋体" w:cs="Times New Roman"/>
                      <w:color w:val="auto"/>
                      <w:sz w:val="21"/>
                      <w:szCs w:val="21"/>
                      <w:highlight w:val="none"/>
                      <w:u w:val="none" w:color="auto"/>
                      <w:lang w:eastAsia="zh-CN" w:bidi="ar"/>
                    </w:rPr>
                  </w:pPr>
                  <w:r>
                    <w:rPr>
                      <w:rFonts w:hint="eastAsia" w:cs="Times New Roman"/>
                      <w:color w:val="auto"/>
                      <w:sz w:val="21"/>
                      <w:szCs w:val="21"/>
                      <w:highlight w:val="none"/>
                      <w:u w:val="none" w:color="auto"/>
                      <w:lang w:eastAsia="zh-CN" w:bidi="ar"/>
                    </w:rPr>
                    <w:t>油烟</w:t>
                  </w:r>
                </w:p>
              </w:tc>
              <w:tc>
                <w:tcPr>
                  <w:tcW w:w="1860" w:type="dxa"/>
                  <w:tcBorders>
                    <w:right w:val="single" w:color="auto" w:sz="12" w:space="0"/>
                  </w:tcBorders>
                  <w:noWrap/>
                  <w:vAlign w:val="center"/>
                </w:tcPr>
                <w:p w14:paraId="2A5CB961">
                  <w:pPr>
                    <w:jc w:val="center"/>
                    <w:textAlignment w:val="center"/>
                    <w:rPr>
                      <w:rFonts w:hint="default" w:ascii="Times New Roman" w:hAnsi="Times New Roman" w:eastAsia="宋体" w:cs="Times New Roman"/>
                      <w:color w:val="auto"/>
                      <w:sz w:val="21"/>
                      <w:szCs w:val="21"/>
                      <w:highlight w:val="none"/>
                      <w:u w:val="none" w:color="auto"/>
                      <w:lang w:val="en-US" w:eastAsia="zh-CN" w:bidi="ar"/>
                    </w:rPr>
                  </w:pPr>
                  <w:r>
                    <w:rPr>
                      <w:rFonts w:hint="eastAsia" w:cs="Times New Roman"/>
                      <w:color w:val="auto"/>
                      <w:sz w:val="21"/>
                      <w:szCs w:val="21"/>
                      <w:highlight w:val="none"/>
                      <w:u w:val="none" w:color="auto"/>
                      <w:lang w:val="en-US" w:eastAsia="zh-CN" w:bidi="ar"/>
                    </w:rPr>
                    <w:t>0.134</w:t>
                  </w:r>
                </w:p>
              </w:tc>
            </w:tr>
            <w:tr w14:paraId="2466CF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42" w:type="dxa"/>
                  <w:tcBorders>
                    <w:left w:val="single" w:color="auto" w:sz="4" w:space="0"/>
                  </w:tcBorders>
                  <w:shd w:val="clear" w:color="auto" w:fill="auto"/>
                  <w:vAlign w:val="center"/>
                </w:tcPr>
                <w:p w14:paraId="71787D7F">
                  <w:pPr>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食用石膏</w:t>
                  </w:r>
                </w:p>
              </w:tc>
              <w:tc>
                <w:tcPr>
                  <w:tcW w:w="1837" w:type="dxa"/>
                  <w:shd w:val="clear" w:color="auto" w:fill="auto"/>
                  <w:noWrap/>
                  <w:vAlign w:val="center"/>
                </w:tcPr>
                <w:p w14:paraId="6ECA43ED">
                  <w:pPr>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0.6</w:t>
                  </w:r>
                </w:p>
              </w:tc>
              <w:tc>
                <w:tcPr>
                  <w:tcW w:w="2453" w:type="dxa"/>
                  <w:noWrap/>
                  <w:vAlign w:val="center"/>
                </w:tcPr>
                <w:p w14:paraId="32BC409E">
                  <w:pPr>
                    <w:jc w:val="center"/>
                    <w:textAlignment w:val="center"/>
                    <w:rPr>
                      <w:rFonts w:hint="eastAsia" w:ascii="Times New Roman" w:hAnsi="Times New Roman" w:eastAsia="宋体" w:cs="Times New Roman"/>
                      <w:color w:val="auto"/>
                      <w:sz w:val="21"/>
                      <w:szCs w:val="21"/>
                      <w:highlight w:val="none"/>
                      <w:u w:val="none" w:color="auto"/>
                      <w:lang w:eastAsia="zh-CN" w:bidi="ar"/>
                    </w:rPr>
                  </w:pPr>
                  <w:r>
                    <w:rPr>
                      <w:rFonts w:hint="eastAsia" w:cs="Times New Roman"/>
                      <w:color w:val="auto"/>
                      <w:sz w:val="21"/>
                      <w:szCs w:val="21"/>
                      <w:highlight w:val="none"/>
                      <w:u w:val="none" w:color="auto"/>
                      <w:lang w:eastAsia="zh-CN" w:bidi="ar"/>
                    </w:rPr>
                    <w:t>坏豆和沉渣</w:t>
                  </w:r>
                </w:p>
              </w:tc>
              <w:tc>
                <w:tcPr>
                  <w:tcW w:w="1860" w:type="dxa"/>
                  <w:tcBorders>
                    <w:right w:val="single" w:color="auto" w:sz="12" w:space="0"/>
                  </w:tcBorders>
                  <w:noWrap/>
                  <w:vAlign w:val="center"/>
                </w:tcPr>
                <w:p w14:paraId="4E5DF95C">
                  <w:pPr>
                    <w:jc w:val="center"/>
                    <w:textAlignment w:val="center"/>
                    <w:rPr>
                      <w:rFonts w:hint="default" w:ascii="Times New Roman" w:hAnsi="Times New Roman" w:eastAsia="宋体" w:cs="Times New Roman"/>
                      <w:color w:val="auto"/>
                      <w:sz w:val="21"/>
                      <w:szCs w:val="21"/>
                      <w:highlight w:val="none"/>
                      <w:u w:val="none" w:color="auto"/>
                      <w:lang w:val="en-US" w:eastAsia="zh-CN" w:bidi="ar"/>
                    </w:rPr>
                  </w:pPr>
                  <w:r>
                    <w:rPr>
                      <w:rFonts w:hint="eastAsia" w:cs="Times New Roman"/>
                      <w:color w:val="auto"/>
                      <w:sz w:val="21"/>
                      <w:szCs w:val="21"/>
                      <w:highlight w:val="none"/>
                      <w:u w:val="none" w:color="auto"/>
                      <w:lang w:val="en-US" w:eastAsia="zh-CN" w:bidi="ar"/>
                    </w:rPr>
                    <w:t>0.875</w:t>
                  </w:r>
                </w:p>
              </w:tc>
            </w:tr>
            <w:tr w14:paraId="0F1EB6A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42" w:type="dxa"/>
                  <w:tcBorders>
                    <w:left w:val="single" w:color="auto" w:sz="4" w:space="0"/>
                  </w:tcBorders>
                  <w:vAlign w:val="center"/>
                </w:tcPr>
                <w:p w14:paraId="7BF8FD70">
                  <w:pPr>
                    <w:jc w:val="center"/>
                    <w:rPr>
                      <w:rFonts w:hint="eastAsia" w:ascii="Times New Roman" w:hAnsi="Times New Roman" w:eastAsia="宋体" w:cs="Times New Roman"/>
                      <w:color w:val="auto"/>
                      <w:sz w:val="21"/>
                      <w:szCs w:val="21"/>
                      <w:highlight w:val="none"/>
                      <w:u w:val="none" w:color="auto"/>
                      <w:lang w:eastAsia="zh-CN"/>
                    </w:rPr>
                  </w:pPr>
                  <w:r>
                    <w:rPr>
                      <w:rFonts w:hint="eastAsia" w:cs="Times New Roman"/>
                      <w:color w:val="auto"/>
                      <w:sz w:val="21"/>
                      <w:szCs w:val="21"/>
                      <w:highlight w:val="none"/>
                      <w:u w:val="none" w:color="auto"/>
                      <w:lang w:eastAsia="zh-CN"/>
                    </w:rPr>
                    <w:t>水</w:t>
                  </w:r>
                </w:p>
              </w:tc>
              <w:tc>
                <w:tcPr>
                  <w:tcW w:w="1837" w:type="dxa"/>
                  <w:noWrap/>
                  <w:vAlign w:val="center"/>
                </w:tcPr>
                <w:p w14:paraId="6285CA01">
                  <w:pPr>
                    <w:jc w:val="center"/>
                    <w:textAlignment w:val="center"/>
                    <w:rPr>
                      <w:rFonts w:hint="default" w:ascii="Times New Roman" w:hAnsi="Times New Roman" w:eastAsia="宋体" w:cs="Times New Roman"/>
                      <w:color w:val="auto"/>
                      <w:sz w:val="21"/>
                      <w:szCs w:val="21"/>
                      <w:highlight w:val="none"/>
                      <w:u w:val="none" w:color="auto"/>
                      <w:lang w:val="en-US" w:eastAsia="zh-CN" w:bidi="ar"/>
                    </w:rPr>
                  </w:pPr>
                  <w:r>
                    <w:rPr>
                      <w:rFonts w:hint="eastAsia" w:cs="Times New Roman"/>
                      <w:color w:val="auto"/>
                      <w:sz w:val="21"/>
                      <w:szCs w:val="21"/>
                      <w:highlight w:val="none"/>
                      <w:u w:val="none" w:color="auto"/>
                      <w:lang w:val="en-US" w:eastAsia="zh-CN" w:bidi="ar"/>
                    </w:rPr>
                    <w:t>4770.364</w:t>
                  </w:r>
                </w:p>
              </w:tc>
              <w:tc>
                <w:tcPr>
                  <w:tcW w:w="2453" w:type="dxa"/>
                  <w:noWrap/>
                  <w:vAlign w:val="center"/>
                </w:tcPr>
                <w:p w14:paraId="22210E2D">
                  <w:pPr>
                    <w:jc w:val="center"/>
                    <w:textAlignment w:val="center"/>
                    <w:rPr>
                      <w:rFonts w:hint="eastAsia" w:ascii="Times New Roman" w:hAnsi="Times New Roman" w:eastAsia="宋体" w:cs="Times New Roman"/>
                      <w:color w:val="auto"/>
                      <w:sz w:val="21"/>
                      <w:szCs w:val="21"/>
                      <w:highlight w:val="none"/>
                      <w:u w:val="none" w:color="auto"/>
                      <w:lang w:eastAsia="zh-CN" w:bidi="ar"/>
                    </w:rPr>
                  </w:pPr>
                  <w:r>
                    <w:rPr>
                      <w:rFonts w:hint="eastAsia" w:cs="Times New Roman"/>
                      <w:color w:val="auto"/>
                      <w:sz w:val="21"/>
                      <w:szCs w:val="21"/>
                      <w:highlight w:val="none"/>
                      <w:u w:val="none" w:color="auto"/>
                      <w:lang w:eastAsia="zh-CN" w:bidi="ar"/>
                    </w:rPr>
                    <w:t>豆渣</w:t>
                  </w:r>
                </w:p>
              </w:tc>
              <w:tc>
                <w:tcPr>
                  <w:tcW w:w="1860" w:type="dxa"/>
                  <w:tcBorders>
                    <w:right w:val="single" w:color="auto" w:sz="12" w:space="0"/>
                  </w:tcBorders>
                  <w:noWrap/>
                  <w:vAlign w:val="center"/>
                </w:tcPr>
                <w:p w14:paraId="15240581">
                  <w:pPr>
                    <w:jc w:val="center"/>
                    <w:textAlignment w:val="center"/>
                    <w:rPr>
                      <w:rFonts w:hint="default" w:ascii="Times New Roman" w:hAnsi="Times New Roman" w:eastAsia="宋体" w:cs="Times New Roman"/>
                      <w:color w:val="auto"/>
                      <w:sz w:val="21"/>
                      <w:szCs w:val="21"/>
                      <w:highlight w:val="none"/>
                      <w:u w:val="none" w:color="auto"/>
                      <w:lang w:val="en-US" w:eastAsia="zh-CN" w:bidi="ar"/>
                    </w:rPr>
                  </w:pPr>
                  <w:r>
                    <w:rPr>
                      <w:rFonts w:hint="eastAsia" w:cs="Times New Roman"/>
                      <w:color w:val="auto"/>
                      <w:sz w:val="21"/>
                      <w:szCs w:val="21"/>
                      <w:highlight w:val="none"/>
                      <w:u w:val="none" w:color="auto"/>
                      <w:lang w:val="en-US" w:eastAsia="zh-CN" w:bidi="ar"/>
                    </w:rPr>
                    <w:t>3525.455（含水2820.364）</w:t>
                  </w:r>
                </w:p>
              </w:tc>
            </w:tr>
            <w:tr w14:paraId="09E1E61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42" w:type="dxa"/>
                  <w:tcBorders>
                    <w:left w:val="single" w:color="auto" w:sz="4" w:space="0"/>
                  </w:tcBorders>
                  <w:vAlign w:val="center"/>
                </w:tcPr>
                <w:p w14:paraId="543E4443">
                  <w:pPr>
                    <w:jc w:val="center"/>
                    <w:rPr>
                      <w:rFonts w:hint="default" w:ascii="Times New Roman" w:hAnsi="Times New Roman" w:eastAsia="宋体" w:cs="Times New Roman"/>
                      <w:color w:val="auto"/>
                      <w:sz w:val="21"/>
                      <w:szCs w:val="21"/>
                      <w:highlight w:val="none"/>
                      <w:u w:val="none" w:color="auto"/>
                    </w:rPr>
                  </w:pPr>
                </w:p>
              </w:tc>
              <w:tc>
                <w:tcPr>
                  <w:tcW w:w="1837" w:type="dxa"/>
                  <w:noWrap/>
                  <w:vAlign w:val="center"/>
                </w:tcPr>
                <w:p w14:paraId="57F7052A">
                  <w:pPr>
                    <w:jc w:val="center"/>
                    <w:textAlignment w:val="center"/>
                    <w:rPr>
                      <w:rFonts w:hint="default" w:ascii="Times New Roman" w:hAnsi="Times New Roman" w:eastAsia="宋体" w:cs="Times New Roman"/>
                      <w:color w:val="auto"/>
                      <w:sz w:val="21"/>
                      <w:szCs w:val="21"/>
                      <w:highlight w:val="none"/>
                      <w:u w:val="none" w:color="auto"/>
                      <w:lang w:val="en-US" w:eastAsia="zh-CN" w:bidi="ar"/>
                    </w:rPr>
                  </w:pPr>
                </w:p>
              </w:tc>
              <w:tc>
                <w:tcPr>
                  <w:tcW w:w="2453" w:type="dxa"/>
                  <w:noWrap/>
                  <w:vAlign w:val="center"/>
                </w:tcPr>
                <w:p w14:paraId="5FFEF00F">
                  <w:pPr>
                    <w:jc w:val="center"/>
                    <w:textAlignment w:val="center"/>
                    <w:rPr>
                      <w:rFonts w:hint="eastAsia" w:cs="Times New Roman"/>
                      <w:color w:val="auto"/>
                      <w:sz w:val="21"/>
                      <w:szCs w:val="21"/>
                      <w:highlight w:val="none"/>
                      <w:u w:val="none" w:color="auto"/>
                      <w:lang w:eastAsia="zh-CN" w:bidi="ar"/>
                    </w:rPr>
                  </w:pPr>
                  <w:r>
                    <w:rPr>
                      <w:rFonts w:hint="eastAsia" w:cs="Times New Roman"/>
                      <w:color w:val="auto"/>
                      <w:sz w:val="21"/>
                      <w:szCs w:val="21"/>
                      <w:highlight w:val="none"/>
                      <w:u w:val="none" w:color="auto"/>
                      <w:lang w:eastAsia="zh-CN" w:bidi="ar"/>
                    </w:rPr>
                    <w:t>边角料或不合格产品</w:t>
                  </w:r>
                </w:p>
              </w:tc>
              <w:tc>
                <w:tcPr>
                  <w:tcW w:w="1860" w:type="dxa"/>
                  <w:tcBorders>
                    <w:right w:val="single" w:color="auto" w:sz="12" w:space="0"/>
                  </w:tcBorders>
                  <w:noWrap/>
                  <w:vAlign w:val="center"/>
                </w:tcPr>
                <w:p w14:paraId="28F1FD22">
                  <w:pPr>
                    <w:jc w:val="center"/>
                    <w:textAlignment w:val="center"/>
                    <w:rPr>
                      <w:rFonts w:hint="default" w:cs="Times New Roman"/>
                      <w:color w:val="auto"/>
                      <w:sz w:val="21"/>
                      <w:szCs w:val="21"/>
                      <w:highlight w:val="none"/>
                      <w:u w:val="none" w:color="auto"/>
                      <w:lang w:val="en-US" w:eastAsia="zh-CN" w:bidi="ar"/>
                    </w:rPr>
                  </w:pPr>
                  <w:r>
                    <w:rPr>
                      <w:rFonts w:hint="eastAsia" w:cs="Times New Roman"/>
                      <w:color w:val="auto"/>
                      <w:sz w:val="21"/>
                      <w:szCs w:val="21"/>
                      <w:highlight w:val="none"/>
                      <w:u w:val="none" w:color="auto"/>
                      <w:lang w:val="en-US" w:eastAsia="zh-CN" w:bidi="ar"/>
                    </w:rPr>
                    <w:t>1.5</w:t>
                  </w:r>
                </w:p>
              </w:tc>
            </w:tr>
            <w:tr w14:paraId="7D116BC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42" w:type="dxa"/>
                  <w:tcBorders>
                    <w:left w:val="single" w:color="auto" w:sz="4" w:space="0"/>
                  </w:tcBorders>
                  <w:vAlign w:val="center"/>
                </w:tcPr>
                <w:p w14:paraId="4CEA2B1C">
                  <w:pPr>
                    <w:jc w:val="center"/>
                    <w:rPr>
                      <w:rFonts w:hint="default" w:ascii="Times New Roman" w:hAnsi="Times New Roman" w:eastAsia="宋体" w:cs="Times New Roman"/>
                      <w:color w:val="auto"/>
                      <w:sz w:val="21"/>
                      <w:szCs w:val="21"/>
                      <w:highlight w:val="none"/>
                      <w:u w:val="none" w:color="auto"/>
                    </w:rPr>
                  </w:pPr>
                </w:p>
              </w:tc>
              <w:tc>
                <w:tcPr>
                  <w:tcW w:w="1837" w:type="dxa"/>
                  <w:noWrap/>
                  <w:vAlign w:val="center"/>
                </w:tcPr>
                <w:p w14:paraId="41BDDA52">
                  <w:pPr>
                    <w:jc w:val="center"/>
                    <w:textAlignment w:val="center"/>
                    <w:rPr>
                      <w:rFonts w:hint="default" w:ascii="Times New Roman" w:hAnsi="Times New Roman" w:eastAsia="宋体" w:cs="Times New Roman"/>
                      <w:color w:val="auto"/>
                      <w:sz w:val="21"/>
                      <w:szCs w:val="21"/>
                      <w:highlight w:val="none"/>
                      <w:u w:val="none" w:color="auto"/>
                      <w:lang w:val="en-US" w:eastAsia="zh-CN" w:bidi="ar"/>
                    </w:rPr>
                  </w:pPr>
                </w:p>
              </w:tc>
              <w:tc>
                <w:tcPr>
                  <w:tcW w:w="2453" w:type="dxa"/>
                  <w:noWrap/>
                  <w:vAlign w:val="center"/>
                </w:tcPr>
                <w:p w14:paraId="23913A84">
                  <w:pPr>
                    <w:jc w:val="center"/>
                    <w:textAlignment w:val="center"/>
                    <w:rPr>
                      <w:rFonts w:hint="eastAsia" w:cs="Times New Roman"/>
                      <w:color w:val="auto"/>
                      <w:sz w:val="21"/>
                      <w:szCs w:val="21"/>
                      <w:highlight w:val="none"/>
                      <w:u w:val="none" w:color="auto"/>
                      <w:lang w:eastAsia="zh-CN" w:bidi="ar"/>
                    </w:rPr>
                  </w:pPr>
                  <w:r>
                    <w:rPr>
                      <w:rFonts w:hint="eastAsia" w:cs="Times New Roman"/>
                      <w:color w:val="auto"/>
                      <w:sz w:val="21"/>
                      <w:szCs w:val="21"/>
                      <w:highlight w:val="none"/>
                      <w:u w:val="none" w:color="auto"/>
                      <w:lang w:eastAsia="zh-CN" w:bidi="ar"/>
                    </w:rPr>
                    <w:t>废弃食用油脂</w:t>
                  </w:r>
                </w:p>
              </w:tc>
              <w:tc>
                <w:tcPr>
                  <w:tcW w:w="1860" w:type="dxa"/>
                  <w:tcBorders>
                    <w:right w:val="single" w:color="auto" w:sz="12" w:space="0"/>
                  </w:tcBorders>
                  <w:noWrap/>
                  <w:vAlign w:val="center"/>
                </w:tcPr>
                <w:p w14:paraId="12E96B7E">
                  <w:pPr>
                    <w:jc w:val="center"/>
                    <w:textAlignment w:val="center"/>
                    <w:rPr>
                      <w:rFonts w:hint="default" w:cs="Times New Roman"/>
                      <w:color w:val="auto"/>
                      <w:sz w:val="21"/>
                      <w:szCs w:val="21"/>
                      <w:highlight w:val="none"/>
                      <w:u w:val="none" w:color="auto"/>
                      <w:lang w:val="en-US" w:eastAsia="zh-CN" w:bidi="ar"/>
                    </w:rPr>
                  </w:pPr>
                  <w:r>
                    <w:rPr>
                      <w:rFonts w:hint="eastAsia" w:cs="Times New Roman"/>
                      <w:color w:val="auto"/>
                      <w:sz w:val="21"/>
                      <w:szCs w:val="21"/>
                      <w:highlight w:val="none"/>
                      <w:u w:val="none" w:color="auto"/>
                      <w:lang w:val="en-US" w:eastAsia="zh-CN" w:bidi="ar"/>
                    </w:rPr>
                    <w:t>28</w:t>
                  </w:r>
                </w:p>
              </w:tc>
            </w:tr>
            <w:tr w14:paraId="1CF2A03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242" w:type="dxa"/>
                  <w:tcBorders>
                    <w:left w:val="single" w:color="auto" w:sz="4" w:space="0"/>
                  </w:tcBorders>
                  <w:vAlign w:val="center"/>
                </w:tcPr>
                <w:p w14:paraId="0CCEEC61">
                  <w:pPr>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总投入</w:t>
                  </w:r>
                </w:p>
              </w:tc>
              <w:tc>
                <w:tcPr>
                  <w:tcW w:w="1837" w:type="dxa"/>
                  <w:noWrap/>
                  <w:vAlign w:val="center"/>
                </w:tcPr>
                <w:p w14:paraId="0C3098F9">
                  <w:pPr>
                    <w:jc w:val="center"/>
                    <w:textAlignment w:val="center"/>
                    <w:rPr>
                      <w:rFonts w:hint="default" w:ascii="Times New Roman" w:hAnsi="Times New Roman" w:eastAsia="宋体" w:cs="Times New Roman"/>
                      <w:color w:val="auto"/>
                      <w:sz w:val="21"/>
                      <w:szCs w:val="21"/>
                      <w:highlight w:val="none"/>
                      <w:u w:val="none" w:color="auto"/>
                      <w:lang w:val="en-US" w:eastAsia="zh-CN" w:bidi="ar"/>
                    </w:rPr>
                  </w:pPr>
                  <w:r>
                    <w:rPr>
                      <w:rFonts w:hint="eastAsia" w:cs="Times New Roman"/>
                      <w:color w:val="auto"/>
                      <w:sz w:val="21"/>
                      <w:szCs w:val="21"/>
                      <w:highlight w:val="none"/>
                      <w:u w:val="none" w:color="auto"/>
                      <w:lang w:val="en-US" w:eastAsia="zh-CN" w:bidi="ar"/>
                    </w:rPr>
                    <w:t>655.964</w:t>
                  </w:r>
                </w:p>
              </w:tc>
              <w:tc>
                <w:tcPr>
                  <w:tcW w:w="2453" w:type="dxa"/>
                  <w:noWrap/>
                  <w:vAlign w:val="center"/>
                </w:tcPr>
                <w:p w14:paraId="39DB1538">
                  <w:pPr>
                    <w:jc w:val="center"/>
                    <w:textAlignment w:val="center"/>
                    <w:rPr>
                      <w:rFonts w:hint="default" w:ascii="Times New Roman" w:hAnsi="Times New Roman" w:eastAsia="宋体" w:cs="Times New Roman"/>
                      <w:color w:val="auto"/>
                      <w:sz w:val="21"/>
                      <w:szCs w:val="21"/>
                      <w:highlight w:val="none"/>
                      <w:u w:val="none" w:color="auto"/>
                      <w:lang w:bidi="ar"/>
                    </w:rPr>
                  </w:pPr>
                  <w:r>
                    <w:rPr>
                      <w:rFonts w:hint="default" w:ascii="Times New Roman" w:hAnsi="Times New Roman" w:eastAsia="宋体" w:cs="Times New Roman"/>
                      <w:color w:val="auto"/>
                      <w:sz w:val="21"/>
                      <w:szCs w:val="21"/>
                      <w:highlight w:val="none"/>
                      <w:u w:val="none" w:color="auto"/>
                      <w:lang w:bidi="ar"/>
                    </w:rPr>
                    <w:t>总产出</w:t>
                  </w:r>
                </w:p>
              </w:tc>
              <w:tc>
                <w:tcPr>
                  <w:tcW w:w="1860" w:type="dxa"/>
                  <w:tcBorders>
                    <w:right w:val="single" w:color="auto" w:sz="12" w:space="0"/>
                  </w:tcBorders>
                  <w:noWrap/>
                  <w:vAlign w:val="center"/>
                </w:tcPr>
                <w:p w14:paraId="41CDCFE4">
                  <w:pPr>
                    <w:jc w:val="center"/>
                    <w:textAlignment w:val="center"/>
                    <w:rPr>
                      <w:rFonts w:hint="default" w:ascii="Times New Roman" w:hAnsi="Times New Roman" w:eastAsia="宋体" w:cs="Times New Roman"/>
                      <w:color w:val="auto"/>
                      <w:sz w:val="21"/>
                      <w:szCs w:val="21"/>
                      <w:highlight w:val="none"/>
                      <w:u w:val="none" w:color="auto"/>
                      <w:lang w:val="en-US" w:eastAsia="zh-CN" w:bidi="ar"/>
                    </w:rPr>
                  </w:pPr>
                  <w:r>
                    <w:rPr>
                      <w:rFonts w:hint="eastAsia" w:cs="Times New Roman"/>
                      <w:color w:val="auto"/>
                      <w:sz w:val="21"/>
                      <w:szCs w:val="21"/>
                      <w:highlight w:val="none"/>
                      <w:u w:val="none" w:color="auto"/>
                      <w:lang w:val="en-US" w:eastAsia="zh-CN" w:bidi="ar"/>
                    </w:rPr>
                    <w:t>6555.964</w:t>
                  </w:r>
                </w:p>
              </w:tc>
            </w:tr>
          </w:tbl>
          <w:p w14:paraId="0CF138BC">
            <w:pPr>
              <w:spacing w:line="500" w:lineRule="exact"/>
              <w:rPr>
                <w:rFonts w:hint="default" w:ascii="Times New Roman" w:hAnsi="Times New Roman" w:eastAsia="宋体" w:cs="Times New Roman"/>
                <w:b/>
                <w:color w:val="auto"/>
                <w:highlight w:val="none"/>
                <w:u w:val="none" w:color="auto"/>
              </w:rPr>
            </w:pPr>
          </w:p>
        </w:tc>
      </w:tr>
      <w:tr w14:paraId="4C6783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251" w:type="pct"/>
            <w:vAlign w:val="center"/>
          </w:tcPr>
          <w:p w14:paraId="26CF27DB">
            <w:pPr>
              <w:pStyle w:val="40"/>
              <w:adjustRightInd w:val="0"/>
              <w:snapToGrid w:val="0"/>
              <w:spacing w:before="0" w:beforeAutospacing="0" w:after="0" w:afterAutospacing="0"/>
              <w:jc w:val="center"/>
              <w:rPr>
                <w:rFonts w:hint="default" w:ascii="Times New Roman" w:hAnsi="Times New Roman" w:eastAsia="宋体" w:cs="Times New Roman"/>
                <w:color w:val="auto"/>
                <w:szCs w:val="24"/>
                <w:highlight w:val="none"/>
                <w:u w:val="none" w:color="auto"/>
              </w:rPr>
            </w:pPr>
            <w:r>
              <w:rPr>
                <w:rFonts w:hint="default" w:ascii="Times New Roman" w:hAnsi="Times New Roman" w:eastAsia="宋体" w:cs="Times New Roman"/>
                <w:bCs/>
                <w:color w:val="auto"/>
                <w:kern w:val="2"/>
                <w:szCs w:val="24"/>
                <w:highlight w:val="none"/>
                <w:u w:val="none" w:color="auto"/>
              </w:rPr>
              <w:t>与项目有关的原有环境污染问题</w:t>
            </w:r>
          </w:p>
        </w:tc>
        <w:tc>
          <w:tcPr>
            <w:tcW w:w="4748" w:type="pct"/>
          </w:tcPr>
          <w:p w14:paraId="3BBDF29B">
            <w:pPr>
              <w:adjustRightInd w:val="0"/>
              <w:snapToGrid w:val="0"/>
              <w:spacing w:line="360" w:lineRule="auto"/>
              <w:ind w:firstLine="480" w:firstLineChars="200"/>
              <w:rPr>
                <w:rFonts w:hint="default" w:ascii="Times New Roman" w:hAnsi="Times New Roman" w:eastAsia="宋体" w:cs="Times New Roman"/>
                <w:color w:val="auto"/>
                <w:u w:val="none" w:color="auto"/>
              </w:rPr>
            </w:pPr>
          </w:p>
          <w:p w14:paraId="1A2CC679">
            <w:pPr>
              <w:adjustRightInd w:val="0"/>
              <w:snapToGrid w:val="0"/>
              <w:spacing w:line="360" w:lineRule="auto"/>
              <w:ind w:firstLine="480" w:firstLineChars="200"/>
              <w:rPr>
                <w:rFonts w:hint="default" w:ascii="Times New Roman" w:hAnsi="Times New Roman" w:eastAsia="宋体" w:cs="Times New Roman"/>
                <w:color w:val="auto"/>
                <w:u w:val="none" w:color="auto"/>
              </w:rPr>
            </w:pPr>
          </w:p>
          <w:p w14:paraId="4131F615">
            <w:pPr>
              <w:adjustRightInd w:val="0"/>
              <w:snapToGrid w:val="0"/>
              <w:spacing w:line="360" w:lineRule="auto"/>
              <w:ind w:firstLine="480" w:firstLineChars="200"/>
              <w:rPr>
                <w:rFonts w:hint="default" w:ascii="Times New Roman" w:hAnsi="Times New Roman" w:eastAsia="宋体" w:cs="Times New Roman"/>
                <w:color w:val="auto"/>
                <w:kern w:val="0"/>
                <w:sz w:val="24"/>
                <w:szCs w:val="24"/>
                <w:u w:val="none" w:color="auto"/>
                <w:lang w:val="en-US" w:eastAsia="zh-CN" w:bidi="ar"/>
              </w:rPr>
            </w:pPr>
            <w:r>
              <w:rPr>
                <w:rFonts w:hint="default" w:ascii="Times New Roman" w:hAnsi="Times New Roman" w:eastAsia="宋体" w:cs="Times New Roman"/>
                <w:color w:val="auto"/>
                <w:u w:val="none" w:color="auto"/>
              </w:rPr>
              <w:t>本项目为新建项目，</w:t>
            </w:r>
            <w:r>
              <w:rPr>
                <w:rFonts w:hint="eastAsia" w:cs="Times New Roman"/>
                <w:color w:val="auto"/>
                <w:u w:val="none" w:color="auto"/>
                <w:lang w:val="en-US" w:eastAsia="zh-CN"/>
              </w:rPr>
              <w:t>项目所在地原为林地，无原有环境污染问题。</w:t>
            </w:r>
          </w:p>
        </w:tc>
      </w:tr>
    </w:tbl>
    <w:p w14:paraId="1DBB20E0">
      <w:pPr>
        <w:pStyle w:val="40"/>
        <w:jc w:val="center"/>
        <w:rPr>
          <w:rFonts w:hint="default" w:ascii="Times New Roman" w:hAnsi="Times New Roman" w:eastAsia="宋体" w:cs="Times New Roman"/>
          <w:snapToGrid w:val="0"/>
          <w:color w:val="auto"/>
          <w:sz w:val="36"/>
          <w:szCs w:val="36"/>
          <w:highlight w:val="none"/>
          <w:u w:val="none" w:color="auto"/>
        </w:rPr>
        <w:sectPr>
          <w:footerReference r:id="rId6" w:type="default"/>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0395B8DF">
      <w:pPr>
        <w:pStyle w:val="40"/>
        <w:adjustRightInd w:val="0"/>
        <w:snapToGrid w:val="0"/>
        <w:spacing w:before="0" w:beforeAutospacing="0" w:after="0" w:afterAutospacing="0" w:line="14" w:lineRule="auto"/>
        <w:jc w:val="center"/>
        <w:rPr>
          <w:rFonts w:hint="default" w:ascii="Times New Roman" w:hAnsi="Times New Roman" w:eastAsia="宋体" w:cs="Times New Roman"/>
          <w:snapToGrid w:val="0"/>
          <w:color w:val="auto"/>
          <w:sz w:val="30"/>
          <w:szCs w:val="30"/>
          <w:highlight w:val="none"/>
          <w:u w:val="none" w:color="auto"/>
        </w:rPr>
      </w:pPr>
    </w:p>
    <w:p w14:paraId="47601F5F">
      <w:pPr>
        <w:pStyle w:val="8"/>
        <w:bidi w:val="0"/>
        <w:rPr>
          <w:rFonts w:hint="default" w:ascii="Times New Roman" w:hAnsi="Times New Roman" w:eastAsia="宋体" w:cs="Times New Roman"/>
          <w:color w:val="auto"/>
          <w:highlight w:val="none"/>
          <w:u w:val="none" w:color="auto"/>
        </w:rPr>
      </w:pPr>
      <w:bookmarkStart w:id="9" w:name="_Toc22688"/>
      <w:r>
        <w:rPr>
          <w:rFonts w:hint="default" w:ascii="Times New Roman" w:hAnsi="Times New Roman" w:eastAsia="宋体" w:cs="Times New Roman"/>
          <w:color w:val="auto"/>
          <w:highlight w:val="none"/>
          <w:u w:val="none" w:color="auto"/>
        </w:rPr>
        <w:t>三、区域环境质量现状、环境保护目标及评价标准</w:t>
      </w:r>
      <w:bookmarkEnd w:id="9"/>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5"/>
        <w:gridCol w:w="8256"/>
      </w:tblGrid>
      <w:tr w14:paraId="63B74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vAlign w:val="center"/>
          </w:tcPr>
          <w:p w14:paraId="79EC8F21">
            <w:pPr>
              <w:adjustRightInd w:val="0"/>
              <w:snapToGrid w:val="0"/>
              <w:jc w:val="center"/>
              <w:rPr>
                <w:rFonts w:hint="default" w:ascii="Times New Roman" w:hAnsi="Times New Roman" w:eastAsia="宋体" w:cs="Times New Roman"/>
                <w:color w:val="auto"/>
                <w:kern w:val="0"/>
                <w:szCs w:val="21"/>
                <w:highlight w:val="none"/>
                <w:u w:val="none" w:color="auto"/>
              </w:rPr>
            </w:pPr>
            <w:r>
              <w:rPr>
                <w:rFonts w:hint="default" w:ascii="Times New Roman" w:hAnsi="Times New Roman" w:eastAsia="宋体" w:cs="Times New Roman"/>
                <w:color w:val="auto"/>
                <w:kern w:val="0"/>
                <w:szCs w:val="21"/>
                <w:highlight w:val="none"/>
                <w:u w:val="none" w:color="auto"/>
              </w:rPr>
              <w:t>区域</w:t>
            </w:r>
          </w:p>
          <w:p w14:paraId="186345F8">
            <w:pPr>
              <w:adjustRightInd w:val="0"/>
              <w:snapToGrid w:val="0"/>
              <w:jc w:val="center"/>
              <w:rPr>
                <w:rFonts w:hint="default" w:ascii="Times New Roman" w:hAnsi="Times New Roman" w:eastAsia="宋体" w:cs="Times New Roman"/>
                <w:color w:val="auto"/>
                <w:kern w:val="0"/>
                <w:szCs w:val="21"/>
                <w:highlight w:val="none"/>
                <w:u w:val="none" w:color="auto"/>
              </w:rPr>
            </w:pPr>
            <w:r>
              <w:rPr>
                <w:rFonts w:hint="default" w:ascii="Times New Roman" w:hAnsi="Times New Roman" w:eastAsia="宋体" w:cs="Times New Roman"/>
                <w:color w:val="auto"/>
                <w:kern w:val="0"/>
                <w:szCs w:val="21"/>
                <w:highlight w:val="none"/>
                <w:u w:val="none" w:color="auto"/>
              </w:rPr>
              <w:t>环境</w:t>
            </w:r>
          </w:p>
          <w:p w14:paraId="643AE344">
            <w:pPr>
              <w:adjustRightInd w:val="0"/>
              <w:snapToGrid w:val="0"/>
              <w:jc w:val="center"/>
              <w:rPr>
                <w:rFonts w:hint="default" w:ascii="Times New Roman" w:hAnsi="Times New Roman" w:eastAsia="宋体" w:cs="Times New Roman"/>
                <w:color w:val="auto"/>
                <w:kern w:val="0"/>
                <w:szCs w:val="21"/>
                <w:highlight w:val="none"/>
                <w:u w:val="none" w:color="auto"/>
              </w:rPr>
            </w:pPr>
            <w:r>
              <w:rPr>
                <w:rFonts w:hint="default" w:ascii="Times New Roman" w:hAnsi="Times New Roman" w:eastAsia="宋体" w:cs="Times New Roman"/>
                <w:color w:val="auto"/>
                <w:kern w:val="0"/>
                <w:szCs w:val="21"/>
                <w:highlight w:val="none"/>
                <w:u w:val="none" w:color="auto"/>
              </w:rPr>
              <w:t>质量</w:t>
            </w:r>
          </w:p>
          <w:p w14:paraId="50A6EDFF">
            <w:pPr>
              <w:adjustRightInd w:val="0"/>
              <w:snapToGrid w:val="0"/>
              <w:jc w:val="center"/>
              <w:rPr>
                <w:rFonts w:hint="default" w:ascii="Times New Roman" w:hAnsi="Times New Roman" w:eastAsia="宋体" w:cs="Times New Roman"/>
                <w:color w:val="auto"/>
                <w:kern w:val="0"/>
                <w:szCs w:val="21"/>
                <w:highlight w:val="none"/>
                <w:u w:val="none" w:color="auto"/>
              </w:rPr>
            </w:pPr>
            <w:r>
              <w:rPr>
                <w:rFonts w:hint="default" w:ascii="Times New Roman" w:hAnsi="Times New Roman" w:eastAsia="宋体" w:cs="Times New Roman"/>
                <w:color w:val="auto"/>
                <w:kern w:val="0"/>
                <w:szCs w:val="21"/>
                <w:highlight w:val="none"/>
                <w:u w:val="none" w:color="auto"/>
              </w:rPr>
              <w:t>现状</w:t>
            </w:r>
          </w:p>
        </w:tc>
        <w:tc>
          <w:tcPr>
            <w:tcW w:w="4555" w:type="pct"/>
          </w:tcPr>
          <w:p w14:paraId="2D91215E">
            <w:pPr>
              <w:spacing w:line="500" w:lineRule="exact"/>
              <w:ind w:firstLine="482" w:firstLineChars="200"/>
              <w:rPr>
                <w:rFonts w:hint="default" w:ascii="Times New Roman" w:hAnsi="Times New Roman" w:eastAsia="宋体" w:cs="Times New Roman"/>
                <w:b/>
                <w:color w:val="auto"/>
                <w:highlight w:val="none"/>
                <w:u w:val="none" w:color="auto"/>
              </w:rPr>
            </w:pPr>
            <w:r>
              <w:rPr>
                <w:rFonts w:hint="default" w:ascii="Times New Roman" w:hAnsi="Times New Roman" w:eastAsia="宋体" w:cs="Times New Roman"/>
                <w:b/>
                <w:color w:val="auto"/>
                <w:highlight w:val="none"/>
                <w:u w:val="none" w:color="auto"/>
              </w:rPr>
              <w:t>一、环境空气质量现状</w:t>
            </w:r>
          </w:p>
          <w:p w14:paraId="713ED4E1">
            <w:pPr>
              <w:spacing w:line="500" w:lineRule="exact"/>
              <w:ind w:firstLine="480" w:firstLineChars="20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（1）区域达标情况</w:t>
            </w:r>
          </w:p>
          <w:p w14:paraId="4B930BD7">
            <w:pPr>
              <w:pStyle w:val="104"/>
              <w:spacing w:line="500" w:lineRule="exact"/>
              <w:jc w:val="both"/>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根据《建设项目环境影响报告表编制技术指南（污染影响类）（试行）》规定：</w:t>
            </w:r>
            <w:r>
              <w:rPr>
                <w:rFonts w:hint="default" w:ascii="Times New Roman" w:hAnsi="Times New Roman" w:eastAsia="宋体" w:cs="Times New Roman"/>
                <w:color w:val="auto"/>
                <w:highlight w:val="none"/>
                <w:u w:val="none" w:color="auto"/>
                <w:lang w:eastAsia="zh-CN"/>
              </w:rPr>
              <w:t>“</w:t>
            </w:r>
            <w:r>
              <w:rPr>
                <w:rFonts w:hint="default" w:ascii="Times New Roman" w:hAnsi="Times New Roman" w:eastAsia="宋体" w:cs="Times New Roman"/>
                <w:color w:val="auto"/>
                <w:highlight w:val="none"/>
                <w:u w:val="none" w:color="auto"/>
              </w:rPr>
              <w:t>常规污染物引用与建设项目距离近的有效数据，包括近3年的规划环境影响评价的监测数据，国家、地方环境空气质量监测网数据或生态环境主管部门公开发布的质量数据等。</w:t>
            </w:r>
            <w:r>
              <w:rPr>
                <w:rFonts w:hint="default" w:ascii="Times New Roman" w:hAnsi="Times New Roman" w:eastAsia="宋体" w:cs="Times New Roman"/>
                <w:color w:val="auto"/>
                <w:highlight w:val="none"/>
                <w:u w:val="none" w:color="auto"/>
                <w:lang w:eastAsia="zh-CN"/>
              </w:rPr>
              <w:t>”</w:t>
            </w:r>
            <w:r>
              <w:rPr>
                <w:rFonts w:hint="default" w:ascii="Times New Roman" w:hAnsi="Times New Roman" w:eastAsia="宋体" w:cs="Times New Roman"/>
                <w:color w:val="auto"/>
                <w:highlight w:val="none"/>
                <w:u w:val="none" w:color="auto"/>
              </w:rPr>
              <w:t>。</w:t>
            </w:r>
          </w:p>
          <w:p w14:paraId="5195854F">
            <w:pPr>
              <w:spacing w:line="500" w:lineRule="exact"/>
              <w:ind w:firstLine="480" w:firstLineChars="200"/>
              <w:rPr>
                <w:rFonts w:hint="default" w:ascii="Times New Roman" w:hAnsi="Times New Roman" w:eastAsia="宋体" w:cs="Times New Roman"/>
                <w:color w:val="auto"/>
                <w:highlight w:val="none"/>
                <w:u w:val="none" w:color="auto"/>
              </w:rPr>
            </w:pPr>
            <w:r>
              <w:rPr>
                <w:rFonts w:hint="eastAsia" w:cs="Times New Roman"/>
                <w:color w:val="auto"/>
                <w:highlight w:val="none"/>
                <w:u w:val="none" w:color="auto"/>
                <w:lang w:val="en-US" w:eastAsia="zh-CN"/>
              </w:rPr>
              <w:t>根据岳阳市生态环境局公开发布的《岳阳市2024年度生态环境质量公报》</w:t>
            </w:r>
            <w:r>
              <w:rPr>
                <w:rFonts w:hint="default" w:ascii="Times New Roman" w:hAnsi="Times New Roman" w:cs="Times New Roman"/>
                <w:color w:val="auto"/>
                <w:sz w:val="24"/>
                <w:szCs w:val="24"/>
                <w:u w:val="none" w:color="auto"/>
                <w:lang w:val="en-US" w:eastAsia="zh-CN"/>
              </w:rPr>
              <w:t>，</w:t>
            </w:r>
            <w:r>
              <w:rPr>
                <w:rFonts w:hint="eastAsia" w:cs="Times New Roman"/>
                <w:color w:val="auto"/>
                <w:sz w:val="24"/>
                <w:szCs w:val="24"/>
                <w:u w:val="none" w:color="auto"/>
                <w:lang w:val="en-US" w:eastAsia="zh-CN"/>
              </w:rPr>
              <w:t>汨罗市2024年环境空气质量数据</w:t>
            </w:r>
            <w:r>
              <w:rPr>
                <w:rFonts w:hint="default" w:ascii="Times New Roman" w:hAnsi="Times New Roman" w:cs="Times New Roman"/>
                <w:color w:val="auto"/>
                <w:sz w:val="24"/>
                <w:szCs w:val="24"/>
                <w:u w:val="none" w:color="auto"/>
                <w:lang w:val="en-US" w:eastAsia="zh-CN"/>
              </w:rPr>
              <w:t>统计结果如下。</w:t>
            </w:r>
          </w:p>
          <w:p w14:paraId="6C974D2C">
            <w:pPr>
              <w:spacing w:before="120" w:beforeLines="50"/>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表3-1  202</w:t>
            </w:r>
            <w:r>
              <w:rPr>
                <w:rFonts w:hint="eastAsia" w:cs="Times New Roman"/>
                <w:b/>
                <w:color w:val="auto"/>
                <w:sz w:val="21"/>
                <w:szCs w:val="21"/>
                <w:highlight w:val="none"/>
                <w:u w:val="none" w:color="auto"/>
                <w:lang w:val="en-US" w:eastAsia="zh-CN"/>
              </w:rPr>
              <w:t>4</w:t>
            </w:r>
            <w:r>
              <w:rPr>
                <w:rFonts w:hint="default" w:ascii="Times New Roman" w:hAnsi="Times New Roman" w:eastAsia="宋体" w:cs="Times New Roman"/>
                <w:b/>
                <w:color w:val="auto"/>
                <w:sz w:val="21"/>
                <w:szCs w:val="21"/>
                <w:highlight w:val="none"/>
                <w:u w:val="none" w:color="auto"/>
              </w:rPr>
              <w:t>年区域环境空气质量现状评价表</w:t>
            </w:r>
          </w:p>
          <w:tbl>
            <w:tblPr>
              <w:tblStyle w:val="4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827"/>
              <w:gridCol w:w="838"/>
              <w:gridCol w:w="1986"/>
              <w:gridCol w:w="1301"/>
              <w:gridCol w:w="1301"/>
              <w:gridCol w:w="870"/>
              <w:gridCol w:w="887"/>
            </w:tblGrid>
            <w:tr w14:paraId="75A6E1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516" w:type="pct"/>
                  <w:tcBorders>
                    <w:tl2br w:val="nil"/>
                    <w:tr2bl w:val="nil"/>
                  </w:tcBorders>
                  <w:vAlign w:val="center"/>
                </w:tcPr>
                <w:p w14:paraId="0A8D9D6F">
                  <w:pPr>
                    <w:pStyle w:val="283"/>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所在</w:t>
                  </w:r>
                </w:p>
                <w:p w14:paraId="552C0001">
                  <w:pPr>
                    <w:pStyle w:val="283"/>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区域</w:t>
                  </w:r>
                </w:p>
              </w:tc>
              <w:tc>
                <w:tcPr>
                  <w:tcW w:w="523" w:type="pct"/>
                  <w:tcBorders>
                    <w:tl2br w:val="nil"/>
                    <w:tr2bl w:val="nil"/>
                  </w:tcBorders>
                  <w:vAlign w:val="center"/>
                </w:tcPr>
                <w:p w14:paraId="62EA51E6">
                  <w:pPr>
                    <w:pStyle w:val="283"/>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监测</w:t>
                  </w:r>
                </w:p>
                <w:p w14:paraId="0614F390">
                  <w:pPr>
                    <w:pStyle w:val="283"/>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项目</w:t>
                  </w:r>
                </w:p>
              </w:tc>
              <w:tc>
                <w:tcPr>
                  <w:tcW w:w="1239" w:type="pct"/>
                  <w:tcBorders>
                    <w:tl2br w:val="nil"/>
                    <w:tr2bl w:val="nil"/>
                  </w:tcBorders>
                  <w:vAlign w:val="center"/>
                </w:tcPr>
                <w:p w14:paraId="6E943328">
                  <w:pPr>
                    <w:pStyle w:val="283"/>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年评价指标</w:t>
                  </w:r>
                </w:p>
              </w:tc>
              <w:tc>
                <w:tcPr>
                  <w:tcW w:w="1301" w:type="dxa"/>
                  <w:tcBorders>
                    <w:tl2br w:val="nil"/>
                    <w:tr2bl w:val="nil"/>
                  </w:tcBorders>
                  <w:vAlign w:val="center"/>
                </w:tcPr>
                <w:p w14:paraId="570B08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cs="Times New Roman"/>
                      <w:color w:val="auto"/>
                      <w:sz w:val="21"/>
                      <w:szCs w:val="21"/>
                      <w:u w:val="none" w:color="auto"/>
                      <w:vertAlign w:val="baseline"/>
                      <w:lang w:val="en-US" w:eastAsia="zh-CN" w:bidi="ar-SA"/>
                    </w:rPr>
                    <w:t>现状浓度（ug/m</w:t>
                  </w:r>
                  <w:r>
                    <w:rPr>
                      <w:rFonts w:hint="default" w:ascii="Times New Roman" w:hAnsi="Times New Roman" w:cs="Times New Roman"/>
                      <w:color w:val="auto"/>
                      <w:sz w:val="21"/>
                      <w:szCs w:val="21"/>
                      <w:u w:val="none" w:color="auto"/>
                      <w:vertAlign w:val="superscript"/>
                      <w:lang w:val="en-US" w:eastAsia="zh-CN" w:bidi="ar-SA"/>
                    </w:rPr>
                    <w:t>3</w:t>
                  </w:r>
                  <w:r>
                    <w:rPr>
                      <w:rFonts w:hint="default" w:ascii="Times New Roman" w:hAnsi="Times New Roman" w:cs="Times New Roman"/>
                      <w:color w:val="auto"/>
                      <w:sz w:val="21"/>
                      <w:szCs w:val="21"/>
                      <w:u w:val="none" w:color="auto"/>
                      <w:vertAlign w:val="baseline"/>
                      <w:lang w:val="en-US" w:eastAsia="zh-CN" w:bidi="ar-SA"/>
                    </w:rPr>
                    <w:t>）</w:t>
                  </w:r>
                </w:p>
              </w:tc>
              <w:tc>
                <w:tcPr>
                  <w:tcW w:w="1301" w:type="dxa"/>
                  <w:tcBorders>
                    <w:tl2br w:val="nil"/>
                    <w:tr2bl w:val="nil"/>
                  </w:tcBorders>
                  <w:vAlign w:val="center"/>
                </w:tcPr>
                <w:p w14:paraId="76CB826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cs="Times New Roman"/>
                      <w:color w:val="auto"/>
                      <w:sz w:val="21"/>
                      <w:szCs w:val="21"/>
                      <w:u w:val="none" w:color="auto"/>
                      <w:vertAlign w:val="baseline"/>
                      <w:lang w:val="en-US" w:eastAsia="zh-CN" w:bidi="ar-SA"/>
                    </w:rPr>
                    <w:t>标准值（ug/m</w:t>
                  </w:r>
                  <w:r>
                    <w:rPr>
                      <w:rFonts w:hint="default" w:ascii="Times New Roman" w:hAnsi="Times New Roman" w:cs="Times New Roman"/>
                      <w:color w:val="auto"/>
                      <w:sz w:val="21"/>
                      <w:szCs w:val="21"/>
                      <w:u w:val="none" w:color="auto"/>
                      <w:vertAlign w:val="superscript"/>
                      <w:lang w:val="en-US" w:eastAsia="zh-CN" w:bidi="ar-SA"/>
                    </w:rPr>
                    <w:t>3</w:t>
                  </w:r>
                  <w:r>
                    <w:rPr>
                      <w:rFonts w:hint="default" w:ascii="Times New Roman" w:hAnsi="Times New Roman" w:cs="Times New Roman"/>
                      <w:color w:val="auto"/>
                      <w:sz w:val="21"/>
                      <w:szCs w:val="21"/>
                      <w:u w:val="none" w:color="auto"/>
                      <w:vertAlign w:val="baseline"/>
                      <w:lang w:val="en-US" w:eastAsia="zh-CN" w:bidi="ar-SA"/>
                    </w:rPr>
                    <w:t>）</w:t>
                  </w:r>
                </w:p>
              </w:tc>
              <w:tc>
                <w:tcPr>
                  <w:tcW w:w="870" w:type="dxa"/>
                  <w:tcBorders>
                    <w:tl2br w:val="nil"/>
                    <w:tr2bl w:val="nil"/>
                  </w:tcBorders>
                  <w:vAlign w:val="center"/>
                </w:tcPr>
                <w:p w14:paraId="2D0ED9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cs="Times New Roman"/>
                      <w:color w:val="auto"/>
                      <w:sz w:val="21"/>
                      <w:szCs w:val="21"/>
                      <w:u w:val="none" w:color="auto"/>
                      <w:vertAlign w:val="baseline"/>
                      <w:lang w:val="en-US" w:eastAsia="zh-CN" w:bidi="ar-SA"/>
                    </w:rPr>
                    <w:t>占标率（%）</w:t>
                  </w:r>
                </w:p>
              </w:tc>
              <w:tc>
                <w:tcPr>
                  <w:tcW w:w="887" w:type="dxa"/>
                  <w:tcBorders>
                    <w:tl2br w:val="nil"/>
                    <w:tr2bl w:val="nil"/>
                  </w:tcBorders>
                  <w:vAlign w:val="center"/>
                </w:tcPr>
                <w:p w14:paraId="08CFE0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cs="Times New Roman"/>
                      <w:color w:val="auto"/>
                      <w:sz w:val="21"/>
                      <w:szCs w:val="21"/>
                      <w:u w:val="none" w:color="auto"/>
                      <w:vertAlign w:val="baseline"/>
                      <w:lang w:val="en-US" w:eastAsia="zh-CN" w:bidi="ar-SA"/>
                    </w:rPr>
                    <w:t>达标情况</w:t>
                  </w:r>
                </w:p>
              </w:tc>
            </w:tr>
            <w:tr w14:paraId="2486FE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516" w:type="pct"/>
                  <w:vMerge w:val="restart"/>
                  <w:tcBorders>
                    <w:tl2br w:val="nil"/>
                    <w:tr2bl w:val="nil"/>
                  </w:tcBorders>
                  <w:vAlign w:val="center"/>
                </w:tcPr>
                <w:p w14:paraId="0CC22DFE">
                  <w:pPr>
                    <w:pStyle w:val="283"/>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汨罗市</w:t>
                  </w:r>
                </w:p>
              </w:tc>
              <w:tc>
                <w:tcPr>
                  <w:tcW w:w="523" w:type="pct"/>
                  <w:tcBorders>
                    <w:tl2br w:val="nil"/>
                    <w:tr2bl w:val="nil"/>
                  </w:tcBorders>
                  <w:vAlign w:val="center"/>
                </w:tcPr>
                <w:p w14:paraId="37165750">
                  <w:pPr>
                    <w:pStyle w:val="283"/>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SO</w:t>
                  </w:r>
                  <w:r>
                    <w:rPr>
                      <w:rFonts w:hint="default" w:ascii="Times New Roman" w:hAnsi="Times New Roman" w:eastAsia="宋体" w:cs="Times New Roman"/>
                      <w:color w:val="auto"/>
                      <w:sz w:val="21"/>
                      <w:szCs w:val="21"/>
                      <w:highlight w:val="none"/>
                      <w:u w:val="none" w:color="auto"/>
                      <w:vertAlign w:val="subscript"/>
                    </w:rPr>
                    <w:t>2</w:t>
                  </w:r>
                </w:p>
              </w:tc>
              <w:tc>
                <w:tcPr>
                  <w:tcW w:w="1239" w:type="pct"/>
                  <w:tcBorders>
                    <w:tl2br w:val="nil"/>
                    <w:tr2bl w:val="nil"/>
                  </w:tcBorders>
                  <w:vAlign w:val="center"/>
                </w:tcPr>
                <w:p w14:paraId="4FD9B0D6">
                  <w:pPr>
                    <w:pStyle w:val="283"/>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年平均质量浓度</w:t>
                  </w:r>
                </w:p>
              </w:tc>
              <w:tc>
                <w:tcPr>
                  <w:tcW w:w="1301" w:type="dxa"/>
                  <w:tcBorders>
                    <w:tl2br w:val="nil"/>
                    <w:tr2bl w:val="nil"/>
                  </w:tcBorders>
                  <w:vAlign w:val="center"/>
                </w:tcPr>
                <w:p w14:paraId="704DC6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cs="Times New Roman"/>
                      <w:color w:val="auto"/>
                      <w:sz w:val="21"/>
                      <w:szCs w:val="21"/>
                      <w:u w:val="none" w:color="auto"/>
                      <w:vertAlign w:val="baseline"/>
                      <w:lang w:val="en-US" w:eastAsia="zh-CN" w:bidi="ar-SA"/>
                    </w:rPr>
                    <w:t>5</w:t>
                  </w:r>
                </w:p>
              </w:tc>
              <w:tc>
                <w:tcPr>
                  <w:tcW w:w="1301" w:type="dxa"/>
                  <w:tcBorders>
                    <w:tl2br w:val="nil"/>
                    <w:tr2bl w:val="nil"/>
                  </w:tcBorders>
                  <w:vAlign w:val="center"/>
                </w:tcPr>
                <w:p w14:paraId="7D2E40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cs="Times New Roman"/>
                      <w:color w:val="auto"/>
                      <w:sz w:val="21"/>
                      <w:szCs w:val="21"/>
                      <w:u w:val="none" w:color="auto"/>
                      <w:vertAlign w:val="baseline"/>
                      <w:lang w:val="en-US" w:eastAsia="zh-CN" w:bidi="ar-SA"/>
                    </w:rPr>
                    <w:t>60</w:t>
                  </w:r>
                </w:p>
              </w:tc>
              <w:tc>
                <w:tcPr>
                  <w:tcW w:w="870" w:type="dxa"/>
                  <w:tcBorders>
                    <w:tl2br w:val="nil"/>
                    <w:tr2bl w:val="nil"/>
                  </w:tcBorders>
                  <w:vAlign w:val="center"/>
                </w:tcPr>
                <w:p w14:paraId="078602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cs="Times New Roman"/>
                      <w:color w:val="auto"/>
                      <w:sz w:val="21"/>
                      <w:szCs w:val="21"/>
                      <w:u w:val="none" w:color="auto"/>
                      <w:vertAlign w:val="baseline"/>
                      <w:lang w:val="en-US" w:eastAsia="zh-CN" w:bidi="ar-SA"/>
                    </w:rPr>
                    <w:t>8.3</w:t>
                  </w:r>
                </w:p>
              </w:tc>
              <w:tc>
                <w:tcPr>
                  <w:tcW w:w="887" w:type="dxa"/>
                  <w:tcBorders>
                    <w:tl2br w:val="nil"/>
                    <w:tr2bl w:val="nil"/>
                  </w:tcBorders>
                  <w:vAlign w:val="center"/>
                </w:tcPr>
                <w:p w14:paraId="0912D5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cs="Times New Roman"/>
                      <w:color w:val="auto"/>
                      <w:sz w:val="21"/>
                      <w:szCs w:val="21"/>
                      <w:u w:val="none" w:color="auto"/>
                      <w:vertAlign w:val="baseline"/>
                      <w:lang w:val="en-US" w:eastAsia="zh-CN" w:bidi="ar-SA"/>
                    </w:rPr>
                    <w:t>达标</w:t>
                  </w:r>
                </w:p>
              </w:tc>
            </w:tr>
            <w:tr w14:paraId="21D266C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12" w:hRule="atLeast"/>
                <w:jc w:val="center"/>
              </w:trPr>
              <w:tc>
                <w:tcPr>
                  <w:tcW w:w="516" w:type="pct"/>
                  <w:vMerge w:val="continue"/>
                  <w:tcBorders>
                    <w:tl2br w:val="nil"/>
                    <w:tr2bl w:val="nil"/>
                  </w:tcBorders>
                  <w:vAlign w:val="center"/>
                </w:tcPr>
                <w:p w14:paraId="3F5822C7">
                  <w:pPr>
                    <w:pStyle w:val="283"/>
                    <w:rPr>
                      <w:rFonts w:hint="default" w:ascii="Times New Roman" w:hAnsi="Times New Roman" w:eastAsia="宋体" w:cs="Times New Roman"/>
                      <w:color w:val="auto"/>
                      <w:sz w:val="21"/>
                      <w:szCs w:val="21"/>
                      <w:highlight w:val="none"/>
                      <w:u w:val="none" w:color="auto"/>
                    </w:rPr>
                  </w:pPr>
                </w:p>
              </w:tc>
              <w:tc>
                <w:tcPr>
                  <w:tcW w:w="523" w:type="pct"/>
                  <w:tcBorders>
                    <w:tl2br w:val="nil"/>
                    <w:tr2bl w:val="nil"/>
                  </w:tcBorders>
                  <w:vAlign w:val="center"/>
                </w:tcPr>
                <w:p w14:paraId="27D9DF4F">
                  <w:pPr>
                    <w:pStyle w:val="283"/>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NO</w:t>
                  </w:r>
                  <w:r>
                    <w:rPr>
                      <w:rFonts w:hint="default" w:ascii="Times New Roman" w:hAnsi="Times New Roman" w:eastAsia="宋体" w:cs="Times New Roman"/>
                      <w:color w:val="auto"/>
                      <w:sz w:val="21"/>
                      <w:szCs w:val="21"/>
                      <w:highlight w:val="none"/>
                      <w:u w:val="none" w:color="auto"/>
                      <w:vertAlign w:val="subscript"/>
                    </w:rPr>
                    <w:t>2</w:t>
                  </w:r>
                </w:p>
              </w:tc>
              <w:tc>
                <w:tcPr>
                  <w:tcW w:w="1239" w:type="pct"/>
                  <w:tcBorders>
                    <w:tl2br w:val="nil"/>
                    <w:tr2bl w:val="nil"/>
                  </w:tcBorders>
                  <w:vAlign w:val="center"/>
                </w:tcPr>
                <w:p w14:paraId="3261EB02">
                  <w:pPr>
                    <w:pStyle w:val="283"/>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年平均质量浓度</w:t>
                  </w:r>
                </w:p>
              </w:tc>
              <w:tc>
                <w:tcPr>
                  <w:tcW w:w="1301" w:type="dxa"/>
                  <w:tcBorders>
                    <w:tl2br w:val="nil"/>
                    <w:tr2bl w:val="nil"/>
                  </w:tcBorders>
                  <w:vAlign w:val="center"/>
                </w:tcPr>
                <w:p w14:paraId="6D80D0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cs="Times New Roman"/>
                      <w:color w:val="auto"/>
                      <w:sz w:val="21"/>
                      <w:szCs w:val="21"/>
                      <w:u w:val="none" w:color="auto"/>
                      <w:vertAlign w:val="baseline"/>
                      <w:lang w:val="en-US" w:eastAsia="zh-CN" w:bidi="ar-SA"/>
                    </w:rPr>
                    <w:t>14</w:t>
                  </w:r>
                </w:p>
              </w:tc>
              <w:tc>
                <w:tcPr>
                  <w:tcW w:w="1301" w:type="dxa"/>
                  <w:tcBorders>
                    <w:tl2br w:val="nil"/>
                    <w:tr2bl w:val="nil"/>
                  </w:tcBorders>
                  <w:vAlign w:val="center"/>
                </w:tcPr>
                <w:p w14:paraId="4782C2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cs="Times New Roman"/>
                      <w:color w:val="auto"/>
                      <w:sz w:val="21"/>
                      <w:szCs w:val="21"/>
                      <w:u w:val="none" w:color="auto"/>
                      <w:vertAlign w:val="baseline"/>
                      <w:lang w:val="en-US" w:eastAsia="zh-CN" w:bidi="ar-SA"/>
                    </w:rPr>
                    <w:t>40</w:t>
                  </w:r>
                </w:p>
              </w:tc>
              <w:tc>
                <w:tcPr>
                  <w:tcW w:w="870" w:type="dxa"/>
                  <w:tcBorders>
                    <w:tl2br w:val="nil"/>
                    <w:tr2bl w:val="nil"/>
                  </w:tcBorders>
                  <w:vAlign w:val="center"/>
                </w:tcPr>
                <w:p w14:paraId="3C6849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cs="Times New Roman"/>
                      <w:color w:val="auto"/>
                      <w:sz w:val="21"/>
                      <w:szCs w:val="21"/>
                      <w:u w:val="none" w:color="auto"/>
                      <w:vertAlign w:val="baseline"/>
                      <w:lang w:val="en-US" w:eastAsia="zh-CN" w:bidi="ar-SA"/>
                    </w:rPr>
                    <w:t>35.0</w:t>
                  </w:r>
                </w:p>
              </w:tc>
              <w:tc>
                <w:tcPr>
                  <w:tcW w:w="887" w:type="dxa"/>
                  <w:tcBorders>
                    <w:tl2br w:val="nil"/>
                    <w:tr2bl w:val="nil"/>
                  </w:tcBorders>
                  <w:vAlign w:val="center"/>
                </w:tcPr>
                <w:p w14:paraId="1BDABF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cs="Times New Roman"/>
                      <w:color w:val="auto"/>
                      <w:sz w:val="21"/>
                      <w:szCs w:val="21"/>
                      <w:u w:val="none" w:color="auto"/>
                      <w:vertAlign w:val="baseline"/>
                      <w:lang w:val="en-US" w:eastAsia="zh-CN" w:bidi="ar-SA"/>
                    </w:rPr>
                    <w:t>达标</w:t>
                  </w:r>
                </w:p>
              </w:tc>
            </w:tr>
            <w:tr w14:paraId="6AC06A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6" w:type="pct"/>
                  <w:vMerge w:val="continue"/>
                  <w:tcBorders>
                    <w:tl2br w:val="nil"/>
                    <w:tr2bl w:val="nil"/>
                  </w:tcBorders>
                  <w:vAlign w:val="center"/>
                </w:tcPr>
                <w:p w14:paraId="3C569954">
                  <w:pPr>
                    <w:pStyle w:val="283"/>
                    <w:rPr>
                      <w:rFonts w:hint="default" w:ascii="Times New Roman" w:hAnsi="Times New Roman" w:eastAsia="宋体" w:cs="Times New Roman"/>
                      <w:color w:val="auto"/>
                      <w:sz w:val="21"/>
                      <w:szCs w:val="21"/>
                      <w:highlight w:val="none"/>
                      <w:u w:val="none" w:color="auto"/>
                    </w:rPr>
                  </w:pPr>
                </w:p>
              </w:tc>
              <w:tc>
                <w:tcPr>
                  <w:tcW w:w="523" w:type="pct"/>
                  <w:tcBorders>
                    <w:tl2br w:val="nil"/>
                    <w:tr2bl w:val="nil"/>
                  </w:tcBorders>
                  <w:vAlign w:val="center"/>
                </w:tcPr>
                <w:p w14:paraId="4E9E22B9">
                  <w:pPr>
                    <w:pStyle w:val="283"/>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PM</w:t>
                  </w:r>
                  <w:r>
                    <w:rPr>
                      <w:rFonts w:hint="default" w:ascii="Times New Roman" w:hAnsi="Times New Roman" w:eastAsia="宋体" w:cs="Times New Roman"/>
                      <w:color w:val="auto"/>
                      <w:sz w:val="21"/>
                      <w:szCs w:val="21"/>
                      <w:highlight w:val="none"/>
                      <w:u w:val="none" w:color="auto"/>
                      <w:vertAlign w:val="subscript"/>
                    </w:rPr>
                    <w:t>10</w:t>
                  </w:r>
                </w:p>
              </w:tc>
              <w:tc>
                <w:tcPr>
                  <w:tcW w:w="1239" w:type="pct"/>
                  <w:tcBorders>
                    <w:tl2br w:val="nil"/>
                    <w:tr2bl w:val="nil"/>
                  </w:tcBorders>
                  <w:vAlign w:val="center"/>
                </w:tcPr>
                <w:p w14:paraId="40F9C839">
                  <w:pPr>
                    <w:pStyle w:val="283"/>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年平均质量浓度</w:t>
                  </w:r>
                </w:p>
              </w:tc>
              <w:tc>
                <w:tcPr>
                  <w:tcW w:w="1301" w:type="dxa"/>
                  <w:tcBorders>
                    <w:tl2br w:val="nil"/>
                    <w:tr2bl w:val="nil"/>
                  </w:tcBorders>
                  <w:vAlign w:val="center"/>
                </w:tcPr>
                <w:p w14:paraId="6847ED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eastAsia" w:cs="Times New Roman"/>
                      <w:color w:val="auto"/>
                      <w:sz w:val="21"/>
                      <w:szCs w:val="21"/>
                      <w:u w:val="none" w:color="auto"/>
                      <w:vertAlign w:val="baseline"/>
                      <w:lang w:val="en-US" w:eastAsia="zh-CN" w:bidi="ar-SA"/>
                    </w:rPr>
                    <w:t>47</w:t>
                  </w:r>
                </w:p>
              </w:tc>
              <w:tc>
                <w:tcPr>
                  <w:tcW w:w="1301" w:type="dxa"/>
                  <w:tcBorders>
                    <w:tl2br w:val="nil"/>
                    <w:tr2bl w:val="nil"/>
                  </w:tcBorders>
                  <w:vAlign w:val="center"/>
                </w:tcPr>
                <w:p w14:paraId="1AC1C9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cs="Times New Roman"/>
                      <w:color w:val="auto"/>
                      <w:sz w:val="21"/>
                      <w:szCs w:val="21"/>
                      <w:u w:val="none" w:color="auto"/>
                      <w:vertAlign w:val="baseline"/>
                      <w:lang w:val="en-US" w:eastAsia="zh-CN" w:bidi="ar-SA"/>
                    </w:rPr>
                    <w:t>70</w:t>
                  </w:r>
                </w:p>
              </w:tc>
              <w:tc>
                <w:tcPr>
                  <w:tcW w:w="870" w:type="dxa"/>
                  <w:tcBorders>
                    <w:tl2br w:val="nil"/>
                    <w:tr2bl w:val="nil"/>
                  </w:tcBorders>
                  <w:vAlign w:val="center"/>
                </w:tcPr>
                <w:p w14:paraId="2867F6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eastAsia" w:cs="Times New Roman"/>
                      <w:color w:val="auto"/>
                      <w:sz w:val="21"/>
                      <w:szCs w:val="21"/>
                      <w:u w:val="none" w:color="auto"/>
                      <w:vertAlign w:val="baseline"/>
                      <w:lang w:val="en-US" w:eastAsia="zh-CN" w:bidi="ar-SA"/>
                    </w:rPr>
                    <w:t>67.1</w:t>
                  </w:r>
                </w:p>
              </w:tc>
              <w:tc>
                <w:tcPr>
                  <w:tcW w:w="887" w:type="dxa"/>
                  <w:tcBorders>
                    <w:tl2br w:val="nil"/>
                    <w:tr2bl w:val="nil"/>
                  </w:tcBorders>
                  <w:vAlign w:val="center"/>
                </w:tcPr>
                <w:p w14:paraId="38D1CE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cs="Times New Roman"/>
                      <w:color w:val="auto"/>
                      <w:sz w:val="21"/>
                      <w:szCs w:val="21"/>
                      <w:u w:val="none" w:color="auto"/>
                      <w:vertAlign w:val="baseline"/>
                      <w:lang w:val="en-US" w:eastAsia="zh-CN" w:bidi="ar-SA"/>
                    </w:rPr>
                    <w:t>达标</w:t>
                  </w:r>
                </w:p>
              </w:tc>
            </w:tr>
            <w:tr w14:paraId="546039A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7" w:hRule="atLeast"/>
                <w:jc w:val="center"/>
              </w:trPr>
              <w:tc>
                <w:tcPr>
                  <w:tcW w:w="516" w:type="pct"/>
                  <w:vMerge w:val="continue"/>
                  <w:tcBorders>
                    <w:tl2br w:val="nil"/>
                    <w:tr2bl w:val="nil"/>
                  </w:tcBorders>
                  <w:vAlign w:val="center"/>
                </w:tcPr>
                <w:p w14:paraId="177F4968">
                  <w:pPr>
                    <w:pStyle w:val="283"/>
                    <w:rPr>
                      <w:rFonts w:hint="default" w:ascii="Times New Roman" w:hAnsi="Times New Roman" w:eastAsia="宋体" w:cs="Times New Roman"/>
                      <w:color w:val="auto"/>
                      <w:sz w:val="21"/>
                      <w:szCs w:val="21"/>
                      <w:highlight w:val="none"/>
                      <w:u w:val="none" w:color="auto"/>
                    </w:rPr>
                  </w:pPr>
                </w:p>
              </w:tc>
              <w:tc>
                <w:tcPr>
                  <w:tcW w:w="523" w:type="pct"/>
                  <w:tcBorders>
                    <w:tl2br w:val="nil"/>
                    <w:tr2bl w:val="nil"/>
                  </w:tcBorders>
                  <w:vAlign w:val="center"/>
                </w:tcPr>
                <w:p w14:paraId="7DFD3554">
                  <w:pPr>
                    <w:pStyle w:val="283"/>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PM</w:t>
                  </w:r>
                  <w:r>
                    <w:rPr>
                      <w:rFonts w:hint="default" w:ascii="Times New Roman" w:hAnsi="Times New Roman" w:eastAsia="宋体" w:cs="Times New Roman"/>
                      <w:color w:val="auto"/>
                      <w:sz w:val="21"/>
                      <w:szCs w:val="21"/>
                      <w:highlight w:val="none"/>
                      <w:u w:val="none" w:color="auto"/>
                      <w:vertAlign w:val="subscript"/>
                    </w:rPr>
                    <w:t>2.5</w:t>
                  </w:r>
                </w:p>
              </w:tc>
              <w:tc>
                <w:tcPr>
                  <w:tcW w:w="1239" w:type="pct"/>
                  <w:tcBorders>
                    <w:tl2br w:val="nil"/>
                    <w:tr2bl w:val="nil"/>
                  </w:tcBorders>
                  <w:vAlign w:val="center"/>
                </w:tcPr>
                <w:p w14:paraId="2C47C847">
                  <w:pPr>
                    <w:pStyle w:val="283"/>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年平均质量浓度</w:t>
                  </w:r>
                </w:p>
              </w:tc>
              <w:tc>
                <w:tcPr>
                  <w:tcW w:w="1301" w:type="dxa"/>
                  <w:tcBorders>
                    <w:tl2br w:val="nil"/>
                    <w:tr2bl w:val="nil"/>
                  </w:tcBorders>
                  <w:vAlign w:val="center"/>
                </w:tcPr>
                <w:p w14:paraId="6B2DED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eastAsia" w:cs="Times New Roman"/>
                      <w:color w:val="auto"/>
                      <w:sz w:val="21"/>
                      <w:szCs w:val="21"/>
                      <w:u w:val="none" w:color="auto"/>
                      <w:vertAlign w:val="baseline"/>
                      <w:lang w:val="en-US" w:eastAsia="zh-CN" w:bidi="ar-SA"/>
                    </w:rPr>
                    <w:t>34</w:t>
                  </w:r>
                </w:p>
              </w:tc>
              <w:tc>
                <w:tcPr>
                  <w:tcW w:w="1301" w:type="dxa"/>
                  <w:tcBorders>
                    <w:tl2br w:val="nil"/>
                    <w:tr2bl w:val="nil"/>
                  </w:tcBorders>
                  <w:vAlign w:val="center"/>
                </w:tcPr>
                <w:p w14:paraId="36006A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sz w:val="21"/>
                      <w:szCs w:val="21"/>
                      <w:highlight w:val="none"/>
                      <w:u w:val="none" w:color="auto"/>
                      <w:lang w:eastAsia="zh-CN"/>
                    </w:rPr>
                  </w:pPr>
                  <w:r>
                    <w:rPr>
                      <w:rFonts w:hint="default" w:ascii="Times New Roman" w:hAnsi="Times New Roman" w:cs="Times New Roman"/>
                      <w:color w:val="auto"/>
                      <w:sz w:val="21"/>
                      <w:szCs w:val="21"/>
                      <w:u w:val="none" w:color="auto"/>
                      <w:vertAlign w:val="baseline"/>
                      <w:lang w:val="en-US" w:eastAsia="zh-CN" w:bidi="ar-SA"/>
                    </w:rPr>
                    <w:t>35</w:t>
                  </w:r>
                </w:p>
              </w:tc>
              <w:tc>
                <w:tcPr>
                  <w:tcW w:w="870" w:type="dxa"/>
                  <w:tcBorders>
                    <w:tl2br w:val="nil"/>
                    <w:tr2bl w:val="nil"/>
                  </w:tcBorders>
                  <w:vAlign w:val="center"/>
                </w:tcPr>
                <w:p w14:paraId="1BDEE8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eastAsia" w:cs="Times New Roman"/>
                      <w:color w:val="auto"/>
                      <w:sz w:val="21"/>
                      <w:szCs w:val="21"/>
                      <w:u w:val="none" w:color="auto"/>
                      <w:vertAlign w:val="baseline"/>
                      <w:lang w:val="en-US" w:eastAsia="zh-CN" w:bidi="ar-SA"/>
                    </w:rPr>
                    <w:t>97.1</w:t>
                  </w:r>
                </w:p>
              </w:tc>
              <w:tc>
                <w:tcPr>
                  <w:tcW w:w="887" w:type="dxa"/>
                  <w:tcBorders>
                    <w:tl2br w:val="nil"/>
                    <w:tr2bl w:val="nil"/>
                  </w:tcBorders>
                  <w:vAlign w:val="center"/>
                </w:tcPr>
                <w:p w14:paraId="4A95D5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cs="Times New Roman"/>
                      <w:color w:val="auto"/>
                      <w:sz w:val="21"/>
                      <w:szCs w:val="21"/>
                      <w:u w:val="none" w:color="auto"/>
                      <w:vertAlign w:val="baseline"/>
                      <w:lang w:val="en-US" w:eastAsia="zh-CN" w:bidi="ar-SA"/>
                    </w:rPr>
                    <w:t>达标</w:t>
                  </w:r>
                </w:p>
              </w:tc>
            </w:tr>
            <w:tr w14:paraId="5D011B5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516" w:type="pct"/>
                  <w:vMerge w:val="continue"/>
                  <w:tcBorders>
                    <w:tl2br w:val="nil"/>
                    <w:tr2bl w:val="nil"/>
                  </w:tcBorders>
                  <w:vAlign w:val="center"/>
                </w:tcPr>
                <w:p w14:paraId="6CD5F004">
                  <w:pPr>
                    <w:pStyle w:val="283"/>
                    <w:rPr>
                      <w:rFonts w:hint="default" w:ascii="Times New Roman" w:hAnsi="Times New Roman" w:eastAsia="宋体" w:cs="Times New Roman"/>
                      <w:color w:val="auto"/>
                      <w:sz w:val="21"/>
                      <w:szCs w:val="21"/>
                      <w:highlight w:val="none"/>
                      <w:u w:val="none" w:color="auto"/>
                    </w:rPr>
                  </w:pPr>
                </w:p>
              </w:tc>
              <w:tc>
                <w:tcPr>
                  <w:tcW w:w="523" w:type="pct"/>
                  <w:tcBorders>
                    <w:tl2br w:val="nil"/>
                    <w:tr2bl w:val="nil"/>
                  </w:tcBorders>
                  <w:vAlign w:val="center"/>
                </w:tcPr>
                <w:p w14:paraId="19342925">
                  <w:pPr>
                    <w:pStyle w:val="283"/>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CO</w:t>
                  </w:r>
                </w:p>
              </w:tc>
              <w:tc>
                <w:tcPr>
                  <w:tcW w:w="1239" w:type="pct"/>
                  <w:tcBorders>
                    <w:tl2br w:val="nil"/>
                    <w:tr2bl w:val="nil"/>
                  </w:tcBorders>
                  <w:vAlign w:val="center"/>
                </w:tcPr>
                <w:p w14:paraId="72D187DF">
                  <w:pPr>
                    <w:pStyle w:val="283"/>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95百分位数日平均质量浓度</w:t>
                  </w:r>
                </w:p>
              </w:tc>
              <w:tc>
                <w:tcPr>
                  <w:tcW w:w="1301" w:type="dxa"/>
                  <w:tcBorders>
                    <w:tl2br w:val="nil"/>
                    <w:tr2bl w:val="nil"/>
                  </w:tcBorders>
                  <w:vAlign w:val="center"/>
                </w:tcPr>
                <w:p w14:paraId="676452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eastAsia" w:cs="Times New Roman"/>
                      <w:color w:val="auto"/>
                      <w:sz w:val="21"/>
                      <w:szCs w:val="21"/>
                      <w:u w:val="none" w:color="auto"/>
                      <w:vertAlign w:val="baseline"/>
                      <w:lang w:val="en-US" w:eastAsia="zh-CN" w:bidi="ar-SA"/>
                    </w:rPr>
                    <w:t>1000</w:t>
                  </w:r>
                </w:p>
              </w:tc>
              <w:tc>
                <w:tcPr>
                  <w:tcW w:w="1301" w:type="dxa"/>
                  <w:tcBorders>
                    <w:tl2br w:val="nil"/>
                    <w:tr2bl w:val="nil"/>
                  </w:tcBorders>
                  <w:vAlign w:val="center"/>
                </w:tcPr>
                <w:p w14:paraId="444F07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cs="Times New Roman"/>
                      <w:color w:val="auto"/>
                      <w:sz w:val="21"/>
                      <w:szCs w:val="21"/>
                      <w:u w:val="none" w:color="auto"/>
                      <w:vertAlign w:val="baseline"/>
                      <w:lang w:val="en-US" w:eastAsia="zh-CN" w:bidi="ar-SA"/>
                    </w:rPr>
                    <w:t>4000</w:t>
                  </w:r>
                </w:p>
              </w:tc>
              <w:tc>
                <w:tcPr>
                  <w:tcW w:w="870" w:type="dxa"/>
                  <w:tcBorders>
                    <w:tl2br w:val="nil"/>
                    <w:tr2bl w:val="nil"/>
                  </w:tcBorders>
                  <w:vAlign w:val="center"/>
                </w:tcPr>
                <w:p w14:paraId="2B4DA5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eastAsia" w:cs="Times New Roman"/>
                      <w:color w:val="auto"/>
                      <w:sz w:val="21"/>
                      <w:szCs w:val="21"/>
                      <w:u w:val="none" w:color="auto"/>
                      <w:vertAlign w:val="baseline"/>
                      <w:lang w:val="en-US" w:eastAsia="zh-CN" w:bidi="ar-SA"/>
                    </w:rPr>
                    <w:t>25</w:t>
                  </w:r>
                </w:p>
              </w:tc>
              <w:tc>
                <w:tcPr>
                  <w:tcW w:w="887" w:type="dxa"/>
                  <w:tcBorders>
                    <w:tl2br w:val="nil"/>
                    <w:tr2bl w:val="nil"/>
                  </w:tcBorders>
                  <w:vAlign w:val="center"/>
                </w:tcPr>
                <w:p w14:paraId="787CA9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cs="Times New Roman"/>
                      <w:color w:val="auto"/>
                      <w:sz w:val="21"/>
                      <w:szCs w:val="21"/>
                      <w:u w:val="none" w:color="auto"/>
                      <w:vertAlign w:val="baseline"/>
                      <w:lang w:val="en-US" w:eastAsia="zh-CN" w:bidi="ar-SA"/>
                    </w:rPr>
                    <w:t>达标</w:t>
                  </w:r>
                </w:p>
              </w:tc>
            </w:tr>
            <w:tr w14:paraId="421299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516" w:type="pct"/>
                  <w:vMerge w:val="continue"/>
                  <w:tcBorders>
                    <w:tl2br w:val="nil"/>
                    <w:tr2bl w:val="nil"/>
                  </w:tcBorders>
                  <w:vAlign w:val="center"/>
                </w:tcPr>
                <w:p w14:paraId="6E051558">
                  <w:pPr>
                    <w:pStyle w:val="283"/>
                    <w:rPr>
                      <w:rFonts w:hint="default" w:ascii="Times New Roman" w:hAnsi="Times New Roman" w:eastAsia="宋体" w:cs="Times New Roman"/>
                      <w:color w:val="auto"/>
                      <w:sz w:val="21"/>
                      <w:szCs w:val="21"/>
                      <w:highlight w:val="none"/>
                      <w:u w:val="none" w:color="auto"/>
                    </w:rPr>
                  </w:pPr>
                </w:p>
              </w:tc>
              <w:tc>
                <w:tcPr>
                  <w:tcW w:w="523" w:type="pct"/>
                  <w:tcBorders>
                    <w:tl2br w:val="nil"/>
                    <w:tr2bl w:val="nil"/>
                  </w:tcBorders>
                  <w:vAlign w:val="center"/>
                </w:tcPr>
                <w:p w14:paraId="7340A9F7">
                  <w:pPr>
                    <w:pStyle w:val="283"/>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O</w:t>
                  </w:r>
                  <w:r>
                    <w:rPr>
                      <w:rFonts w:hint="default" w:ascii="Times New Roman" w:hAnsi="Times New Roman" w:eastAsia="宋体" w:cs="Times New Roman"/>
                      <w:color w:val="auto"/>
                      <w:sz w:val="21"/>
                      <w:szCs w:val="21"/>
                      <w:highlight w:val="none"/>
                      <w:u w:val="none" w:color="auto"/>
                      <w:vertAlign w:val="subscript"/>
                    </w:rPr>
                    <w:t>3</w:t>
                  </w:r>
                </w:p>
              </w:tc>
              <w:tc>
                <w:tcPr>
                  <w:tcW w:w="1239" w:type="pct"/>
                  <w:tcBorders>
                    <w:tl2br w:val="nil"/>
                    <w:tr2bl w:val="nil"/>
                  </w:tcBorders>
                  <w:vAlign w:val="center"/>
                </w:tcPr>
                <w:p w14:paraId="1D45E744">
                  <w:pPr>
                    <w:pStyle w:val="283"/>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90百分位数最大8小时平均质量浓度</w:t>
                  </w:r>
                </w:p>
              </w:tc>
              <w:tc>
                <w:tcPr>
                  <w:tcW w:w="1301" w:type="dxa"/>
                  <w:tcBorders>
                    <w:tl2br w:val="nil"/>
                    <w:tr2bl w:val="nil"/>
                  </w:tcBorders>
                  <w:vAlign w:val="center"/>
                </w:tcPr>
                <w:p w14:paraId="4DD5D9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cs="Times New Roman"/>
                      <w:color w:val="auto"/>
                      <w:sz w:val="21"/>
                      <w:szCs w:val="21"/>
                      <w:u w:val="none" w:color="auto"/>
                      <w:vertAlign w:val="baseline"/>
                      <w:lang w:val="en-US" w:eastAsia="zh-CN" w:bidi="ar-SA"/>
                    </w:rPr>
                    <w:t>13</w:t>
                  </w:r>
                  <w:r>
                    <w:rPr>
                      <w:rFonts w:hint="eastAsia" w:cs="Times New Roman"/>
                      <w:color w:val="auto"/>
                      <w:sz w:val="21"/>
                      <w:szCs w:val="21"/>
                      <w:u w:val="none" w:color="auto"/>
                      <w:vertAlign w:val="baseline"/>
                      <w:lang w:val="en-US" w:eastAsia="zh-CN" w:bidi="ar-SA"/>
                    </w:rPr>
                    <w:t>9</w:t>
                  </w:r>
                </w:p>
              </w:tc>
              <w:tc>
                <w:tcPr>
                  <w:tcW w:w="1301" w:type="dxa"/>
                  <w:tcBorders>
                    <w:tl2br w:val="nil"/>
                    <w:tr2bl w:val="nil"/>
                  </w:tcBorders>
                  <w:vAlign w:val="center"/>
                </w:tcPr>
                <w:p w14:paraId="696490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cs="Times New Roman"/>
                      <w:color w:val="auto"/>
                      <w:sz w:val="21"/>
                      <w:szCs w:val="21"/>
                      <w:u w:val="none" w:color="auto"/>
                      <w:vertAlign w:val="baseline"/>
                      <w:lang w:val="en-US" w:eastAsia="zh-CN" w:bidi="ar-SA"/>
                    </w:rPr>
                    <w:t>160</w:t>
                  </w:r>
                </w:p>
              </w:tc>
              <w:tc>
                <w:tcPr>
                  <w:tcW w:w="870" w:type="dxa"/>
                  <w:tcBorders>
                    <w:tl2br w:val="nil"/>
                    <w:tr2bl w:val="nil"/>
                  </w:tcBorders>
                  <w:vAlign w:val="center"/>
                </w:tcPr>
                <w:p w14:paraId="1176FC2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eastAsia" w:cs="Times New Roman"/>
                      <w:color w:val="auto"/>
                      <w:sz w:val="21"/>
                      <w:szCs w:val="21"/>
                      <w:u w:val="none" w:color="auto"/>
                      <w:vertAlign w:val="baseline"/>
                      <w:lang w:val="en-US" w:eastAsia="zh-CN" w:bidi="ar-SA"/>
                    </w:rPr>
                    <w:t>86.9</w:t>
                  </w:r>
                </w:p>
              </w:tc>
              <w:tc>
                <w:tcPr>
                  <w:tcW w:w="887" w:type="dxa"/>
                  <w:tcBorders>
                    <w:tl2br w:val="nil"/>
                    <w:tr2bl w:val="nil"/>
                  </w:tcBorders>
                  <w:vAlign w:val="center"/>
                </w:tcPr>
                <w:p w14:paraId="2B3EC0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cs="Times New Roman"/>
                      <w:color w:val="auto"/>
                      <w:sz w:val="21"/>
                      <w:szCs w:val="21"/>
                      <w:u w:val="none" w:color="auto"/>
                      <w:vertAlign w:val="baseline"/>
                      <w:lang w:val="en-US" w:eastAsia="zh-CN" w:bidi="ar-SA"/>
                    </w:rPr>
                    <w:t>达标</w:t>
                  </w:r>
                </w:p>
              </w:tc>
            </w:tr>
          </w:tbl>
          <w:p w14:paraId="7099A073">
            <w:pPr>
              <w:pStyle w:val="104"/>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default" w:ascii="Times New Roman" w:hAnsi="Times New Roman" w:eastAsia="宋体" w:cs="Times New Roman"/>
                <w:color w:val="auto"/>
                <w:highlight w:val="none"/>
                <w:u w:val="none" w:color="auto"/>
              </w:rPr>
            </w:pPr>
            <w:r>
              <w:rPr>
                <w:rFonts w:hint="default" w:ascii="Times New Roman" w:hAnsi="Times New Roman" w:cs="Times New Roman"/>
                <w:color w:val="auto"/>
                <w:sz w:val="24"/>
                <w:szCs w:val="24"/>
                <w:u w:val="none" w:color="auto"/>
                <w:lang w:eastAsia="zh-CN"/>
              </w:rPr>
              <w:t>由上表可知，项目所在区域的监测因子均达到《环境空气质量标准》（</w:t>
            </w:r>
            <w:r>
              <w:rPr>
                <w:rFonts w:hint="default" w:ascii="Times New Roman" w:hAnsi="Times New Roman" w:cs="Times New Roman"/>
                <w:color w:val="auto"/>
                <w:sz w:val="24"/>
                <w:szCs w:val="24"/>
                <w:u w:val="none" w:color="auto"/>
                <w:lang w:val="en-US" w:eastAsia="zh-CN"/>
              </w:rPr>
              <w:t>GB3095-2012</w:t>
            </w:r>
            <w:r>
              <w:rPr>
                <w:rFonts w:hint="default" w:ascii="Times New Roman" w:hAnsi="Times New Roman" w:cs="Times New Roman"/>
                <w:color w:val="auto"/>
                <w:sz w:val="24"/>
                <w:szCs w:val="24"/>
                <w:u w:val="none" w:color="auto"/>
                <w:lang w:eastAsia="zh-CN"/>
              </w:rPr>
              <w:t>）二级标准要求，区域环境质量较好，属于达标区。</w:t>
            </w:r>
          </w:p>
          <w:p w14:paraId="68C66A93">
            <w:pPr>
              <w:pStyle w:val="104"/>
              <w:keepNext w:val="0"/>
              <w:keepLines w:val="0"/>
              <w:pageBreakBefore w:val="0"/>
              <w:widowControl w:val="0"/>
              <w:kinsoku/>
              <w:wordWrap/>
              <w:overflowPunct/>
              <w:topLinePunct w:val="0"/>
              <w:autoSpaceDE w:val="0"/>
              <w:autoSpaceDN w:val="0"/>
              <w:bidi w:val="0"/>
              <w:adjustRightInd/>
              <w:snapToGrid/>
              <w:spacing w:line="360" w:lineRule="auto"/>
              <w:jc w:val="both"/>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（2）特征污染物环质量现状评价</w:t>
            </w:r>
          </w:p>
          <w:p w14:paraId="47FA74AB">
            <w:pPr>
              <w:pStyle w:val="104"/>
              <w:spacing w:line="360" w:lineRule="auto"/>
              <w:jc w:val="both"/>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根据《建设项目环境影响报告表编制技术指南 （污染影响类）（试行）》，</w:t>
            </w:r>
            <w:r>
              <w:rPr>
                <w:rFonts w:hint="default" w:ascii="Times New Roman" w:hAnsi="Times New Roman" w:eastAsia="宋体" w:cs="Times New Roman"/>
                <w:color w:val="auto"/>
                <w:highlight w:val="none"/>
                <w:u w:val="none" w:color="auto"/>
                <w:lang w:eastAsia="zh-CN"/>
              </w:rPr>
              <w:t>“</w:t>
            </w:r>
            <w:r>
              <w:rPr>
                <w:rFonts w:hint="default" w:ascii="Times New Roman" w:hAnsi="Times New Roman" w:eastAsia="宋体" w:cs="Times New Roman"/>
                <w:color w:val="auto"/>
                <w:highlight w:val="none"/>
                <w:u w:val="none" w:color="auto"/>
              </w:rPr>
              <w:t>排放国家、地方环境空气质量标准中有标准限值要求的特征污染物时，引用建设项目周边5千米范围内近3年的现有监测数据，无相关数据的选择当季主导风向下风向1个点位补充不少于3天的监测数据。根据建设项目所在环境功能区及适用的国家、地方环境质量标准，以及地方环境质量管理要求评价大气环境质量现状达标情况。</w:t>
            </w:r>
            <w:r>
              <w:rPr>
                <w:rFonts w:hint="default" w:ascii="Times New Roman" w:hAnsi="Times New Roman" w:eastAsia="宋体" w:cs="Times New Roman"/>
                <w:color w:val="auto"/>
                <w:highlight w:val="none"/>
                <w:u w:val="none" w:color="auto"/>
                <w:lang w:eastAsia="zh-CN"/>
              </w:rPr>
              <w:t>”</w:t>
            </w:r>
          </w:p>
          <w:p w14:paraId="3A32C92A">
            <w:pPr>
              <w:pStyle w:val="104"/>
              <w:spacing w:line="360" w:lineRule="auto"/>
              <w:jc w:val="both"/>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根据生态环境部环境工程评估中心发布的</w:t>
            </w:r>
            <w:r>
              <w:rPr>
                <w:rFonts w:hint="default" w:ascii="Times New Roman" w:hAnsi="Times New Roman" w:eastAsia="宋体" w:cs="Times New Roman"/>
                <w:color w:val="auto"/>
                <w:highlight w:val="none"/>
                <w:u w:val="none" w:color="auto"/>
                <w:lang w:eastAsia="zh-CN"/>
              </w:rPr>
              <w:t>“</w:t>
            </w:r>
            <w:r>
              <w:rPr>
                <w:rFonts w:hint="default" w:ascii="Times New Roman" w:hAnsi="Times New Roman" w:eastAsia="宋体" w:cs="Times New Roman"/>
                <w:color w:val="auto"/>
                <w:highlight w:val="none"/>
                <w:u w:val="none" w:color="auto"/>
              </w:rPr>
              <w:t>《建设项目环境影响报告表》内容、格式及编制技术指南常见问题解答</w:t>
            </w:r>
            <w:r>
              <w:rPr>
                <w:rFonts w:hint="default" w:ascii="Times New Roman" w:hAnsi="Times New Roman" w:eastAsia="宋体" w:cs="Times New Roman"/>
                <w:color w:val="auto"/>
                <w:highlight w:val="none"/>
                <w:u w:val="none" w:color="auto"/>
                <w:lang w:eastAsia="zh-CN"/>
              </w:rPr>
              <w:t>”</w:t>
            </w:r>
            <w:r>
              <w:rPr>
                <w:rFonts w:hint="default" w:ascii="Times New Roman" w:hAnsi="Times New Roman" w:eastAsia="宋体" w:cs="Times New Roman"/>
                <w:color w:val="auto"/>
                <w:highlight w:val="none"/>
                <w:u w:val="none" w:color="auto"/>
              </w:rPr>
              <w:t>中提到的</w:t>
            </w:r>
            <w:r>
              <w:rPr>
                <w:rFonts w:hint="default" w:ascii="Times New Roman" w:hAnsi="Times New Roman" w:eastAsia="宋体" w:cs="Times New Roman"/>
                <w:color w:val="auto"/>
                <w:highlight w:val="none"/>
                <w:u w:val="none" w:color="auto"/>
                <w:lang w:eastAsia="zh-CN"/>
              </w:rPr>
              <w:t>“7、污染影响类技术指南中提到‘排放国家、地方环境空气质量标准中有标准限值要求的特征污染物’，其中国家质量标准是否包含《环境影响评价技术导则 大气环境》（HJ2.2-2018）附录D等技术导则和参考资料？”</w:t>
            </w:r>
            <w:r>
              <w:rPr>
                <w:rFonts w:hint="default" w:ascii="Times New Roman" w:hAnsi="Times New Roman" w:eastAsia="宋体" w:cs="Times New Roman"/>
                <w:color w:val="auto"/>
                <w:highlight w:val="none"/>
                <w:u w:val="none" w:color="auto"/>
                <w:lang w:val="en-US" w:eastAsia="zh-CN"/>
              </w:rPr>
              <w:t>的解答“</w:t>
            </w:r>
            <w:r>
              <w:rPr>
                <w:rFonts w:hint="default" w:ascii="Times New Roman" w:hAnsi="Times New Roman" w:eastAsia="宋体" w:cs="Times New Roman"/>
                <w:color w:val="auto"/>
                <w:highlight w:val="none"/>
                <w:u w:val="none" w:color="auto"/>
              </w:rPr>
              <w:t>技术指南中提到</w:t>
            </w:r>
            <w:r>
              <w:rPr>
                <w:rFonts w:hint="default" w:ascii="Times New Roman" w:hAnsi="Times New Roman" w:eastAsia="宋体" w:cs="Times New Roman"/>
                <w:color w:val="auto"/>
                <w:highlight w:val="none"/>
                <w:u w:val="none" w:color="auto"/>
                <w:lang w:eastAsia="zh-CN"/>
              </w:rPr>
              <w:t>‘</w:t>
            </w:r>
            <w:r>
              <w:rPr>
                <w:rFonts w:hint="default" w:ascii="Times New Roman" w:hAnsi="Times New Roman" w:eastAsia="宋体" w:cs="Times New Roman"/>
                <w:color w:val="auto"/>
                <w:highlight w:val="none"/>
                <w:u w:val="none" w:color="auto"/>
              </w:rPr>
              <w:t>排放国家、地方环境空气质量标准中有标准限值要求的特征污染物</w:t>
            </w:r>
            <w:r>
              <w:rPr>
                <w:rFonts w:hint="default" w:ascii="Times New Roman" w:hAnsi="Times New Roman" w:eastAsia="宋体" w:cs="Times New Roman"/>
                <w:color w:val="auto"/>
                <w:highlight w:val="none"/>
                <w:u w:val="none" w:color="auto"/>
                <w:lang w:eastAsia="zh-CN"/>
              </w:rPr>
              <w:t>’</w:t>
            </w:r>
            <w:r>
              <w:rPr>
                <w:rFonts w:hint="default" w:ascii="Times New Roman" w:hAnsi="Times New Roman" w:eastAsia="宋体" w:cs="Times New Roman"/>
                <w:color w:val="auto"/>
                <w:highlight w:val="none"/>
                <w:u w:val="none" w:color="auto"/>
              </w:rPr>
              <w:t>，其中环境空气质量标准指《环境空气质量标准》（GB3095）和地方的环境空气质量标准，不包括《环境影响评价技术导则 大气环境》（HJ2.2-2018）附录D、《工业企业设计卫生标准》（TJ36-97）、《前苏联居住区标准》（CH245-71）、《环境影响评价技术导则 制药建设项目》（HJ611-2011）、《大气污染物综合排放标准详解》等导则或参考资料。排放的特征污染物需要在国家、地方环境空气质量标准中有限值要求才涉及现状监测，且优先引用现有监测数据。</w:t>
            </w:r>
            <w:r>
              <w:rPr>
                <w:rFonts w:hint="default" w:ascii="Times New Roman" w:hAnsi="Times New Roman" w:eastAsia="宋体" w:cs="Times New Roman"/>
                <w:color w:val="auto"/>
                <w:highlight w:val="none"/>
                <w:u w:val="none" w:color="auto"/>
                <w:lang w:eastAsia="zh-CN"/>
              </w:rPr>
              <w:t>”</w:t>
            </w:r>
          </w:p>
          <w:p w14:paraId="044A5073">
            <w:pPr>
              <w:pStyle w:val="104"/>
              <w:spacing w:line="360" w:lineRule="auto"/>
              <w:jc w:val="both"/>
              <w:rPr>
                <w:rFonts w:hint="default" w:ascii="Times New Roman" w:hAnsi="Times New Roman" w:eastAsia="宋体" w:cs="Times New Roman"/>
                <w:color w:val="auto"/>
                <w:highlight w:val="none"/>
                <w:u w:val="none" w:color="auto"/>
                <w:lang w:val="en-US" w:eastAsia="zh-CN"/>
              </w:rPr>
            </w:pPr>
            <w:r>
              <w:rPr>
                <w:rFonts w:hint="eastAsia" w:cs="Times New Roman"/>
                <w:color w:val="auto"/>
                <w:highlight w:val="none"/>
                <w:u w:val="none" w:color="auto"/>
                <w:lang w:eastAsia="zh-CN"/>
              </w:rPr>
              <w:t>本项目产生的</w:t>
            </w:r>
            <w:r>
              <w:rPr>
                <w:rFonts w:hint="eastAsia" w:cs="Times New Roman"/>
                <w:color w:val="auto"/>
                <w:highlight w:val="none"/>
                <w:u w:val="none" w:color="auto"/>
                <w:lang w:val="en-US" w:eastAsia="zh-CN"/>
              </w:rPr>
              <w:t>H</w:t>
            </w:r>
            <w:r>
              <w:rPr>
                <w:rFonts w:hint="eastAsia" w:cs="Times New Roman"/>
                <w:color w:val="auto"/>
                <w:highlight w:val="none"/>
                <w:u w:val="none" w:color="auto"/>
                <w:vertAlign w:val="subscript"/>
                <w:lang w:val="en-US" w:eastAsia="zh-CN"/>
              </w:rPr>
              <w:t>2</w:t>
            </w:r>
            <w:r>
              <w:rPr>
                <w:rFonts w:hint="eastAsia" w:cs="Times New Roman"/>
                <w:color w:val="auto"/>
                <w:highlight w:val="none"/>
                <w:u w:val="none" w:color="auto"/>
                <w:lang w:val="en-US" w:eastAsia="zh-CN"/>
              </w:rPr>
              <w:t>S、NH</w:t>
            </w:r>
            <w:r>
              <w:rPr>
                <w:rFonts w:hint="eastAsia" w:cs="Times New Roman"/>
                <w:color w:val="auto"/>
                <w:highlight w:val="none"/>
                <w:u w:val="none" w:color="auto"/>
                <w:vertAlign w:val="subscript"/>
                <w:lang w:val="en-US" w:eastAsia="zh-CN"/>
              </w:rPr>
              <w:t>3</w:t>
            </w:r>
            <w:r>
              <w:rPr>
                <w:rFonts w:hint="eastAsia" w:cs="Times New Roman"/>
                <w:color w:val="auto"/>
                <w:highlight w:val="none"/>
                <w:u w:val="none" w:color="auto"/>
                <w:lang w:val="en-US" w:eastAsia="zh-CN"/>
              </w:rPr>
              <w:t>无国家、地方环境空气质量标准，故本次重点对NOx及TSP现状质量进行评价。</w:t>
            </w:r>
          </w:p>
          <w:p w14:paraId="1FD5E6E4">
            <w:pPr>
              <w:pStyle w:val="104"/>
              <w:spacing w:line="360" w:lineRule="auto"/>
              <w:jc w:val="both"/>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①</w:t>
            </w:r>
            <w:r>
              <w:rPr>
                <w:rFonts w:hint="default" w:ascii="Times New Roman" w:hAnsi="Times New Roman" w:eastAsia="宋体" w:cs="Times New Roman"/>
                <w:color w:val="auto"/>
                <w:highlight w:val="none"/>
                <w:u w:val="none" w:color="auto"/>
                <w:lang w:val="en-US" w:eastAsia="zh-CN"/>
              </w:rPr>
              <w:t>特征污染物</w:t>
            </w:r>
            <w:r>
              <w:rPr>
                <w:rFonts w:hint="default" w:ascii="Times New Roman" w:hAnsi="Times New Roman" w:eastAsia="宋体" w:cs="Times New Roman"/>
                <w:color w:val="auto"/>
                <w:highlight w:val="none"/>
                <w:u w:val="none" w:color="auto"/>
              </w:rPr>
              <w:t>引用数据</w:t>
            </w:r>
          </w:p>
          <w:p w14:paraId="5E261482">
            <w:pPr>
              <w:pStyle w:val="104"/>
              <w:spacing w:line="360" w:lineRule="auto"/>
              <w:jc w:val="both"/>
              <w:rPr>
                <w:rFonts w:hint="default" w:ascii="Times New Roman" w:hAnsi="Times New Roman" w:eastAsia="宋体" w:cs="Times New Roman"/>
                <w:color w:val="auto"/>
                <w:sz w:val="24"/>
                <w:szCs w:val="24"/>
                <w:u w:val="none" w:color="auto"/>
                <w:lang w:val="en-US" w:eastAsia="zh-CN"/>
              </w:rPr>
            </w:pPr>
            <w:r>
              <w:rPr>
                <w:rFonts w:hint="eastAsia" w:cs="Times New Roman"/>
                <w:color w:val="auto"/>
                <w:sz w:val="24"/>
                <w:szCs w:val="24"/>
                <w:u w:val="none" w:color="auto"/>
                <w:lang w:val="en-US" w:eastAsia="zh-CN"/>
              </w:rPr>
              <w:t>本项目颗粒物引用汨罗市煌达石材装饰有限公司《年精加工8000m</w:t>
            </w:r>
            <w:r>
              <w:rPr>
                <w:rFonts w:hint="eastAsia" w:cs="Times New Roman"/>
                <w:color w:val="auto"/>
                <w:sz w:val="24"/>
                <w:szCs w:val="24"/>
                <w:u w:val="none" w:color="auto"/>
                <w:vertAlign w:val="superscript"/>
                <w:lang w:val="en-US" w:eastAsia="zh-CN"/>
              </w:rPr>
              <w:t>3</w:t>
            </w:r>
            <w:r>
              <w:rPr>
                <w:rFonts w:hint="eastAsia" w:cs="Times New Roman"/>
                <w:color w:val="auto"/>
                <w:sz w:val="24"/>
                <w:szCs w:val="24"/>
                <w:u w:val="none" w:color="auto"/>
                <w:lang w:val="en-US" w:eastAsia="zh-CN"/>
              </w:rPr>
              <w:t>石材改扩建项目环境影响报告表》中委托湖南汨江检测有限公司于2023年11月18日~11月20日在其项目南侧170m处敏感点的监测数据。</w:t>
            </w:r>
          </w:p>
          <w:p w14:paraId="209FD350">
            <w:pPr>
              <w:pStyle w:val="104"/>
              <w:spacing w:line="360" w:lineRule="auto"/>
              <w:jc w:val="both"/>
              <w:rPr>
                <w:rFonts w:hint="default" w:ascii="Times New Roman" w:hAnsi="Times New Roman" w:eastAsia="宋体" w:cs="Times New Roman"/>
                <w:color w:val="auto"/>
                <w:sz w:val="24"/>
                <w:szCs w:val="24"/>
                <w:u w:val="none" w:color="auto"/>
              </w:rPr>
            </w:pPr>
            <w:r>
              <w:rPr>
                <w:rFonts w:hint="default" w:ascii="Times New Roman" w:hAnsi="Times New Roman" w:eastAsia="宋体" w:cs="Times New Roman"/>
                <w:color w:val="auto"/>
                <w:sz w:val="24"/>
                <w:szCs w:val="24"/>
                <w:u w:val="none" w:color="auto"/>
              </w:rPr>
              <w:t>监测点位信息和监测结果具体如表3-2和表3-3所示。</w:t>
            </w:r>
          </w:p>
          <w:p w14:paraId="214FA0C2">
            <w:pPr>
              <w:wordWrap w:val="0"/>
              <w:adjustRightInd w:val="0"/>
              <w:snapToGrid w:val="0"/>
              <w:spacing w:line="240" w:lineRule="auto"/>
              <w:ind w:firstLine="482"/>
              <w:jc w:val="center"/>
              <w:rPr>
                <w:rFonts w:hint="default" w:ascii="Times New Roman" w:hAnsi="Times New Roman" w:eastAsia="宋体" w:cs="Times New Roman"/>
                <w:b/>
                <w:bCs/>
                <w:color w:val="auto"/>
                <w:sz w:val="24"/>
                <w:u w:val="none" w:color="auto"/>
              </w:rPr>
            </w:pPr>
            <w:r>
              <w:rPr>
                <w:rFonts w:hint="default" w:ascii="Times New Roman" w:hAnsi="Times New Roman" w:eastAsia="宋体" w:cs="Times New Roman"/>
                <w:b/>
                <w:color w:val="auto"/>
                <w:sz w:val="21"/>
                <w:szCs w:val="21"/>
                <w:u w:val="none" w:color="auto"/>
              </w:rPr>
              <w:t xml:space="preserve">表3-2  </w:t>
            </w:r>
            <w:r>
              <w:rPr>
                <w:rFonts w:hint="eastAsia" w:cs="Times New Roman"/>
                <w:b/>
                <w:color w:val="auto"/>
                <w:sz w:val="21"/>
                <w:szCs w:val="21"/>
                <w:u w:val="none" w:color="auto"/>
                <w:lang w:val="en-US" w:eastAsia="zh-CN"/>
              </w:rPr>
              <w:t>引用</w:t>
            </w:r>
            <w:r>
              <w:rPr>
                <w:rFonts w:hint="default" w:ascii="Times New Roman" w:hAnsi="Times New Roman" w:eastAsia="宋体" w:cs="Times New Roman"/>
                <w:b/>
                <w:color w:val="auto"/>
                <w:sz w:val="21"/>
                <w:szCs w:val="21"/>
                <w:u w:val="none" w:color="auto"/>
              </w:rPr>
              <w:t>监测点位基本信息</w:t>
            </w:r>
          </w:p>
          <w:tbl>
            <w:tblPr>
              <w:tblStyle w:val="42"/>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427"/>
              <w:gridCol w:w="1560"/>
              <w:gridCol w:w="1035"/>
              <w:gridCol w:w="1425"/>
              <w:gridCol w:w="1280"/>
              <w:gridCol w:w="1280"/>
            </w:tblGrid>
            <w:tr w14:paraId="740DF75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891" w:type="pct"/>
                  <w:tcBorders>
                    <w:tl2br w:val="nil"/>
                    <w:tr2bl w:val="nil"/>
                  </w:tcBorders>
                  <w:noWrap w:val="0"/>
                  <w:vAlign w:val="center"/>
                </w:tcPr>
                <w:p w14:paraId="297A5714">
                  <w:pPr>
                    <w:pStyle w:val="284"/>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监测点位</w:t>
                  </w:r>
                </w:p>
              </w:tc>
              <w:tc>
                <w:tcPr>
                  <w:tcW w:w="974" w:type="pct"/>
                  <w:tcBorders>
                    <w:tl2br w:val="nil"/>
                    <w:tr2bl w:val="nil"/>
                  </w:tcBorders>
                  <w:noWrap w:val="0"/>
                  <w:vAlign w:val="center"/>
                </w:tcPr>
                <w:p w14:paraId="42B38B42">
                  <w:pPr>
                    <w:pStyle w:val="284"/>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监测点</w:t>
                  </w:r>
                  <w:r>
                    <w:rPr>
                      <w:rFonts w:hint="default" w:ascii="Times New Roman" w:hAnsi="Times New Roman" w:eastAsia="宋体" w:cs="Times New Roman"/>
                      <w:color w:val="auto"/>
                      <w:sz w:val="21"/>
                      <w:szCs w:val="21"/>
                      <w:u w:val="none" w:color="auto"/>
                      <w:lang w:val="en-US" w:eastAsia="zh-CN"/>
                    </w:rPr>
                    <w:t>经纬度</w:t>
                  </w:r>
                  <w:r>
                    <w:rPr>
                      <w:rFonts w:hint="default" w:ascii="Times New Roman" w:hAnsi="Times New Roman" w:eastAsia="宋体" w:cs="Times New Roman"/>
                      <w:color w:val="auto"/>
                      <w:sz w:val="21"/>
                      <w:szCs w:val="21"/>
                      <w:u w:val="none" w:color="auto"/>
                    </w:rPr>
                    <w:t>坐标</w:t>
                  </w:r>
                </w:p>
              </w:tc>
              <w:tc>
                <w:tcPr>
                  <w:tcW w:w="646" w:type="pct"/>
                  <w:tcBorders>
                    <w:tl2br w:val="nil"/>
                    <w:tr2bl w:val="nil"/>
                  </w:tcBorders>
                  <w:noWrap w:val="0"/>
                  <w:vAlign w:val="center"/>
                </w:tcPr>
                <w:p w14:paraId="12D395AA">
                  <w:pPr>
                    <w:pStyle w:val="284"/>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监测因子</w:t>
                  </w:r>
                </w:p>
              </w:tc>
              <w:tc>
                <w:tcPr>
                  <w:tcW w:w="889" w:type="pct"/>
                  <w:tcBorders>
                    <w:tl2br w:val="nil"/>
                    <w:tr2bl w:val="nil"/>
                  </w:tcBorders>
                  <w:noWrap w:val="0"/>
                  <w:vAlign w:val="center"/>
                </w:tcPr>
                <w:p w14:paraId="6262533A">
                  <w:pPr>
                    <w:pStyle w:val="284"/>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监测时段</w:t>
                  </w:r>
                </w:p>
              </w:tc>
              <w:tc>
                <w:tcPr>
                  <w:tcW w:w="799" w:type="pct"/>
                  <w:tcBorders>
                    <w:tl2br w:val="nil"/>
                    <w:tr2bl w:val="nil"/>
                  </w:tcBorders>
                  <w:noWrap w:val="0"/>
                  <w:vAlign w:val="center"/>
                </w:tcPr>
                <w:p w14:paraId="704D756B">
                  <w:pPr>
                    <w:pStyle w:val="284"/>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rPr>
                    <w:t>相对</w:t>
                  </w:r>
                  <w:r>
                    <w:rPr>
                      <w:rFonts w:hint="default" w:ascii="Times New Roman" w:hAnsi="Times New Roman" w:eastAsia="宋体" w:cs="Times New Roman"/>
                      <w:color w:val="auto"/>
                      <w:sz w:val="21"/>
                      <w:szCs w:val="21"/>
                      <w:u w:val="none" w:color="auto"/>
                      <w:lang w:val="en-US" w:eastAsia="zh-CN"/>
                    </w:rPr>
                    <w:t>本项目</w:t>
                  </w:r>
                  <w:r>
                    <w:rPr>
                      <w:rFonts w:hint="default" w:ascii="Times New Roman" w:hAnsi="Times New Roman" w:eastAsia="宋体" w:cs="Times New Roman"/>
                      <w:color w:val="auto"/>
                      <w:sz w:val="21"/>
                      <w:szCs w:val="21"/>
                      <w:u w:val="none" w:color="auto"/>
                    </w:rPr>
                    <w:t>厂址方位</w:t>
                  </w:r>
                  <w:r>
                    <w:rPr>
                      <w:rFonts w:hint="default" w:ascii="Times New Roman" w:hAnsi="Times New Roman" w:eastAsia="宋体" w:cs="Times New Roman"/>
                      <w:color w:val="auto"/>
                      <w:sz w:val="21"/>
                      <w:szCs w:val="21"/>
                      <w:u w:val="none" w:color="auto"/>
                      <w:lang w:val="en-US" w:eastAsia="zh-CN"/>
                    </w:rPr>
                    <w:t>及距离</w:t>
                  </w:r>
                </w:p>
              </w:tc>
              <w:tc>
                <w:tcPr>
                  <w:tcW w:w="799" w:type="pct"/>
                  <w:tcBorders>
                    <w:tl2br w:val="nil"/>
                    <w:tr2bl w:val="nil"/>
                  </w:tcBorders>
                  <w:noWrap w:val="0"/>
                  <w:vAlign w:val="center"/>
                </w:tcPr>
                <w:p w14:paraId="3904C042">
                  <w:pPr>
                    <w:pStyle w:val="284"/>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位于本项目主导风向</w:t>
                  </w:r>
                </w:p>
              </w:tc>
            </w:tr>
            <w:tr w14:paraId="0B3709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891" w:type="pct"/>
                  <w:tcBorders>
                    <w:tl2br w:val="nil"/>
                    <w:tr2bl w:val="nil"/>
                  </w:tcBorders>
                  <w:noWrap w:val="0"/>
                  <w:vAlign w:val="center"/>
                </w:tcPr>
                <w:p w14:paraId="438594DB">
                  <w:pPr>
                    <w:pStyle w:val="284"/>
                    <w:jc w:val="center"/>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eastAsia="zh-CN"/>
                    </w:rPr>
                    <w:t>G</w:t>
                  </w:r>
                  <w:r>
                    <w:rPr>
                      <w:rFonts w:hint="eastAsia" w:cs="Times New Roman"/>
                      <w:color w:val="auto"/>
                      <w:sz w:val="21"/>
                      <w:szCs w:val="21"/>
                      <w:u w:val="none" w:color="auto"/>
                      <w:lang w:val="en-US" w:eastAsia="zh-CN"/>
                    </w:rPr>
                    <w:t>4项目南侧170m处敏感点</w:t>
                  </w:r>
                </w:p>
              </w:tc>
              <w:tc>
                <w:tcPr>
                  <w:tcW w:w="974" w:type="pct"/>
                  <w:tcBorders>
                    <w:tl2br w:val="nil"/>
                    <w:tr2bl w:val="nil"/>
                  </w:tcBorders>
                  <w:noWrap w:val="0"/>
                  <w:vAlign w:val="center"/>
                </w:tcPr>
                <w:p w14:paraId="01E47A44">
                  <w:pPr>
                    <w:pStyle w:val="284"/>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113.</w:t>
                  </w:r>
                  <w:r>
                    <w:rPr>
                      <w:rFonts w:hint="eastAsia" w:cs="Times New Roman"/>
                      <w:color w:val="auto"/>
                      <w:sz w:val="21"/>
                      <w:szCs w:val="21"/>
                      <w:u w:val="none" w:color="auto"/>
                      <w:lang w:val="en-US" w:eastAsia="zh-CN"/>
                    </w:rPr>
                    <w:t>286216</w:t>
                  </w:r>
                  <w:r>
                    <w:rPr>
                      <w:rFonts w:hint="default" w:ascii="Times New Roman" w:hAnsi="Times New Roman" w:eastAsia="宋体" w:cs="Times New Roman"/>
                      <w:color w:val="auto"/>
                      <w:sz w:val="21"/>
                      <w:szCs w:val="21"/>
                      <w:u w:val="none" w:color="auto"/>
                    </w:rPr>
                    <w:t>°</w:t>
                  </w:r>
                  <w:r>
                    <w:rPr>
                      <w:rFonts w:hint="default" w:ascii="Times New Roman" w:hAnsi="Times New Roman" w:eastAsia="宋体" w:cs="Times New Roman"/>
                      <w:color w:val="auto"/>
                      <w:sz w:val="21"/>
                      <w:szCs w:val="21"/>
                      <w:u w:val="none" w:color="auto"/>
                      <w:lang w:val="en-US" w:eastAsia="zh-CN"/>
                    </w:rPr>
                    <w:t>E</w:t>
                  </w:r>
                </w:p>
                <w:p w14:paraId="3710406F">
                  <w:pPr>
                    <w:pStyle w:val="284"/>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28.</w:t>
                  </w:r>
                  <w:r>
                    <w:rPr>
                      <w:rFonts w:hint="eastAsia" w:cs="Times New Roman"/>
                      <w:color w:val="auto"/>
                      <w:sz w:val="21"/>
                      <w:szCs w:val="21"/>
                      <w:u w:val="none" w:color="auto"/>
                      <w:lang w:val="en-US" w:eastAsia="zh-CN"/>
                    </w:rPr>
                    <w:t>906332</w:t>
                  </w:r>
                  <w:r>
                    <w:rPr>
                      <w:rFonts w:hint="default" w:ascii="Times New Roman" w:hAnsi="Times New Roman" w:eastAsia="宋体" w:cs="Times New Roman"/>
                      <w:color w:val="auto"/>
                      <w:sz w:val="21"/>
                      <w:szCs w:val="21"/>
                      <w:u w:val="none" w:color="auto"/>
                    </w:rPr>
                    <w:t>°</w:t>
                  </w:r>
                  <w:r>
                    <w:rPr>
                      <w:rFonts w:hint="default" w:ascii="Times New Roman" w:hAnsi="Times New Roman" w:eastAsia="宋体" w:cs="Times New Roman"/>
                      <w:color w:val="auto"/>
                      <w:sz w:val="21"/>
                      <w:szCs w:val="21"/>
                      <w:u w:val="none" w:color="auto"/>
                      <w:lang w:val="en-US" w:eastAsia="zh-CN"/>
                    </w:rPr>
                    <w:t>N</w:t>
                  </w:r>
                </w:p>
              </w:tc>
              <w:tc>
                <w:tcPr>
                  <w:tcW w:w="646" w:type="pct"/>
                  <w:tcBorders>
                    <w:tl2br w:val="nil"/>
                    <w:tr2bl w:val="nil"/>
                  </w:tcBorders>
                  <w:noWrap w:val="0"/>
                  <w:vAlign w:val="center"/>
                </w:tcPr>
                <w:p w14:paraId="3853AA2A">
                  <w:pPr>
                    <w:pStyle w:val="284"/>
                    <w:jc w:val="center"/>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eastAsia="zh-CN"/>
                    </w:rPr>
                    <w:t>TSP（24h均值）</w:t>
                  </w:r>
                </w:p>
              </w:tc>
              <w:tc>
                <w:tcPr>
                  <w:tcW w:w="889" w:type="pct"/>
                  <w:tcBorders>
                    <w:tl2br w:val="nil"/>
                    <w:tr2bl w:val="nil"/>
                  </w:tcBorders>
                  <w:noWrap w:val="0"/>
                  <w:vAlign w:val="center"/>
                </w:tcPr>
                <w:p w14:paraId="60771317">
                  <w:pPr>
                    <w:pStyle w:val="284"/>
                    <w:jc w:val="center"/>
                    <w:rPr>
                      <w:rFonts w:hint="default"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2023.</w:t>
                  </w:r>
                  <w:r>
                    <w:rPr>
                      <w:rFonts w:hint="eastAsia" w:cs="Times New Roman"/>
                      <w:color w:val="auto"/>
                      <w:sz w:val="21"/>
                      <w:szCs w:val="21"/>
                      <w:u w:val="none" w:color="auto"/>
                      <w:lang w:val="en-US" w:eastAsia="zh-CN"/>
                    </w:rPr>
                    <w:t>11.18</w:t>
                  </w:r>
                </w:p>
                <w:p w14:paraId="4BBA979A">
                  <w:pPr>
                    <w:pStyle w:val="284"/>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w:t>
                  </w:r>
                </w:p>
                <w:p w14:paraId="737670B5">
                  <w:pPr>
                    <w:pStyle w:val="284"/>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2023.</w:t>
                  </w:r>
                  <w:r>
                    <w:rPr>
                      <w:rFonts w:hint="eastAsia" w:cs="Times New Roman"/>
                      <w:color w:val="auto"/>
                      <w:sz w:val="21"/>
                      <w:szCs w:val="21"/>
                      <w:u w:val="none" w:color="auto"/>
                      <w:lang w:val="en-US" w:eastAsia="zh-CN"/>
                    </w:rPr>
                    <w:t>11.20</w:t>
                  </w:r>
                </w:p>
              </w:tc>
              <w:tc>
                <w:tcPr>
                  <w:tcW w:w="799" w:type="pct"/>
                  <w:tcBorders>
                    <w:tl2br w:val="nil"/>
                    <w:tr2bl w:val="nil"/>
                  </w:tcBorders>
                  <w:noWrap w:val="0"/>
                  <w:vAlign w:val="center"/>
                </w:tcPr>
                <w:p w14:paraId="06E076A4">
                  <w:pPr>
                    <w:pStyle w:val="284"/>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西</w:t>
                  </w:r>
                  <w:r>
                    <w:rPr>
                      <w:rFonts w:hint="eastAsia" w:cs="Times New Roman"/>
                      <w:color w:val="auto"/>
                      <w:sz w:val="21"/>
                      <w:szCs w:val="21"/>
                      <w:u w:val="none" w:color="auto"/>
                      <w:lang w:val="en-US" w:eastAsia="zh-CN"/>
                    </w:rPr>
                    <w:t>南</w:t>
                  </w:r>
                  <w:r>
                    <w:rPr>
                      <w:rFonts w:hint="default" w:ascii="Times New Roman" w:hAnsi="Times New Roman" w:eastAsia="宋体" w:cs="Times New Roman"/>
                      <w:color w:val="auto"/>
                      <w:sz w:val="21"/>
                      <w:szCs w:val="21"/>
                      <w:u w:val="none" w:color="auto"/>
                      <w:lang w:val="en-US" w:eastAsia="zh-CN"/>
                    </w:rPr>
                    <w:t>，</w:t>
                  </w:r>
                  <w:r>
                    <w:rPr>
                      <w:rFonts w:hint="eastAsia" w:cs="Times New Roman"/>
                      <w:color w:val="auto"/>
                      <w:sz w:val="21"/>
                      <w:szCs w:val="21"/>
                      <w:u w:val="none" w:color="auto"/>
                      <w:lang w:val="en-US" w:eastAsia="zh-CN"/>
                    </w:rPr>
                    <w:t>2550</w:t>
                  </w:r>
                  <w:r>
                    <w:rPr>
                      <w:rFonts w:hint="default" w:ascii="Times New Roman" w:hAnsi="Times New Roman" w:eastAsia="宋体" w:cs="Times New Roman"/>
                      <w:color w:val="auto"/>
                      <w:sz w:val="21"/>
                      <w:szCs w:val="21"/>
                      <w:u w:val="none" w:color="auto"/>
                      <w:lang w:val="en-US"/>
                    </w:rPr>
                    <w:t>m</w:t>
                  </w:r>
                </w:p>
              </w:tc>
              <w:tc>
                <w:tcPr>
                  <w:tcW w:w="799" w:type="pct"/>
                  <w:tcBorders>
                    <w:tl2br w:val="nil"/>
                    <w:tr2bl w:val="nil"/>
                  </w:tcBorders>
                  <w:noWrap w:val="0"/>
                  <w:vAlign w:val="center"/>
                </w:tcPr>
                <w:p w14:paraId="3CA5D51D">
                  <w:pPr>
                    <w:pStyle w:val="284"/>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侧风向</w:t>
                  </w:r>
                </w:p>
              </w:tc>
            </w:tr>
          </w:tbl>
          <w:p w14:paraId="63CA0B50">
            <w:pPr>
              <w:wordWrap w:val="0"/>
              <w:spacing w:line="240" w:lineRule="auto"/>
              <w:ind w:firstLine="422"/>
              <w:jc w:val="center"/>
              <w:rPr>
                <w:rFonts w:hint="default" w:ascii="Times New Roman" w:hAnsi="Times New Roman" w:eastAsia="宋体" w:cs="Times New Roman"/>
                <w:b/>
                <w:color w:val="auto"/>
                <w:sz w:val="21"/>
                <w:szCs w:val="21"/>
                <w:u w:val="none" w:color="auto"/>
              </w:rPr>
            </w:pPr>
            <w:r>
              <w:rPr>
                <w:rFonts w:hint="default" w:ascii="Times New Roman" w:hAnsi="Times New Roman" w:eastAsia="宋体" w:cs="Times New Roman"/>
                <w:b/>
                <w:color w:val="auto"/>
                <w:sz w:val="21"/>
                <w:szCs w:val="21"/>
                <w:u w:val="none" w:color="auto"/>
              </w:rPr>
              <w:t xml:space="preserve">表3-3  </w:t>
            </w:r>
            <w:r>
              <w:rPr>
                <w:rFonts w:hint="eastAsia" w:cs="Times New Roman"/>
                <w:b/>
                <w:color w:val="auto"/>
                <w:sz w:val="21"/>
                <w:szCs w:val="21"/>
                <w:u w:val="none" w:color="auto"/>
                <w:lang w:val="en-US" w:eastAsia="zh-CN"/>
              </w:rPr>
              <w:t>引用点位</w:t>
            </w:r>
            <w:r>
              <w:rPr>
                <w:rFonts w:hint="default" w:ascii="Times New Roman" w:hAnsi="Times New Roman" w:eastAsia="宋体" w:cs="Times New Roman"/>
                <w:b/>
                <w:color w:val="auto"/>
                <w:sz w:val="21"/>
                <w:szCs w:val="21"/>
                <w:u w:val="none" w:color="auto"/>
              </w:rPr>
              <w:t>污染物环境质量现状监测结果（单位：mg/m</w:t>
            </w:r>
            <w:r>
              <w:rPr>
                <w:rFonts w:hint="default" w:ascii="Times New Roman" w:hAnsi="Times New Roman" w:eastAsia="宋体" w:cs="Times New Roman"/>
                <w:b/>
                <w:color w:val="auto"/>
                <w:sz w:val="21"/>
                <w:szCs w:val="21"/>
                <w:u w:val="none" w:color="auto"/>
                <w:vertAlign w:val="superscript"/>
              </w:rPr>
              <w:t>3</w:t>
            </w:r>
            <w:r>
              <w:rPr>
                <w:rFonts w:hint="default" w:ascii="Times New Roman" w:hAnsi="Times New Roman" w:eastAsia="宋体" w:cs="Times New Roman"/>
                <w:b/>
                <w:color w:val="auto"/>
                <w:sz w:val="21"/>
                <w:szCs w:val="21"/>
                <w:u w:val="none" w:color="auto"/>
              </w:rPr>
              <w:t>）</w:t>
            </w:r>
          </w:p>
          <w:tbl>
            <w:tblPr>
              <w:tblStyle w:val="43"/>
              <w:tblW w:w="5016" w:type="pct"/>
              <w:tblInd w:w="-1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1331"/>
              <w:gridCol w:w="1230"/>
              <w:gridCol w:w="1140"/>
              <w:gridCol w:w="843"/>
              <w:gridCol w:w="1137"/>
              <w:gridCol w:w="990"/>
              <w:gridCol w:w="1365"/>
            </w:tblGrid>
            <w:tr w14:paraId="08BE9C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828" w:type="pct"/>
                  <w:tcBorders>
                    <w:tl2br w:val="nil"/>
                    <w:tr2bl w:val="nil"/>
                  </w:tcBorders>
                  <w:noWrap w:val="0"/>
                  <w:vAlign w:val="center"/>
                </w:tcPr>
                <w:p w14:paraId="7BCB6A3C">
                  <w:pPr>
                    <w:pStyle w:val="283"/>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监测点位</w:t>
                  </w:r>
                </w:p>
              </w:tc>
              <w:tc>
                <w:tcPr>
                  <w:tcW w:w="765" w:type="pct"/>
                  <w:tcBorders>
                    <w:tl2br w:val="nil"/>
                    <w:tr2bl w:val="nil"/>
                  </w:tcBorders>
                  <w:noWrap w:val="0"/>
                  <w:vAlign w:val="center"/>
                </w:tcPr>
                <w:p w14:paraId="52D8B5A1">
                  <w:pPr>
                    <w:pStyle w:val="283"/>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监测时间</w:t>
                  </w:r>
                </w:p>
              </w:tc>
              <w:tc>
                <w:tcPr>
                  <w:tcW w:w="709" w:type="pct"/>
                  <w:tcBorders>
                    <w:tl2br w:val="nil"/>
                    <w:tr2bl w:val="nil"/>
                  </w:tcBorders>
                  <w:noWrap w:val="0"/>
                  <w:vAlign w:val="center"/>
                </w:tcPr>
                <w:p w14:paraId="6DAF5B55">
                  <w:pPr>
                    <w:pStyle w:val="283"/>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监测项目</w:t>
                  </w:r>
                </w:p>
              </w:tc>
              <w:tc>
                <w:tcPr>
                  <w:tcW w:w="524" w:type="pct"/>
                  <w:tcBorders>
                    <w:tl2br w:val="nil"/>
                    <w:tr2bl w:val="nil"/>
                  </w:tcBorders>
                  <w:noWrap w:val="0"/>
                  <w:vAlign w:val="center"/>
                </w:tcPr>
                <w:p w14:paraId="2CE3E414">
                  <w:pPr>
                    <w:pStyle w:val="283"/>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单位</w:t>
                  </w:r>
                </w:p>
              </w:tc>
              <w:tc>
                <w:tcPr>
                  <w:tcW w:w="707" w:type="pct"/>
                  <w:tcBorders>
                    <w:tl2br w:val="nil"/>
                    <w:tr2bl w:val="nil"/>
                  </w:tcBorders>
                  <w:noWrap w:val="0"/>
                  <w:vAlign w:val="center"/>
                </w:tcPr>
                <w:p w14:paraId="7D0E2537">
                  <w:pPr>
                    <w:pStyle w:val="283"/>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监测结果</w:t>
                  </w:r>
                </w:p>
              </w:tc>
              <w:tc>
                <w:tcPr>
                  <w:tcW w:w="615" w:type="pct"/>
                  <w:tcBorders>
                    <w:tl2br w:val="nil"/>
                    <w:tr2bl w:val="nil"/>
                  </w:tcBorders>
                  <w:noWrap w:val="0"/>
                  <w:vAlign w:val="center"/>
                </w:tcPr>
                <w:p w14:paraId="28F07D96">
                  <w:pPr>
                    <w:pStyle w:val="283"/>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标准限值</w:t>
                  </w:r>
                </w:p>
              </w:tc>
              <w:tc>
                <w:tcPr>
                  <w:tcW w:w="849" w:type="pct"/>
                  <w:tcBorders>
                    <w:tl2br w:val="nil"/>
                    <w:tr2bl w:val="nil"/>
                  </w:tcBorders>
                  <w:noWrap w:val="0"/>
                  <w:vAlign w:val="center"/>
                </w:tcPr>
                <w:p w14:paraId="14DE30C5">
                  <w:pPr>
                    <w:pStyle w:val="283"/>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达标情况</w:t>
                  </w:r>
                </w:p>
              </w:tc>
            </w:tr>
            <w:tr w14:paraId="786A62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828" w:type="pct"/>
                  <w:tcBorders>
                    <w:tl2br w:val="nil"/>
                    <w:tr2bl w:val="nil"/>
                  </w:tcBorders>
                  <w:noWrap w:val="0"/>
                  <w:vAlign w:val="center"/>
                </w:tcPr>
                <w:p w14:paraId="6A97012C">
                  <w:pPr>
                    <w:pStyle w:val="283"/>
                    <w:rPr>
                      <w:rFonts w:hint="eastAsia"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G4项目南侧170m处敏感点</w:t>
                  </w:r>
                </w:p>
              </w:tc>
              <w:tc>
                <w:tcPr>
                  <w:tcW w:w="765" w:type="pct"/>
                  <w:tcBorders>
                    <w:tl2br w:val="nil"/>
                    <w:tr2bl w:val="nil"/>
                  </w:tcBorders>
                  <w:noWrap w:val="0"/>
                  <w:vAlign w:val="center"/>
                </w:tcPr>
                <w:p w14:paraId="540999C8">
                  <w:pPr>
                    <w:pStyle w:val="284"/>
                    <w:jc w:val="center"/>
                    <w:rPr>
                      <w:rFonts w:hint="default"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2023.</w:t>
                  </w:r>
                  <w:r>
                    <w:rPr>
                      <w:rFonts w:hint="eastAsia" w:cs="Times New Roman"/>
                      <w:color w:val="auto"/>
                      <w:sz w:val="21"/>
                      <w:szCs w:val="21"/>
                      <w:u w:val="none" w:color="auto"/>
                      <w:lang w:val="en-US" w:eastAsia="zh-CN"/>
                    </w:rPr>
                    <w:t>11.18</w:t>
                  </w:r>
                </w:p>
                <w:p w14:paraId="3B15A948">
                  <w:pPr>
                    <w:pStyle w:val="284"/>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lang w:val="en-US" w:eastAsia="zh-CN"/>
                    </w:rPr>
                    <w:t>~</w:t>
                  </w:r>
                  <w:r>
                    <w:rPr>
                      <w:rFonts w:hint="eastAsia" w:cs="Times New Roman"/>
                      <w:color w:val="auto"/>
                      <w:sz w:val="21"/>
                      <w:szCs w:val="21"/>
                      <w:u w:val="none" w:color="auto"/>
                      <w:lang w:val="en-US" w:eastAsia="zh-CN"/>
                    </w:rPr>
                    <w:t>11.20</w:t>
                  </w:r>
                </w:p>
              </w:tc>
              <w:tc>
                <w:tcPr>
                  <w:tcW w:w="709" w:type="pct"/>
                  <w:tcBorders>
                    <w:tl2br w:val="nil"/>
                    <w:tr2bl w:val="nil"/>
                  </w:tcBorders>
                  <w:noWrap w:val="0"/>
                  <w:vAlign w:val="center"/>
                </w:tcPr>
                <w:p w14:paraId="3EFA6198">
                  <w:pPr>
                    <w:pStyle w:val="283"/>
                    <w:rPr>
                      <w:rFonts w:hint="eastAsia"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TSP</w:t>
                  </w:r>
                </w:p>
              </w:tc>
              <w:tc>
                <w:tcPr>
                  <w:tcW w:w="524" w:type="pct"/>
                  <w:tcBorders>
                    <w:tl2br w:val="nil"/>
                    <w:tr2bl w:val="nil"/>
                  </w:tcBorders>
                  <w:noWrap w:val="0"/>
                  <w:vAlign w:val="center"/>
                </w:tcPr>
                <w:p w14:paraId="22295357">
                  <w:pPr>
                    <w:pStyle w:val="283"/>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mg/m</w:t>
                  </w:r>
                  <w:r>
                    <w:rPr>
                      <w:rFonts w:hint="default" w:ascii="Times New Roman" w:hAnsi="Times New Roman" w:eastAsia="宋体" w:cs="Times New Roman"/>
                      <w:color w:val="auto"/>
                      <w:sz w:val="21"/>
                      <w:szCs w:val="21"/>
                      <w:u w:val="none" w:color="auto"/>
                      <w:vertAlign w:val="superscript"/>
                    </w:rPr>
                    <w:t>3</w:t>
                  </w:r>
                </w:p>
              </w:tc>
              <w:tc>
                <w:tcPr>
                  <w:tcW w:w="707" w:type="pct"/>
                  <w:tcBorders>
                    <w:tl2br w:val="nil"/>
                    <w:tr2bl w:val="nil"/>
                  </w:tcBorders>
                  <w:noWrap w:val="0"/>
                  <w:vAlign w:val="center"/>
                </w:tcPr>
                <w:p w14:paraId="439539BC">
                  <w:pPr>
                    <w:pStyle w:val="283"/>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0.263~0.277</w:t>
                  </w:r>
                </w:p>
              </w:tc>
              <w:tc>
                <w:tcPr>
                  <w:tcW w:w="615" w:type="pct"/>
                  <w:tcBorders>
                    <w:tl2br w:val="nil"/>
                    <w:tr2bl w:val="nil"/>
                  </w:tcBorders>
                  <w:noWrap w:val="0"/>
                  <w:vAlign w:val="center"/>
                </w:tcPr>
                <w:p w14:paraId="30A1DA6B">
                  <w:pPr>
                    <w:pStyle w:val="283"/>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0.3</w:t>
                  </w:r>
                </w:p>
              </w:tc>
              <w:tc>
                <w:tcPr>
                  <w:tcW w:w="849" w:type="pct"/>
                  <w:tcBorders>
                    <w:tl2br w:val="nil"/>
                    <w:tr2bl w:val="nil"/>
                  </w:tcBorders>
                  <w:noWrap w:val="0"/>
                  <w:vAlign w:val="center"/>
                </w:tcPr>
                <w:p w14:paraId="61BF9DB5">
                  <w:pPr>
                    <w:pStyle w:val="283"/>
                    <w:rPr>
                      <w:rFonts w:hint="eastAsia"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达标</w:t>
                  </w:r>
                </w:p>
              </w:tc>
            </w:tr>
          </w:tbl>
          <w:p w14:paraId="3F21D305">
            <w:pPr>
              <w:pStyle w:val="282"/>
              <w:spacing w:line="360" w:lineRule="auto"/>
              <w:ind w:firstLine="480"/>
              <w:rPr>
                <w:rFonts w:hint="eastAsia" w:ascii="Times New Roman" w:hAnsi="Times New Roman" w:eastAsia="宋体" w:cs="Times New Roman"/>
                <w:color w:val="auto"/>
                <w:sz w:val="24"/>
                <w:szCs w:val="24"/>
                <w:u w:val="none" w:color="auto"/>
                <w:lang w:val="en-US" w:eastAsia="zh-CN"/>
              </w:rPr>
            </w:pPr>
            <w:r>
              <w:rPr>
                <w:rFonts w:hint="eastAsia" w:cs="Times New Roman"/>
                <w:color w:val="auto"/>
                <w:sz w:val="24"/>
                <w:szCs w:val="24"/>
                <w:u w:val="none" w:color="auto"/>
                <w:lang w:val="en-US" w:eastAsia="zh-CN"/>
              </w:rPr>
              <w:t>同时，本项目委托湖南科俊环境检测有限公司于2025年5月19日~5月21日对厂区东南侧古仑村村委的NOx进行检测，</w:t>
            </w:r>
            <w:r>
              <w:rPr>
                <w:rFonts w:hint="default" w:ascii="Times New Roman" w:hAnsi="Times New Roman" w:eastAsia="宋体" w:cs="Times New Roman"/>
                <w:color w:val="auto"/>
                <w:sz w:val="24"/>
                <w:szCs w:val="24"/>
                <w:u w:val="none" w:color="auto"/>
              </w:rPr>
              <w:t>监测点位信息和监测结果具体如</w:t>
            </w:r>
            <w:r>
              <w:rPr>
                <w:rFonts w:hint="eastAsia" w:cs="Times New Roman"/>
                <w:color w:val="auto"/>
                <w:sz w:val="24"/>
                <w:szCs w:val="24"/>
                <w:u w:val="none" w:color="auto"/>
                <w:lang w:val="en-US" w:eastAsia="zh-CN"/>
              </w:rPr>
              <w:t>下。</w:t>
            </w:r>
          </w:p>
          <w:p w14:paraId="77536E7A">
            <w:pPr>
              <w:wordWrap w:val="0"/>
              <w:adjustRightInd w:val="0"/>
              <w:snapToGrid w:val="0"/>
              <w:spacing w:line="240" w:lineRule="auto"/>
              <w:ind w:firstLine="482"/>
              <w:jc w:val="center"/>
              <w:rPr>
                <w:rFonts w:hint="default" w:ascii="Times New Roman" w:hAnsi="Times New Roman" w:eastAsia="宋体" w:cs="Times New Roman"/>
                <w:b/>
                <w:bCs/>
                <w:color w:val="auto"/>
                <w:sz w:val="24"/>
                <w:u w:val="none" w:color="auto"/>
              </w:rPr>
            </w:pPr>
            <w:r>
              <w:rPr>
                <w:rFonts w:hint="default" w:ascii="Times New Roman" w:hAnsi="Times New Roman" w:eastAsia="宋体" w:cs="Times New Roman"/>
                <w:b/>
                <w:color w:val="auto"/>
                <w:sz w:val="21"/>
                <w:szCs w:val="21"/>
                <w:u w:val="none" w:color="auto"/>
              </w:rPr>
              <w:t>表3-</w:t>
            </w:r>
            <w:r>
              <w:rPr>
                <w:rFonts w:hint="eastAsia" w:cs="Times New Roman"/>
                <w:b/>
                <w:color w:val="auto"/>
                <w:sz w:val="21"/>
                <w:szCs w:val="21"/>
                <w:u w:val="none" w:color="auto"/>
                <w:lang w:val="en-US" w:eastAsia="zh-CN"/>
              </w:rPr>
              <w:t>4</w:t>
            </w:r>
            <w:r>
              <w:rPr>
                <w:rFonts w:hint="default" w:ascii="Times New Roman" w:hAnsi="Times New Roman" w:eastAsia="宋体" w:cs="Times New Roman"/>
                <w:b/>
                <w:color w:val="auto"/>
                <w:sz w:val="21"/>
                <w:szCs w:val="21"/>
                <w:u w:val="none" w:color="auto"/>
              </w:rPr>
              <w:t>监测点位基本信息</w:t>
            </w:r>
          </w:p>
          <w:tbl>
            <w:tblPr>
              <w:tblStyle w:val="42"/>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07"/>
              <w:gridCol w:w="1680"/>
              <w:gridCol w:w="1035"/>
              <w:gridCol w:w="1425"/>
              <w:gridCol w:w="1280"/>
              <w:gridCol w:w="1280"/>
            </w:tblGrid>
            <w:tr w14:paraId="472705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816" w:type="pct"/>
                  <w:tcBorders>
                    <w:tl2br w:val="nil"/>
                    <w:tr2bl w:val="nil"/>
                  </w:tcBorders>
                  <w:noWrap w:val="0"/>
                  <w:vAlign w:val="center"/>
                </w:tcPr>
                <w:p w14:paraId="2B810232">
                  <w:pPr>
                    <w:pStyle w:val="284"/>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监测点位</w:t>
                  </w:r>
                </w:p>
              </w:tc>
              <w:tc>
                <w:tcPr>
                  <w:tcW w:w="1049" w:type="pct"/>
                  <w:tcBorders>
                    <w:tl2br w:val="nil"/>
                    <w:tr2bl w:val="nil"/>
                  </w:tcBorders>
                  <w:noWrap w:val="0"/>
                  <w:vAlign w:val="center"/>
                </w:tcPr>
                <w:p w14:paraId="479A95C9">
                  <w:pPr>
                    <w:pStyle w:val="284"/>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监测点</w:t>
                  </w:r>
                  <w:r>
                    <w:rPr>
                      <w:rFonts w:hint="default" w:ascii="Times New Roman" w:hAnsi="Times New Roman" w:eastAsia="宋体" w:cs="Times New Roman"/>
                      <w:color w:val="auto"/>
                      <w:sz w:val="21"/>
                      <w:szCs w:val="21"/>
                      <w:u w:val="none" w:color="auto"/>
                      <w:lang w:val="en-US" w:eastAsia="zh-CN"/>
                    </w:rPr>
                    <w:t>经纬度</w:t>
                  </w:r>
                  <w:r>
                    <w:rPr>
                      <w:rFonts w:hint="default" w:ascii="Times New Roman" w:hAnsi="Times New Roman" w:eastAsia="宋体" w:cs="Times New Roman"/>
                      <w:color w:val="auto"/>
                      <w:sz w:val="21"/>
                      <w:szCs w:val="21"/>
                      <w:u w:val="none" w:color="auto"/>
                    </w:rPr>
                    <w:t>坐标</w:t>
                  </w:r>
                </w:p>
              </w:tc>
              <w:tc>
                <w:tcPr>
                  <w:tcW w:w="646" w:type="pct"/>
                  <w:tcBorders>
                    <w:tl2br w:val="nil"/>
                    <w:tr2bl w:val="nil"/>
                  </w:tcBorders>
                  <w:noWrap w:val="0"/>
                  <w:vAlign w:val="center"/>
                </w:tcPr>
                <w:p w14:paraId="4D1FD825">
                  <w:pPr>
                    <w:pStyle w:val="284"/>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监测因子</w:t>
                  </w:r>
                </w:p>
              </w:tc>
              <w:tc>
                <w:tcPr>
                  <w:tcW w:w="889" w:type="pct"/>
                  <w:tcBorders>
                    <w:tl2br w:val="nil"/>
                    <w:tr2bl w:val="nil"/>
                  </w:tcBorders>
                  <w:noWrap w:val="0"/>
                  <w:vAlign w:val="center"/>
                </w:tcPr>
                <w:p w14:paraId="21C704EA">
                  <w:pPr>
                    <w:pStyle w:val="284"/>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监测时段</w:t>
                  </w:r>
                </w:p>
              </w:tc>
              <w:tc>
                <w:tcPr>
                  <w:tcW w:w="799" w:type="pct"/>
                  <w:tcBorders>
                    <w:tl2br w:val="nil"/>
                    <w:tr2bl w:val="nil"/>
                  </w:tcBorders>
                  <w:noWrap w:val="0"/>
                  <w:vAlign w:val="center"/>
                </w:tcPr>
                <w:p w14:paraId="3487AB6A">
                  <w:pPr>
                    <w:pStyle w:val="284"/>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rPr>
                    <w:t>相对</w:t>
                  </w:r>
                  <w:r>
                    <w:rPr>
                      <w:rFonts w:hint="default" w:ascii="Times New Roman" w:hAnsi="Times New Roman" w:eastAsia="宋体" w:cs="Times New Roman"/>
                      <w:color w:val="auto"/>
                      <w:sz w:val="21"/>
                      <w:szCs w:val="21"/>
                      <w:u w:val="none" w:color="auto"/>
                      <w:lang w:val="en-US" w:eastAsia="zh-CN"/>
                    </w:rPr>
                    <w:t>本项目</w:t>
                  </w:r>
                  <w:r>
                    <w:rPr>
                      <w:rFonts w:hint="default" w:ascii="Times New Roman" w:hAnsi="Times New Roman" w:eastAsia="宋体" w:cs="Times New Roman"/>
                      <w:color w:val="auto"/>
                      <w:sz w:val="21"/>
                      <w:szCs w:val="21"/>
                      <w:u w:val="none" w:color="auto"/>
                    </w:rPr>
                    <w:t>厂址方位</w:t>
                  </w:r>
                  <w:r>
                    <w:rPr>
                      <w:rFonts w:hint="default" w:ascii="Times New Roman" w:hAnsi="Times New Roman" w:eastAsia="宋体" w:cs="Times New Roman"/>
                      <w:color w:val="auto"/>
                      <w:sz w:val="21"/>
                      <w:szCs w:val="21"/>
                      <w:u w:val="none" w:color="auto"/>
                      <w:lang w:val="en-US" w:eastAsia="zh-CN"/>
                    </w:rPr>
                    <w:t>及距离</w:t>
                  </w:r>
                </w:p>
              </w:tc>
              <w:tc>
                <w:tcPr>
                  <w:tcW w:w="799" w:type="pct"/>
                  <w:tcBorders>
                    <w:tl2br w:val="nil"/>
                    <w:tr2bl w:val="nil"/>
                  </w:tcBorders>
                  <w:noWrap w:val="0"/>
                  <w:vAlign w:val="center"/>
                </w:tcPr>
                <w:p w14:paraId="073539D1">
                  <w:pPr>
                    <w:pStyle w:val="284"/>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位于本项目主导风向</w:t>
                  </w:r>
                </w:p>
              </w:tc>
            </w:tr>
            <w:tr w14:paraId="43218AD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5" w:hRule="atLeast"/>
                <w:jc w:val="center"/>
              </w:trPr>
              <w:tc>
                <w:tcPr>
                  <w:tcW w:w="816" w:type="pct"/>
                  <w:tcBorders>
                    <w:tl2br w:val="nil"/>
                    <w:tr2bl w:val="nil"/>
                  </w:tcBorders>
                  <w:noWrap w:val="0"/>
                  <w:vAlign w:val="center"/>
                </w:tcPr>
                <w:p w14:paraId="48A3C0F9">
                  <w:pPr>
                    <w:pStyle w:val="284"/>
                    <w:jc w:val="center"/>
                    <w:rPr>
                      <w:rFonts w:hint="default" w:ascii="Times New Roman" w:hAnsi="Times New Roman" w:eastAsia="宋体" w:cs="Times New Roman"/>
                      <w:color w:val="auto"/>
                      <w:sz w:val="21"/>
                      <w:szCs w:val="21"/>
                      <w:u w:val="none" w:color="auto"/>
                      <w:lang w:val="en-US"/>
                    </w:rPr>
                  </w:pPr>
                  <w:r>
                    <w:rPr>
                      <w:rFonts w:hint="default" w:ascii="Times New Roman" w:hAnsi="Times New Roman" w:eastAsia="宋体" w:cs="Times New Roman"/>
                      <w:color w:val="auto"/>
                      <w:sz w:val="21"/>
                      <w:szCs w:val="21"/>
                      <w:u w:val="none" w:color="auto"/>
                      <w:lang w:val="en-US" w:eastAsia="zh-CN"/>
                    </w:rPr>
                    <w:t>G</w:t>
                  </w:r>
                  <w:r>
                    <w:rPr>
                      <w:rFonts w:hint="eastAsia" w:cs="Times New Roman"/>
                      <w:color w:val="auto"/>
                      <w:sz w:val="21"/>
                      <w:szCs w:val="21"/>
                      <w:u w:val="none" w:color="auto"/>
                      <w:lang w:val="en-US" w:eastAsia="zh-CN"/>
                    </w:rPr>
                    <w:t>1古仑村村委</w:t>
                  </w:r>
                </w:p>
              </w:tc>
              <w:tc>
                <w:tcPr>
                  <w:tcW w:w="1049" w:type="pct"/>
                  <w:tcBorders>
                    <w:tl2br w:val="nil"/>
                    <w:tr2bl w:val="nil"/>
                  </w:tcBorders>
                  <w:noWrap w:val="0"/>
                  <w:vAlign w:val="center"/>
                </w:tcPr>
                <w:p w14:paraId="0191A718">
                  <w:pPr>
                    <w:pStyle w:val="284"/>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113°</w:t>
                  </w:r>
                  <w:r>
                    <w:rPr>
                      <w:rFonts w:hint="default" w:ascii="Times New Roman" w:hAnsi="Times New Roman" w:cs="Times New Roman"/>
                      <w:color w:val="auto"/>
                      <w:sz w:val="21"/>
                      <w:szCs w:val="21"/>
                      <w:u w:val="none" w:color="auto"/>
                      <w:lang w:val="en-US" w:eastAsia="zh-CN"/>
                    </w:rPr>
                    <w:t>18′36″</w:t>
                  </w:r>
                  <w:r>
                    <w:rPr>
                      <w:rFonts w:hint="default" w:ascii="Times New Roman" w:hAnsi="Times New Roman" w:eastAsia="宋体" w:cs="Times New Roman"/>
                      <w:color w:val="auto"/>
                      <w:sz w:val="21"/>
                      <w:szCs w:val="21"/>
                      <w:u w:val="none" w:color="auto"/>
                      <w:lang w:val="en-US" w:eastAsia="zh-CN"/>
                    </w:rPr>
                    <w:t>E</w:t>
                  </w:r>
                </w:p>
                <w:p w14:paraId="273C2600">
                  <w:pPr>
                    <w:pStyle w:val="284"/>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28°</w:t>
                  </w:r>
                  <w:r>
                    <w:rPr>
                      <w:rFonts w:hint="default" w:ascii="Times New Roman" w:hAnsi="Times New Roman" w:cs="Times New Roman"/>
                      <w:color w:val="auto"/>
                      <w:sz w:val="21"/>
                      <w:szCs w:val="21"/>
                      <w:u w:val="none" w:color="auto"/>
                      <w:lang w:val="en-US" w:eastAsia="zh-CN"/>
                    </w:rPr>
                    <w:t>55′2″</w:t>
                  </w:r>
                  <w:r>
                    <w:rPr>
                      <w:rFonts w:hint="default" w:ascii="Times New Roman" w:hAnsi="Times New Roman" w:eastAsia="宋体" w:cs="Times New Roman"/>
                      <w:color w:val="auto"/>
                      <w:sz w:val="21"/>
                      <w:szCs w:val="21"/>
                      <w:u w:val="none" w:color="auto"/>
                      <w:lang w:val="en-US" w:eastAsia="zh-CN"/>
                    </w:rPr>
                    <w:t>N</w:t>
                  </w:r>
                </w:p>
              </w:tc>
              <w:tc>
                <w:tcPr>
                  <w:tcW w:w="646" w:type="pct"/>
                  <w:tcBorders>
                    <w:tl2br w:val="nil"/>
                    <w:tr2bl w:val="nil"/>
                  </w:tcBorders>
                  <w:noWrap w:val="0"/>
                  <w:vAlign w:val="center"/>
                </w:tcPr>
                <w:p w14:paraId="536007DD">
                  <w:pPr>
                    <w:pStyle w:val="284"/>
                    <w:jc w:val="center"/>
                    <w:rPr>
                      <w:rFonts w:hint="default" w:ascii="Times New Roman" w:hAnsi="Times New Roman" w:eastAsia="宋体" w:cs="Times New Roman"/>
                      <w:color w:val="auto"/>
                      <w:sz w:val="21"/>
                      <w:szCs w:val="21"/>
                      <w:u w:val="none" w:color="auto"/>
                      <w:lang w:val="en-US"/>
                    </w:rPr>
                  </w:pPr>
                  <w:r>
                    <w:rPr>
                      <w:rFonts w:hint="eastAsia" w:cs="Times New Roman"/>
                      <w:color w:val="auto"/>
                      <w:sz w:val="21"/>
                      <w:szCs w:val="21"/>
                      <w:u w:val="none" w:color="auto"/>
                      <w:lang w:val="en-US" w:eastAsia="zh-CN"/>
                    </w:rPr>
                    <w:t>NOx</w:t>
                  </w:r>
                </w:p>
              </w:tc>
              <w:tc>
                <w:tcPr>
                  <w:tcW w:w="889" w:type="pct"/>
                  <w:tcBorders>
                    <w:tl2br w:val="nil"/>
                    <w:tr2bl w:val="nil"/>
                  </w:tcBorders>
                  <w:noWrap w:val="0"/>
                  <w:vAlign w:val="center"/>
                </w:tcPr>
                <w:p w14:paraId="1AD1316A">
                  <w:pPr>
                    <w:pStyle w:val="284"/>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2025.5.19~5.21</w:t>
                  </w:r>
                </w:p>
              </w:tc>
              <w:tc>
                <w:tcPr>
                  <w:tcW w:w="799" w:type="pct"/>
                  <w:tcBorders>
                    <w:tl2br w:val="nil"/>
                    <w:tr2bl w:val="nil"/>
                  </w:tcBorders>
                  <w:noWrap w:val="0"/>
                  <w:vAlign w:val="center"/>
                </w:tcPr>
                <w:p w14:paraId="5C42B1C9">
                  <w:pPr>
                    <w:pStyle w:val="284"/>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东南</w:t>
                  </w:r>
                  <w:r>
                    <w:rPr>
                      <w:rFonts w:hint="default" w:ascii="Times New Roman" w:hAnsi="Times New Roman" w:eastAsia="宋体" w:cs="Times New Roman"/>
                      <w:color w:val="auto"/>
                      <w:sz w:val="21"/>
                      <w:szCs w:val="21"/>
                      <w:u w:val="none" w:color="auto"/>
                      <w:lang w:val="en-US" w:eastAsia="zh-CN"/>
                    </w:rPr>
                    <w:t>，</w:t>
                  </w:r>
                  <w:r>
                    <w:rPr>
                      <w:rFonts w:hint="eastAsia" w:cs="Times New Roman"/>
                      <w:color w:val="auto"/>
                      <w:sz w:val="21"/>
                      <w:szCs w:val="21"/>
                      <w:u w:val="none" w:color="auto"/>
                      <w:lang w:val="en-US" w:eastAsia="zh-CN"/>
                    </w:rPr>
                    <w:t>70</w:t>
                  </w:r>
                  <w:r>
                    <w:rPr>
                      <w:rFonts w:hint="default" w:ascii="Times New Roman" w:hAnsi="Times New Roman" w:eastAsia="宋体" w:cs="Times New Roman"/>
                      <w:color w:val="auto"/>
                      <w:sz w:val="21"/>
                      <w:szCs w:val="21"/>
                      <w:u w:val="none" w:color="auto"/>
                      <w:lang w:val="en-US"/>
                    </w:rPr>
                    <w:t>m</w:t>
                  </w:r>
                </w:p>
              </w:tc>
              <w:tc>
                <w:tcPr>
                  <w:tcW w:w="799" w:type="pct"/>
                  <w:tcBorders>
                    <w:tl2br w:val="nil"/>
                    <w:tr2bl w:val="nil"/>
                  </w:tcBorders>
                  <w:noWrap w:val="0"/>
                  <w:vAlign w:val="center"/>
                </w:tcPr>
                <w:p w14:paraId="0F08B711">
                  <w:pPr>
                    <w:pStyle w:val="284"/>
                    <w:jc w:val="center"/>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下风向</w:t>
                  </w:r>
                </w:p>
              </w:tc>
            </w:tr>
          </w:tbl>
          <w:p w14:paraId="079C54C3">
            <w:pPr>
              <w:wordWrap w:val="0"/>
              <w:spacing w:line="240" w:lineRule="auto"/>
              <w:ind w:firstLine="422"/>
              <w:jc w:val="center"/>
              <w:rPr>
                <w:rFonts w:hint="default" w:ascii="Times New Roman" w:hAnsi="Times New Roman" w:eastAsia="宋体" w:cs="Times New Roman"/>
                <w:b/>
                <w:color w:val="auto"/>
                <w:sz w:val="21"/>
                <w:szCs w:val="21"/>
                <w:u w:val="none" w:color="auto"/>
              </w:rPr>
            </w:pPr>
            <w:r>
              <w:rPr>
                <w:rFonts w:hint="default" w:ascii="Times New Roman" w:hAnsi="Times New Roman" w:eastAsia="宋体" w:cs="Times New Roman"/>
                <w:b/>
                <w:color w:val="auto"/>
                <w:sz w:val="21"/>
                <w:szCs w:val="21"/>
                <w:u w:val="none" w:color="auto"/>
              </w:rPr>
              <w:t>表3-</w:t>
            </w:r>
            <w:r>
              <w:rPr>
                <w:rFonts w:hint="eastAsia" w:cs="Times New Roman"/>
                <w:b/>
                <w:color w:val="auto"/>
                <w:sz w:val="21"/>
                <w:szCs w:val="21"/>
                <w:u w:val="none" w:color="auto"/>
                <w:lang w:val="en-US" w:eastAsia="zh-CN"/>
              </w:rPr>
              <w:t>5</w:t>
            </w:r>
            <w:r>
              <w:rPr>
                <w:rFonts w:hint="default" w:ascii="Times New Roman" w:hAnsi="Times New Roman" w:eastAsia="宋体" w:cs="Times New Roman"/>
                <w:b/>
                <w:color w:val="auto"/>
                <w:sz w:val="21"/>
                <w:szCs w:val="21"/>
                <w:u w:val="none" w:color="auto"/>
              </w:rPr>
              <w:t xml:space="preserve">  污染物环境质量现状监测结果（单位：mg/m</w:t>
            </w:r>
            <w:r>
              <w:rPr>
                <w:rFonts w:hint="default" w:ascii="Times New Roman" w:hAnsi="Times New Roman" w:eastAsia="宋体" w:cs="Times New Roman"/>
                <w:b/>
                <w:color w:val="auto"/>
                <w:sz w:val="21"/>
                <w:szCs w:val="21"/>
                <w:u w:val="none" w:color="auto"/>
                <w:vertAlign w:val="superscript"/>
              </w:rPr>
              <w:t>3</w:t>
            </w:r>
            <w:r>
              <w:rPr>
                <w:rFonts w:hint="default" w:ascii="Times New Roman" w:hAnsi="Times New Roman" w:eastAsia="宋体" w:cs="Times New Roman"/>
                <w:b/>
                <w:color w:val="auto"/>
                <w:sz w:val="21"/>
                <w:szCs w:val="21"/>
                <w:u w:val="none" w:color="auto"/>
              </w:rPr>
              <w:t>）</w:t>
            </w:r>
          </w:p>
          <w:tbl>
            <w:tblPr>
              <w:tblStyle w:val="43"/>
              <w:tblW w:w="8036" w:type="dxa"/>
              <w:tblInd w:w="-15"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28" w:type="dxa"/>
                <w:bottom w:w="0" w:type="dxa"/>
                <w:right w:w="28" w:type="dxa"/>
              </w:tblCellMar>
            </w:tblPr>
            <w:tblGrid>
              <w:gridCol w:w="1331"/>
              <w:gridCol w:w="1230"/>
              <w:gridCol w:w="1140"/>
              <w:gridCol w:w="843"/>
              <w:gridCol w:w="1137"/>
              <w:gridCol w:w="990"/>
              <w:gridCol w:w="1365"/>
            </w:tblGrid>
            <w:tr w14:paraId="0E61F7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828" w:type="pct"/>
                  <w:tcBorders>
                    <w:tl2br w:val="nil"/>
                    <w:tr2bl w:val="nil"/>
                  </w:tcBorders>
                  <w:noWrap w:val="0"/>
                  <w:vAlign w:val="center"/>
                </w:tcPr>
                <w:p w14:paraId="6B2FA092">
                  <w:pPr>
                    <w:pStyle w:val="283"/>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监测点位</w:t>
                  </w:r>
                </w:p>
              </w:tc>
              <w:tc>
                <w:tcPr>
                  <w:tcW w:w="765" w:type="pct"/>
                  <w:tcBorders>
                    <w:tl2br w:val="nil"/>
                    <w:tr2bl w:val="nil"/>
                  </w:tcBorders>
                  <w:noWrap w:val="0"/>
                  <w:vAlign w:val="center"/>
                </w:tcPr>
                <w:p w14:paraId="0C93B109">
                  <w:pPr>
                    <w:pStyle w:val="283"/>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监测时间</w:t>
                  </w:r>
                </w:p>
              </w:tc>
              <w:tc>
                <w:tcPr>
                  <w:tcW w:w="709" w:type="pct"/>
                  <w:tcBorders>
                    <w:tl2br w:val="nil"/>
                    <w:tr2bl w:val="nil"/>
                  </w:tcBorders>
                  <w:noWrap w:val="0"/>
                  <w:vAlign w:val="center"/>
                </w:tcPr>
                <w:p w14:paraId="448ABB54">
                  <w:pPr>
                    <w:pStyle w:val="283"/>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监测项目</w:t>
                  </w:r>
                </w:p>
              </w:tc>
              <w:tc>
                <w:tcPr>
                  <w:tcW w:w="524" w:type="pct"/>
                  <w:tcBorders>
                    <w:tl2br w:val="nil"/>
                    <w:tr2bl w:val="nil"/>
                  </w:tcBorders>
                  <w:noWrap w:val="0"/>
                  <w:vAlign w:val="center"/>
                </w:tcPr>
                <w:p w14:paraId="74CAB6C3">
                  <w:pPr>
                    <w:pStyle w:val="283"/>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单位</w:t>
                  </w:r>
                </w:p>
              </w:tc>
              <w:tc>
                <w:tcPr>
                  <w:tcW w:w="707" w:type="pct"/>
                  <w:tcBorders>
                    <w:tl2br w:val="nil"/>
                    <w:tr2bl w:val="nil"/>
                  </w:tcBorders>
                  <w:noWrap w:val="0"/>
                  <w:vAlign w:val="center"/>
                </w:tcPr>
                <w:p w14:paraId="5F5D088D">
                  <w:pPr>
                    <w:pStyle w:val="283"/>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监测结果</w:t>
                  </w:r>
                </w:p>
              </w:tc>
              <w:tc>
                <w:tcPr>
                  <w:tcW w:w="615" w:type="pct"/>
                  <w:tcBorders>
                    <w:tl2br w:val="nil"/>
                    <w:tr2bl w:val="nil"/>
                  </w:tcBorders>
                  <w:noWrap w:val="0"/>
                  <w:vAlign w:val="center"/>
                </w:tcPr>
                <w:p w14:paraId="3CA1428A">
                  <w:pPr>
                    <w:pStyle w:val="283"/>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标准限值</w:t>
                  </w:r>
                </w:p>
              </w:tc>
              <w:tc>
                <w:tcPr>
                  <w:tcW w:w="849" w:type="pct"/>
                  <w:tcBorders>
                    <w:tl2br w:val="nil"/>
                    <w:tr2bl w:val="nil"/>
                  </w:tcBorders>
                  <w:noWrap w:val="0"/>
                  <w:vAlign w:val="center"/>
                </w:tcPr>
                <w:p w14:paraId="2F0A1DE7">
                  <w:pPr>
                    <w:pStyle w:val="283"/>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达标情况</w:t>
                  </w:r>
                </w:p>
              </w:tc>
            </w:tr>
            <w:tr w14:paraId="1172D64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28" w:type="dxa"/>
                  <w:bottom w:w="0" w:type="dxa"/>
                  <w:right w:w="28" w:type="dxa"/>
                </w:tblCellMar>
              </w:tblPrEx>
              <w:trPr>
                <w:trHeight w:val="369" w:hRule="atLeast"/>
              </w:trPr>
              <w:tc>
                <w:tcPr>
                  <w:tcW w:w="828" w:type="pct"/>
                  <w:tcBorders>
                    <w:tl2br w:val="nil"/>
                    <w:tr2bl w:val="nil"/>
                  </w:tcBorders>
                  <w:noWrap w:val="0"/>
                  <w:vAlign w:val="center"/>
                </w:tcPr>
                <w:p w14:paraId="6A6F00A8">
                  <w:pPr>
                    <w:pStyle w:val="283"/>
                    <w:rPr>
                      <w:rFonts w:hint="eastAsia"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G1古仑村村委</w:t>
                  </w:r>
                </w:p>
              </w:tc>
              <w:tc>
                <w:tcPr>
                  <w:tcW w:w="765" w:type="pct"/>
                  <w:tcBorders>
                    <w:tl2br w:val="nil"/>
                    <w:tr2bl w:val="nil"/>
                  </w:tcBorders>
                  <w:noWrap w:val="0"/>
                  <w:vAlign w:val="center"/>
                </w:tcPr>
                <w:p w14:paraId="4E094C55">
                  <w:pPr>
                    <w:pStyle w:val="284"/>
                    <w:jc w:val="center"/>
                    <w:rPr>
                      <w:rFonts w:hint="default" w:ascii="Times New Roman" w:hAnsi="Times New Roman" w:eastAsia="宋体" w:cs="Times New Roman"/>
                      <w:color w:val="auto"/>
                      <w:sz w:val="21"/>
                      <w:szCs w:val="21"/>
                      <w:u w:val="none" w:color="auto"/>
                    </w:rPr>
                  </w:pPr>
                  <w:r>
                    <w:rPr>
                      <w:rFonts w:hint="eastAsia" w:cs="Times New Roman"/>
                      <w:color w:val="auto"/>
                      <w:sz w:val="21"/>
                      <w:szCs w:val="21"/>
                      <w:u w:val="none" w:color="auto"/>
                      <w:lang w:val="en-US" w:eastAsia="zh-CN"/>
                    </w:rPr>
                    <w:t>2025.5.19~5.21</w:t>
                  </w:r>
                </w:p>
              </w:tc>
              <w:tc>
                <w:tcPr>
                  <w:tcW w:w="709" w:type="pct"/>
                  <w:tcBorders>
                    <w:tl2br w:val="nil"/>
                    <w:tr2bl w:val="nil"/>
                  </w:tcBorders>
                  <w:noWrap w:val="0"/>
                  <w:vAlign w:val="center"/>
                </w:tcPr>
                <w:p w14:paraId="14535F16">
                  <w:pPr>
                    <w:pStyle w:val="283"/>
                    <w:rPr>
                      <w:rFonts w:hint="eastAsia"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NOx</w:t>
                  </w:r>
                </w:p>
              </w:tc>
              <w:tc>
                <w:tcPr>
                  <w:tcW w:w="524" w:type="pct"/>
                  <w:tcBorders>
                    <w:tl2br w:val="nil"/>
                    <w:tr2bl w:val="nil"/>
                  </w:tcBorders>
                  <w:noWrap w:val="0"/>
                  <w:vAlign w:val="center"/>
                </w:tcPr>
                <w:p w14:paraId="0EAAC637">
                  <w:pPr>
                    <w:pStyle w:val="283"/>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mg/m</w:t>
                  </w:r>
                  <w:r>
                    <w:rPr>
                      <w:rFonts w:hint="default" w:ascii="Times New Roman" w:hAnsi="Times New Roman" w:eastAsia="宋体" w:cs="Times New Roman"/>
                      <w:color w:val="auto"/>
                      <w:sz w:val="21"/>
                      <w:szCs w:val="21"/>
                      <w:u w:val="none" w:color="auto"/>
                      <w:vertAlign w:val="superscript"/>
                    </w:rPr>
                    <w:t>3</w:t>
                  </w:r>
                </w:p>
              </w:tc>
              <w:tc>
                <w:tcPr>
                  <w:tcW w:w="707" w:type="pct"/>
                  <w:tcBorders>
                    <w:tl2br w:val="nil"/>
                    <w:tr2bl w:val="nil"/>
                  </w:tcBorders>
                  <w:noWrap w:val="0"/>
                  <w:vAlign w:val="center"/>
                </w:tcPr>
                <w:p w14:paraId="11EDAAEF">
                  <w:pPr>
                    <w:pStyle w:val="283"/>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0.014~0.036</w:t>
                  </w:r>
                </w:p>
              </w:tc>
              <w:tc>
                <w:tcPr>
                  <w:tcW w:w="615" w:type="pct"/>
                  <w:tcBorders>
                    <w:tl2br w:val="nil"/>
                    <w:tr2bl w:val="nil"/>
                  </w:tcBorders>
                  <w:noWrap w:val="0"/>
                  <w:vAlign w:val="center"/>
                </w:tcPr>
                <w:p w14:paraId="53FB8A30">
                  <w:pPr>
                    <w:pStyle w:val="283"/>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0.25</w:t>
                  </w:r>
                </w:p>
              </w:tc>
              <w:tc>
                <w:tcPr>
                  <w:tcW w:w="849" w:type="pct"/>
                  <w:tcBorders>
                    <w:tl2br w:val="nil"/>
                    <w:tr2bl w:val="nil"/>
                  </w:tcBorders>
                  <w:noWrap w:val="0"/>
                  <w:vAlign w:val="center"/>
                </w:tcPr>
                <w:p w14:paraId="1C681D3B">
                  <w:pPr>
                    <w:pStyle w:val="283"/>
                    <w:rPr>
                      <w:rFonts w:hint="eastAsia"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达标</w:t>
                  </w:r>
                </w:p>
              </w:tc>
            </w:tr>
          </w:tbl>
          <w:p w14:paraId="53FEF591">
            <w:pPr>
              <w:pStyle w:val="282"/>
              <w:spacing w:line="360" w:lineRule="auto"/>
              <w:ind w:firstLine="480"/>
              <w:rPr>
                <w:rFonts w:hint="default" w:ascii="Times New Roman" w:hAnsi="Times New Roman" w:eastAsia="宋体" w:cs="Times New Roman"/>
                <w:color w:val="auto"/>
                <w:sz w:val="24"/>
                <w:szCs w:val="24"/>
                <w:u w:val="none" w:color="auto"/>
              </w:rPr>
            </w:pPr>
            <w:r>
              <w:rPr>
                <w:rFonts w:hint="eastAsia" w:cs="Times New Roman"/>
                <w:color w:val="auto"/>
                <w:sz w:val="24"/>
                <w:szCs w:val="24"/>
                <w:u w:val="none" w:color="auto"/>
                <w:lang w:val="en-US" w:eastAsia="zh-CN"/>
              </w:rPr>
              <w:t>综上所述，项目所在区域TSP、NOx</w:t>
            </w:r>
            <w:r>
              <w:rPr>
                <w:rFonts w:hint="default" w:ascii="Times New Roman" w:hAnsi="Times New Roman" w:eastAsia="宋体" w:cs="Times New Roman"/>
                <w:color w:val="auto"/>
                <w:u w:val="none" w:color="auto"/>
                <w:lang w:val="en-US" w:eastAsia="zh-CN"/>
              </w:rPr>
              <w:t>能</w:t>
            </w:r>
            <w:r>
              <w:rPr>
                <w:rFonts w:hint="default" w:ascii="Times New Roman" w:hAnsi="Times New Roman" w:eastAsia="宋体" w:cs="Times New Roman"/>
                <w:color w:val="auto"/>
                <w:u w:val="none" w:color="auto"/>
              </w:rPr>
              <w:t>满足《环境空气质量标准》（GB3095-2012）二级标准</w:t>
            </w:r>
            <w:r>
              <w:rPr>
                <w:rFonts w:hint="default" w:ascii="Times New Roman" w:hAnsi="Times New Roman" w:eastAsia="宋体" w:cs="Times New Roman"/>
                <w:color w:val="auto"/>
                <w:u w:val="none" w:color="auto"/>
                <w:lang w:val="en-US" w:eastAsia="zh-CN"/>
              </w:rPr>
              <w:t>要求</w:t>
            </w:r>
            <w:r>
              <w:rPr>
                <w:rFonts w:hint="default" w:ascii="Times New Roman" w:hAnsi="Times New Roman" w:eastAsia="宋体" w:cs="Times New Roman"/>
                <w:color w:val="auto"/>
                <w:sz w:val="24"/>
                <w:szCs w:val="24"/>
                <w:u w:val="none" w:color="auto"/>
              </w:rPr>
              <w:t>。</w:t>
            </w:r>
          </w:p>
          <w:p w14:paraId="22027678">
            <w:pPr>
              <w:spacing w:line="360" w:lineRule="auto"/>
              <w:ind w:firstLine="482" w:firstLineChars="200"/>
              <w:rPr>
                <w:rFonts w:hint="default" w:ascii="Times New Roman" w:hAnsi="Times New Roman" w:eastAsia="宋体" w:cs="Times New Roman"/>
                <w:b/>
                <w:color w:val="auto"/>
                <w:highlight w:val="none"/>
                <w:u w:val="none" w:color="auto"/>
              </w:rPr>
            </w:pPr>
            <w:r>
              <w:rPr>
                <w:rFonts w:hint="default" w:ascii="Times New Roman" w:hAnsi="Times New Roman" w:eastAsia="宋体" w:cs="Times New Roman"/>
                <w:b/>
                <w:color w:val="auto"/>
                <w:highlight w:val="none"/>
                <w:u w:val="none" w:color="auto"/>
              </w:rPr>
              <w:t>二、地表水环境质量现状</w:t>
            </w:r>
          </w:p>
          <w:p w14:paraId="4B1A702A">
            <w:pPr>
              <w:pStyle w:val="276"/>
              <w:spacing w:line="360" w:lineRule="auto"/>
              <w:ind w:firstLine="480"/>
              <w:rPr>
                <w:rFonts w:hint="default" w:ascii="Times New Roman" w:hAnsi="Times New Roman" w:eastAsia="宋体" w:cs="Times New Roman"/>
                <w:color w:val="auto"/>
                <w:highlight w:val="none"/>
                <w:u w:val="none" w:color="auto"/>
                <w:lang w:eastAsia="zh-CN"/>
              </w:rPr>
            </w:pPr>
            <w:r>
              <w:rPr>
                <w:rFonts w:hint="default" w:ascii="Times New Roman" w:hAnsi="Times New Roman" w:eastAsia="宋体" w:cs="Times New Roman"/>
                <w:color w:val="auto"/>
                <w:highlight w:val="none"/>
                <w:u w:val="none" w:color="auto"/>
              </w:rPr>
              <w:t>按照《建设项目环境影响报告表编制技术指南（污染影响类）（试行）》中的规定：“地表水引用与建设项目距离近的有效数据，包括近3年的规划环境影响评价的监测数据，所在流域控制单元内国家、地方控制断面监测数据，生态环境主管部门发布的水环境质量数据或地表水达标情况的结论”</w:t>
            </w:r>
            <w:r>
              <w:rPr>
                <w:rFonts w:hint="default" w:ascii="Times New Roman" w:hAnsi="Times New Roman" w:eastAsia="宋体" w:cs="Times New Roman"/>
                <w:color w:val="auto"/>
                <w:highlight w:val="none"/>
                <w:u w:val="none" w:color="auto"/>
                <w:lang w:eastAsia="zh-CN"/>
              </w:rPr>
              <w:t>。</w:t>
            </w:r>
          </w:p>
          <w:p w14:paraId="654B8A75">
            <w:pPr>
              <w:pStyle w:val="276"/>
              <w:spacing w:line="360" w:lineRule="auto"/>
              <w:ind w:firstLine="480"/>
              <w:rPr>
                <w:rFonts w:hint="eastAsia" w:cs="Times New Roman"/>
                <w:color w:val="auto"/>
                <w:highlight w:val="none"/>
                <w:u w:val="none" w:color="auto"/>
                <w:lang w:val="en-US" w:eastAsia="zh-CN"/>
              </w:rPr>
            </w:pPr>
            <w:r>
              <w:rPr>
                <w:rFonts w:hint="eastAsia" w:cs="Times New Roman"/>
                <w:color w:val="auto"/>
                <w:highlight w:val="none"/>
                <w:u w:val="none" w:color="auto"/>
                <w:lang w:val="en-US" w:eastAsia="zh-CN"/>
              </w:rPr>
              <w:t>项目所在地区地方主要地表水体为罗江。本报告引用《汨罗市狮形山水闸除险加固工程环境影响报告表》中委托国检测试控股集团湖南华科科技有限公司于2024年8月6日-2024年8月8日对狮行山水闸下游500m进行的现状监测数据。</w:t>
            </w:r>
          </w:p>
          <w:p w14:paraId="400148E0">
            <w:pPr>
              <w:pStyle w:val="276"/>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cs="Times New Roman"/>
                <w:b/>
                <w:bCs/>
                <w:color w:val="auto"/>
                <w:sz w:val="21"/>
                <w:szCs w:val="21"/>
                <w:highlight w:val="none"/>
                <w:u w:val="none" w:color="auto"/>
                <w:lang w:val="en-US" w:eastAsia="zh-CN"/>
              </w:rPr>
            </w:pPr>
            <w:r>
              <w:rPr>
                <w:rFonts w:hint="eastAsia" w:cs="Times New Roman"/>
                <w:b/>
                <w:bCs/>
                <w:color w:val="auto"/>
                <w:sz w:val="21"/>
                <w:szCs w:val="21"/>
                <w:highlight w:val="none"/>
                <w:u w:val="none" w:color="auto"/>
                <w:lang w:val="en-US" w:eastAsia="zh-CN"/>
              </w:rPr>
              <w:t>表3-6 监测点位基本信息表</w:t>
            </w:r>
          </w:p>
          <w:tbl>
            <w:tblPr>
              <w:tblStyle w:val="43"/>
              <w:tblW w:w="80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1721"/>
              <w:gridCol w:w="1204"/>
              <w:gridCol w:w="2850"/>
              <w:gridCol w:w="1305"/>
            </w:tblGrid>
            <w:tr w14:paraId="396CC1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top w:val="single" w:color="auto" w:sz="12" w:space="0"/>
                  </w:tcBorders>
                  <w:vAlign w:val="center"/>
                </w:tcPr>
                <w:p w14:paraId="10D6694D">
                  <w:pPr>
                    <w:pStyle w:val="27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highlight w:val="none"/>
                      <w:u w:val="none" w:color="auto"/>
                      <w:vertAlign w:val="baseline"/>
                      <w:lang w:val="en-US" w:eastAsia="zh-CN"/>
                    </w:rPr>
                  </w:pPr>
                  <w:r>
                    <w:rPr>
                      <w:rFonts w:hint="eastAsia" w:cs="Times New Roman"/>
                      <w:color w:val="auto"/>
                      <w:sz w:val="21"/>
                      <w:szCs w:val="21"/>
                      <w:highlight w:val="none"/>
                      <w:u w:val="none" w:color="auto"/>
                      <w:vertAlign w:val="baseline"/>
                      <w:lang w:val="en-US" w:eastAsia="zh-CN"/>
                    </w:rPr>
                    <w:t>监测点位名称</w:t>
                  </w:r>
                </w:p>
              </w:tc>
              <w:tc>
                <w:tcPr>
                  <w:tcW w:w="1721" w:type="dxa"/>
                  <w:tcBorders>
                    <w:top w:val="single" w:color="auto" w:sz="12" w:space="0"/>
                  </w:tcBorders>
                  <w:vAlign w:val="center"/>
                </w:tcPr>
                <w:p w14:paraId="5CAB5932">
                  <w:pPr>
                    <w:pStyle w:val="27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highlight w:val="none"/>
                      <w:u w:val="none" w:color="auto"/>
                      <w:vertAlign w:val="baseline"/>
                      <w:lang w:val="en-US" w:eastAsia="zh-CN"/>
                    </w:rPr>
                  </w:pPr>
                  <w:r>
                    <w:rPr>
                      <w:rFonts w:hint="eastAsia" w:cs="Times New Roman"/>
                      <w:color w:val="auto"/>
                      <w:sz w:val="21"/>
                      <w:szCs w:val="21"/>
                      <w:highlight w:val="none"/>
                      <w:u w:val="none" w:color="auto"/>
                      <w:vertAlign w:val="baseline"/>
                      <w:lang w:val="en-US" w:eastAsia="zh-CN"/>
                    </w:rPr>
                    <w:t>布点位置</w:t>
                  </w:r>
                </w:p>
              </w:tc>
              <w:tc>
                <w:tcPr>
                  <w:tcW w:w="1204" w:type="dxa"/>
                  <w:tcBorders>
                    <w:top w:val="single" w:color="auto" w:sz="12" w:space="0"/>
                  </w:tcBorders>
                  <w:vAlign w:val="center"/>
                </w:tcPr>
                <w:p w14:paraId="2F68279B">
                  <w:pPr>
                    <w:pStyle w:val="27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highlight w:val="none"/>
                      <w:u w:val="none" w:color="auto"/>
                      <w:vertAlign w:val="baseline"/>
                      <w:lang w:val="en-US" w:eastAsia="zh-CN"/>
                    </w:rPr>
                  </w:pPr>
                  <w:r>
                    <w:rPr>
                      <w:rFonts w:hint="eastAsia" w:cs="Times New Roman"/>
                      <w:color w:val="auto"/>
                      <w:sz w:val="21"/>
                      <w:szCs w:val="21"/>
                      <w:highlight w:val="none"/>
                      <w:u w:val="none" w:color="auto"/>
                      <w:vertAlign w:val="baseline"/>
                      <w:lang w:val="en-US" w:eastAsia="zh-CN"/>
                    </w:rPr>
                    <w:t>监测时段</w:t>
                  </w:r>
                </w:p>
              </w:tc>
              <w:tc>
                <w:tcPr>
                  <w:tcW w:w="2850" w:type="dxa"/>
                  <w:tcBorders>
                    <w:top w:val="single" w:color="auto" w:sz="12" w:space="0"/>
                  </w:tcBorders>
                  <w:vAlign w:val="center"/>
                </w:tcPr>
                <w:p w14:paraId="4F2E6F22">
                  <w:pPr>
                    <w:pStyle w:val="27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highlight w:val="none"/>
                      <w:u w:val="none" w:color="auto"/>
                      <w:vertAlign w:val="baseline"/>
                      <w:lang w:val="en-US" w:eastAsia="zh-CN"/>
                    </w:rPr>
                  </w:pPr>
                  <w:r>
                    <w:rPr>
                      <w:rFonts w:hint="eastAsia" w:cs="Times New Roman"/>
                      <w:color w:val="auto"/>
                      <w:sz w:val="21"/>
                      <w:szCs w:val="21"/>
                      <w:highlight w:val="none"/>
                      <w:u w:val="none" w:color="auto"/>
                      <w:vertAlign w:val="baseline"/>
                      <w:lang w:val="en-US" w:eastAsia="zh-CN"/>
                    </w:rPr>
                    <w:t>监测因子</w:t>
                  </w:r>
                </w:p>
              </w:tc>
              <w:tc>
                <w:tcPr>
                  <w:tcW w:w="1305" w:type="dxa"/>
                  <w:tcBorders>
                    <w:top w:val="single" w:color="auto" w:sz="12" w:space="0"/>
                    <w:right w:val="single" w:color="auto" w:sz="12" w:space="0"/>
                  </w:tcBorders>
                  <w:vAlign w:val="center"/>
                </w:tcPr>
                <w:p w14:paraId="76E16815">
                  <w:pPr>
                    <w:pStyle w:val="27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highlight w:val="none"/>
                      <w:u w:val="none" w:color="auto"/>
                      <w:vertAlign w:val="baseline"/>
                      <w:lang w:val="en-US" w:eastAsia="zh-CN"/>
                    </w:rPr>
                  </w:pPr>
                  <w:r>
                    <w:rPr>
                      <w:rFonts w:hint="eastAsia" w:cs="Times New Roman"/>
                      <w:color w:val="auto"/>
                      <w:sz w:val="21"/>
                      <w:szCs w:val="21"/>
                      <w:highlight w:val="none"/>
                      <w:u w:val="none" w:color="auto"/>
                      <w:vertAlign w:val="baseline"/>
                      <w:lang w:val="en-US" w:eastAsia="zh-CN"/>
                    </w:rPr>
                    <w:t>与本项目位置关系</w:t>
                  </w:r>
                </w:p>
              </w:tc>
            </w:tr>
            <w:tr w14:paraId="646F5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Borders>
                    <w:left w:val="single" w:color="auto" w:sz="4" w:space="0"/>
                    <w:bottom w:val="single" w:color="auto" w:sz="12" w:space="0"/>
                  </w:tcBorders>
                  <w:vAlign w:val="center"/>
                </w:tcPr>
                <w:p w14:paraId="2741568C">
                  <w:pPr>
                    <w:pStyle w:val="27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highlight w:val="none"/>
                      <w:u w:val="none" w:color="auto"/>
                      <w:vertAlign w:val="baseline"/>
                      <w:lang w:val="en-US" w:eastAsia="zh-CN"/>
                    </w:rPr>
                  </w:pPr>
                  <w:r>
                    <w:rPr>
                      <w:rFonts w:hint="eastAsia" w:cs="Times New Roman"/>
                      <w:color w:val="auto"/>
                      <w:sz w:val="21"/>
                      <w:szCs w:val="21"/>
                      <w:highlight w:val="none"/>
                      <w:u w:val="none" w:color="auto"/>
                      <w:vertAlign w:val="baseline"/>
                      <w:lang w:val="en-US" w:eastAsia="zh-CN"/>
                    </w:rPr>
                    <w:t>S1狮行山水闸下游500m</w:t>
                  </w:r>
                </w:p>
              </w:tc>
              <w:tc>
                <w:tcPr>
                  <w:tcW w:w="1721" w:type="dxa"/>
                  <w:tcBorders>
                    <w:bottom w:val="single" w:color="auto" w:sz="12" w:space="0"/>
                  </w:tcBorders>
                  <w:vAlign w:val="center"/>
                </w:tcPr>
                <w:p w14:paraId="60BD44D6">
                  <w:pPr>
                    <w:pStyle w:val="27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highlight w:val="none"/>
                      <w:u w:val="none" w:color="auto"/>
                      <w:vertAlign w:val="baseline"/>
                      <w:lang w:val="en-US" w:eastAsia="zh-CN"/>
                    </w:rPr>
                  </w:pPr>
                  <w:r>
                    <w:rPr>
                      <w:rFonts w:hint="eastAsia" w:cs="Times New Roman"/>
                      <w:color w:val="auto"/>
                      <w:sz w:val="21"/>
                      <w:szCs w:val="21"/>
                      <w:highlight w:val="none"/>
                      <w:u w:val="none" w:color="auto"/>
                      <w:vertAlign w:val="baseline"/>
                      <w:lang w:val="en-US" w:eastAsia="zh-CN"/>
                    </w:rPr>
                    <w:t>113.288825°E，28.931591°N</w:t>
                  </w:r>
                </w:p>
              </w:tc>
              <w:tc>
                <w:tcPr>
                  <w:tcW w:w="1204" w:type="dxa"/>
                  <w:tcBorders>
                    <w:bottom w:val="single" w:color="auto" w:sz="12" w:space="0"/>
                  </w:tcBorders>
                  <w:vAlign w:val="center"/>
                </w:tcPr>
                <w:p w14:paraId="6D654D20">
                  <w:pPr>
                    <w:pStyle w:val="27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highlight w:val="none"/>
                      <w:u w:val="none" w:color="auto"/>
                      <w:vertAlign w:val="baseline"/>
                      <w:lang w:val="en-US" w:eastAsia="zh-CN"/>
                    </w:rPr>
                  </w:pPr>
                  <w:r>
                    <w:rPr>
                      <w:rFonts w:hint="eastAsia" w:cs="Times New Roman"/>
                      <w:color w:val="auto"/>
                      <w:sz w:val="21"/>
                      <w:szCs w:val="21"/>
                      <w:highlight w:val="none"/>
                      <w:u w:val="none" w:color="auto"/>
                      <w:vertAlign w:val="baseline"/>
                      <w:lang w:val="en-US" w:eastAsia="zh-CN"/>
                    </w:rPr>
                    <w:t>2024.08.06~2024.08.08</w:t>
                  </w:r>
                </w:p>
              </w:tc>
              <w:tc>
                <w:tcPr>
                  <w:tcW w:w="2850" w:type="dxa"/>
                  <w:tcBorders>
                    <w:bottom w:val="single" w:color="auto" w:sz="12" w:space="0"/>
                  </w:tcBorders>
                  <w:vAlign w:val="center"/>
                </w:tcPr>
                <w:p w14:paraId="52DC6B40">
                  <w:pPr>
                    <w:pStyle w:val="27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highlight w:val="none"/>
                      <w:u w:val="none" w:color="auto"/>
                      <w:vertAlign w:val="baseline"/>
                      <w:lang w:val="en-US" w:eastAsia="zh-CN"/>
                    </w:rPr>
                  </w:pPr>
                  <w:r>
                    <w:rPr>
                      <w:rFonts w:hint="eastAsia" w:cs="Times New Roman"/>
                      <w:color w:val="auto"/>
                      <w:sz w:val="21"/>
                      <w:szCs w:val="21"/>
                      <w:highlight w:val="none"/>
                      <w:u w:val="none" w:color="auto"/>
                      <w:vertAlign w:val="baseline"/>
                      <w:lang w:val="en-US" w:eastAsia="zh-CN"/>
                    </w:rPr>
                    <w:t>pH值、水温、溶解氧、化学需氧量、五日生化需氧量、氨氮、总磷、悬浮物、石油类、粪大肠菌群、镉、汞、砷、铅、六价铬、铜、镍、锌</w:t>
                  </w:r>
                </w:p>
              </w:tc>
              <w:tc>
                <w:tcPr>
                  <w:tcW w:w="1305" w:type="dxa"/>
                  <w:tcBorders>
                    <w:bottom w:val="single" w:color="auto" w:sz="12" w:space="0"/>
                    <w:right w:val="single" w:color="auto" w:sz="12" w:space="0"/>
                  </w:tcBorders>
                  <w:vAlign w:val="center"/>
                </w:tcPr>
                <w:p w14:paraId="1AF338F6">
                  <w:pPr>
                    <w:pStyle w:val="27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highlight w:val="none"/>
                      <w:u w:val="none" w:color="auto"/>
                      <w:vertAlign w:val="baseline"/>
                      <w:lang w:val="en-US" w:eastAsia="zh-CN"/>
                    </w:rPr>
                  </w:pPr>
                  <w:r>
                    <w:rPr>
                      <w:rFonts w:hint="eastAsia" w:cs="Times New Roman"/>
                      <w:color w:val="auto"/>
                      <w:sz w:val="21"/>
                      <w:szCs w:val="21"/>
                      <w:highlight w:val="none"/>
                      <w:u w:val="none" w:color="auto"/>
                      <w:vertAlign w:val="baseline"/>
                      <w:lang w:val="en-US" w:eastAsia="zh-CN"/>
                    </w:rPr>
                    <w:t>西北，2360m</w:t>
                  </w:r>
                </w:p>
              </w:tc>
            </w:tr>
          </w:tbl>
          <w:p w14:paraId="44E91B8A">
            <w:pPr>
              <w:pStyle w:val="276"/>
              <w:spacing w:line="360" w:lineRule="auto"/>
              <w:ind w:firstLine="480"/>
              <w:rPr>
                <w:rFonts w:hint="default" w:cs="Times New Roman"/>
                <w:color w:val="auto"/>
                <w:highlight w:val="none"/>
                <w:u w:val="none" w:color="auto"/>
                <w:lang w:val="en-US" w:eastAsia="zh-CN"/>
              </w:rPr>
            </w:pPr>
            <w:r>
              <w:rPr>
                <w:rFonts w:hint="eastAsia" w:cs="Times New Roman"/>
                <w:color w:val="auto"/>
                <w:highlight w:val="none"/>
                <w:u w:val="none" w:color="auto"/>
                <w:lang w:val="en-US" w:eastAsia="zh-CN"/>
              </w:rPr>
              <w:t>监测结果统计如下。</w:t>
            </w:r>
          </w:p>
          <w:p w14:paraId="12A5FDB4">
            <w:pPr>
              <w:pStyle w:val="276"/>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cs="Times New Roman"/>
                <w:color w:val="auto"/>
                <w:highlight w:val="none"/>
                <w:u w:val="none" w:color="auto"/>
                <w:lang w:val="en-US" w:eastAsia="zh-CN"/>
              </w:rPr>
            </w:pPr>
            <w:r>
              <w:rPr>
                <w:rFonts w:hint="eastAsia" w:cs="Times New Roman"/>
                <w:b/>
                <w:bCs/>
                <w:color w:val="auto"/>
                <w:sz w:val="21"/>
                <w:szCs w:val="21"/>
                <w:highlight w:val="none"/>
                <w:u w:val="none" w:color="auto"/>
                <w:lang w:val="en-US" w:eastAsia="zh-CN"/>
              </w:rPr>
              <w:t>表3-7 监测数据统计单位mg/L（pH除外）</w:t>
            </w:r>
          </w:p>
          <w:tbl>
            <w:tblPr>
              <w:tblStyle w:val="43"/>
              <w:tblW w:w="80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1811"/>
              <w:gridCol w:w="1340"/>
              <w:gridCol w:w="1340"/>
              <w:gridCol w:w="1340"/>
              <w:gridCol w:w="1340"/>
            </w:tblGrid>
            <w:tr w14:paraId="1D96A7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tcBorders>
                    <w:top w:val="single" w:color="auto" w:sz="12" w:space="0"/>
                    <w:bottom w:val="single" w:color="auto" w:sz="4" w:space="0"/>
                  </w:tcBorders>
                  <w:vAlign w:val="center"/>
                </w:tcPr>
                <w:p w14:paraId="24FC8B63">
                  <w:pPr>
                    <w:pStyle w:val="27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highlight w:val="none"/>
                      <w:u w:val="none" w:color="auto"/>
                      <w:vertAlign w:val="baseline"/>
                      <w:lang w:val="en-US" w:eastAsia="zh-CN"/>
                    </w:rPr>
                  </w:pPr>
                  <w:r>
                    <w:rPr>
                      <w:rFonts w:hint="eastAsia" w:cs="Times New Roman"/>
                      <w:color w:val="auto"/>
                      <w:sz w:val="21"/>
                      <w:szCs w:val="21"/>
                      <w:highlight w:val="none"/>
                      <w:u w:val="none" w:color="auto"/>
                      <w:vertAlign w:val="baseline"/>
                      <w:lang w:val="en-US" w:eastAsia="zh-CN"/>
                    </w:rPr>
                    <w:t>采样地点</w:t>
                  </w:r>
                </w:p>
              </w:tc>
              <w:tc>
                <w:tcPr>
                  <w:tcW w:w="1811" w:type="dxa"/>
                  <w:tcBorders>
                    <w:top w:val="single" w:color="auto" w:sz="12" w:space="0"/>
                    <w:bottom w:val="single" w:color="auto" w:sz="4" w:space="0"/>
                  </w:tcBorders>
                  <w:vAlign w:val="center"/>
                </w:tcPr>
                <w:p w14:paraId="691D3FF3">
                  <w:pPr>
                    <w:pStyle w:val="27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highlight w:val="none"/>
                      <w:u w:val="none" w:color="auto"/>
                      <w:vertAlign w:val="baseline"/>
                      <w:lang w:val="en-US" w:eastAsia="zh-CN"/>
                    </w:rPr>
                  </w:pPr>
                  <w:r>
                    <w:rPr>
                      <w:rFonts w:hint="eastAsia" w:cs="Times New Roman"/>
                      <w:color w:val="auto"/>
                      <w:sz w:val="21"/>
                      <w:szCs w:val="21"/>
                      <w:highlight w:val="none"/>
                      <w:u w:val="none" w:color="auto"/>
                      <w:vertAlign w:val="baseline"/>
                      <w:lang w:val="en-US" w:eastAsia="zh-CN"/>
                    </w:rPr>
                    <w:t>检测项目</w:t>
                  </w:r>
                </w:p>
              </w:tc>
              <w:tc>
                <w:tcPr>
                  <w:tcW w:w="1340" w:type="dxa"/>
                  <w:tcBorders>
                    <w:top w:val="single" w:color="auto" w:sz="12" w:space="0"/>
                    <w:bottom w:val="single" w:color="auto" w:sz="4" w:space="0"/>
                  </w:tcBorders>
                  <w:vAlign w:val="center"/>
                </w:tcPr>
                <w:p w14:paraId="67A79582">
                  <w:pPr>
                    <w:pStyle w:val="27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highlight w:val="none"/>
                      <w:u w:val="none" w:color="auto"/>
                      <w:vertAlign w:val="baseline"/>
                      <w:lang w:val="en-US" w:eastAsia="zh-CN"/>
                    </w:rPr>
                  </w:pPr>
                  <w:r>
                    <w:rPr>
                      <w:rFonts w:hint="eastAsia" w:cs="Times New Roman"/>
                      <w:color w:val="auto"/>
                      <w:sz w:val="21"/>
                      <w:szCs w:val="21"/>
                      <w:highlight w:val="none"/>
                      <w:u w:val="none" w:color="auto"/>
                      <w:vertAlign w:val="baseline"/>
                      <w:lang w:val="en-US" w:eastAsia="zh-CN"/>
                    </w:rPr>
                    <w:t>浓度范围</w:t>
                  </w:r>
                </w:p>
              </w:tc>
              <w:tc>
                <w:tcPr>
                  <w:tcW w:w="1340" w:type="dxa"/>
                  <w:tcBorders>
                    <w:top w:val="single" w:color="auto" w:sz="12" w:space="0"/>
                    <w:bottom w:val="single" w:color="auto" w:sz="4" w:space="0"/>
                  </w:tcBorders>
                  <w:vAlign w:val="center"/>
                </w:tcPr>
                <w:p w14:paraId="7136B341">
                  <w:pPr>
                    <w:pStyle w:val="27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highlight w:val="none"/>
                      <w:u w:val="none" w:color="auto"/>
                      <w:vertAlign w:val="baseline"/>
                      <w:lang w:val="en-US" w:eastAsia="zh-CN"/>
                    </w:rPr>
                  </w:pPr>
                  <w:r>
                    <w:rPr>
                      <w:rFonts w:hint="eastAsia" w:cs="Times New Roman"/>
                      <w:color w:val="auto"/>
                      <w:sz w:val="21"/>
                      <w:szCs w:val="21"/>
                      <w:highlight w:val="none"/>
                      <w:u w:val="none" w:color="auto"/>
                      <w:vertAlign w:val="baseline"/>
                      <w:lang w:val="en-US" w:eastAsia="zh-CN"/>
                    </w:rPr>
                    <w:t>标准指数</w:t>
                  </w:r>
                </w:p>
              </w:tc>
              <w:tc>
                <w:tcPr>
                  <w:tcW w:w="1340" w:type="dxa"/>
                  <w:tcBorders>
                    <w:top w:val="single" w:color="auto" w:sz="12" w:space="0"/>
                    <w:bottom w:val="single" w:color="auto" w:sz="4" w:space="0"/>
                  </w:tcBorders>
                  <w:vAlign w:val="center"/>
                </w:tcPr>
                <w:p w14:paraId="37B399F6">
                  <w:pPr>
                    <w:pStyle w:val="27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highlight w:val="none"/>
                      <w:u w:val="none" w:color="auto"/>
                      <w:vertAlign w:val="baseline"/>
                      <w:lang w:val="en-US" w:eastAsia="zh-CN"/>
                    </w:rPr>
                  </w:pPr>
                  <w:r>
                    <w:rPr>
                      <w:rFonts w:hint="eastAsia" w:cs="Times New Roman"/>
                      <w:color w:val="auto"/>
                      <w:sz w:val="21"/>
                      <w:szCs w:val="21"/>
                      <w:highlight w:val="none"/>
                      <w:u w:val="none" w:color="auto"/>
                      <w:vertAlign w:val="baseline"/>
                      <w:lang w:val="en-US" w:eastAsia="zh-CN"/>
                    </w:rPr>
                    <w:t>标准值</w:t>
                  </w:r>
                </w:p>
              </w:tc>
              <w:tc>
                <w:tcPr>
                  <w:tcW w:w="1340" w:type="dxa"/>
                  <w:tcBorders>
                    <w:top w:val="single" w:color="auto" w:sz="12" w:space="0"/>
                    <w:bottom w:val="single" w:color="auto" w:sz="4" w:space="0"/>
                    <w:right w:val="single" w:color="auto" w:sz="12" w:space="0"/>
                  </w:tcBorders>
                  <w:vAlign w:val="center"/>
                </w:tcPr>
                <w:p w14:paraId="10B2B71C">
                  <w:pPr>
                    <w:pStyle w:val="27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highlight w:val="none"/>
                      <w:u w:val="none" w:color="auto"/>
                      <w:vertAlign w:val="baseline"/>
                      <w:lang w:val="en-US" w:eastAsia="zh-CN"/>
                    </w:rPr>
                  </w:pPr>
                  <w:r>
                    <w:rPr>
                      <w:rFonts w:hint="eastAsia" w:cs="Times New Roman"/>
                      <w:color w:val="auto"/>
                      <w:sz w:val="21"/>
                      <w:szCs w:val="21"/>
                      <w:highlight w:val="none"/>
                      <w:u w:val="none" w:color="auto"/>
                      <w:vertAlign w:val="baseline"/>
                      <w:lang w:val="en-US" w:eastAsia="zh-CN"/>
                    </w:rPr>
                    <w:t>是否达标</w:t>
                  </w:r>
                </w:p>
              </w:tc>
            </w:tr>
            <w:tr w14:paraId="6E4B8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Merge w:val="restart"/>
                  <w:tcBorders>
                    <w:top w:val="single" w:color="auto" w:sz="4" w:space="0"/>
                    <w:left w:val="single" w:color="auto" w:sz="4" w:space="0"/>
                  </w:tcBorders>
                  <w:vAlign w:val="center"/>
                </w:tcPr>
                <w:p w14:paraId="4A9EB3AC">
                  <w:pPr>
                    <w:pStyle w:val="27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highlight w:val="none"/>
                      <w:u w:val="none" w:color="auto"/>
                      <w:vertAlign w:val="baseline"/>
                      <w:lang w:val="en-US" w:eastAsia="zh-CN"/>
                    </w:rPr>
                  </w:pPr>
                  <w:r>
                    <w:rPr>
                      <w:rFonts w:hint="eastAsia" w:cs="Times New Roman"/>
                      <w:color w:val="auto"/>
                      <w:sz w:val="21"/>
                      <w:szCs w:val="21"/>
                      <w:highlight w:val="none"/>
                      <w:u w:val="none" w:color="auto"/>
                      <w:vertAlign w:val="baseline"/>
                      <w:lang w:val="en-US" w:eastAsia="zh-CN"/>
                    </w:rPr>
                    <w:t>S1项目区下游500m</w:t>
                  </w:r>
                </w:p>
              </w:tc>
              <w:tc>
                <w:tcPr>
                  <w:tcW w:w="1811" w:type="dxa"/>
                  <w:tcBorders>
                    <w:top w:val="single" w:color="auto" w:sz="4" w:space="0"/>
                    <w:bottom w:val="single" w:color="auto" w:sz="4" w:space="0"/>
                  </w:tcBorders>
                  <w:shd w:val="clear" w:color="auto" w:fill="auto"/>
                  <w:vAlign w:val="center"/>
                </w:tcPr>
                <w:p w14:paraId="5771E23F">
                  <w:pPr>
                    <w:pStyle w:val="59"/>
                    <w:bidi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水温</w:t>
                  </w:r>
                </w:p>
              </w:tc>
              <w:tc>
                <w:tcPr>
                  <w:tcW w:w="1340" w:type="dxa"/>
                  <w:tcBorders>
                    <w:top w:val="single" w:color="auto" w:sz="4" w:space="0"/>
                    <w:bottom w:val="single" w:color="auto" w:sz="4" w:space="0"/>
                  </w:tcBorders>
                  <w:shd w:val="clear" w:color="auto" w:fill="auto"/>
                  <w:vAlign w:val="center"/>
                </w:tcPr>
                <w:p w14:paraId="636F9410">
                  <w:pPr>
                    <w:pStyle w:val="59"/>
                    <w:bidi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31.4~31.7</w:t>
                  </w:r>
                </w:p>
              </w:tc>
              <w:tc>
                <w:tcPr>
                  <w:tcW w:w="1340" w:type="dxa"/>
                  <w:tcBorders>
                    <w:top w:val="single" w:color="auto" w:sz="4" w:space="0"/>
                    <w:bottom w:val="single" w:color="auto" w:sz="4" w:space="0"/>
                  </w:tcBorders>
                  <w:shd w:val="clear" w:color="auto" w:fill="auto"/>
                  <w:vAlign w:val="center"/>
                </w:tcPr>
                <w:p w14:paraId="3C30CCEF">
                  <w:pPr>
                    <w:pStyle w:val="59"/>
                    <w:jc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olor w:val="auto"/>
                      <w:sz w:val="21"/>
                      <w:szCs w:val="21"/>
                      <w:highlight w:val="none"/>
                      <w:u w:val="none" w:color="auto"/>
                      <w:lang w:val="en-US" w:eastAsia="zh-CN"/>
                    </w:rPr>
                    <w:t>/</w:t>
                  </w:r>
                </w:p>
              </w:tc>
              <w:tc>
                <w:tcPr>
                  <w:tcW w:w="1340" w:type="dxa"/>
                  <w:tcBorders>
                    <w:top w:val="single" w:color="auto" w:sz="4" w:space="0"/>
                    <w:bottom w:val="single" w:color="auto" w:sz="4" w:space="0"/>
                  </w:tcBorders>
                  <w:shd w:val="clear" w:color="auto" w:fill="auto"/>
                  <w:vAlign w:val="center"/>
                </w:tcPr>
                <w:p w14:paraId="68DA4068">
                  <w:pPr>
                    <w:pStyle w:val="59"/>
                    <w:bidi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w:t>
                  </w:r>
                </w:p>
              </w:tc>
              <w:tc>
                <w:tcPr>
                  <w:tcW w:w="1340" w:type="dxa"/>
                  <w:tcBorders>
                    <w:top w:val="single" w:color="auto" w:sz="4" w:space="0"/>
                    <w:bottom w:val="single" w:color="auto" w:sz="4" w:space="0"/>
                    <w:right w:val="single" w:color="auto" w:sz="12" w:space="0"/>
                  </w:tcBorders>
                  <w:shd w:val="clear" w:color="auto" w:fill="auto"/>
                  <w:vAlign w:val="center"/>
                </w:tcPr>
                <w:p w14:paraId="248888C5">
                  <w:pPr>
                    <w:pStyle w:val="59"/>
                    <w:jc w:val="center"/>
                    <w:rPr>
                      <w:rFonts w:hint="eastAsia" w:ascii="Times New Roman" w:hAnsi="Times New Roman" w:eastAsia="宋体" w:cs="Times New Roman"/>
                      <w:color w:val="auto"/>
                      <w:kern w:val="2"/>
                      <w:sz w:val="21"/>
                      <w:szCs w:val="21"/>
                      <w:highlight w:val="none"/>
                      <w:u w:val="none" w:color="auto"/>
                      <w:lang w:val="en-US" w:eastAsia="zh-CN" w:bidi="ar-SA"/>
                    </w:rPr>
                  </w:pPr>
                  <w:r>
                    <w:rPr>
                      <w:color w:val="auto"/>
                      <w:sz w:val="21"/>
                      <w:szCs w:val="21"/>
                      <w:highlight w:val="none"/>
                      <w:u w:val="none" w:color="auto"/>
                    </w:rPr>
                    <w:t>是</w:t>
                  </w:r>
                </w:p>
              </w:tc>
            </w:tr>
            <w:tr w14:paraId="3BF80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Merge w:val="continue"/>
                  <w:tcBorders>
                    <w:left w:val="single" w:color="auto" w:sz="4" w:space="0"/>
                  </w:tcBorders>
                  <w:vAlign w:val="center"/>
                </w:tcPr>
                <w:p w14:paraId="6C036576">
                  <w:pPr>
                    <w:pStyle w:val="27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highlight w:val="none"/>
                      <w:u w:val="none" w:color="auto"/>
                      <w:vertAlign w:val="baseline"/>
                      <w:lang w:val="en-US" w:eastAsia="zh-CN"/>
                    </w:rPr>
                  </w:pPr>
                </w:p>
              </w:tc>
              <w:tc>
                <w:tcPr>
                  <w:tcW w:w="1811" w:type="dxa"/>
                  <w:tcBorders>
                    <w:top w:val="single" w:color="auto" w:sz="4" w:space="0"/>
                    <w:bottom w:val="single" w:color="auto" w:sz="4" w:space="0"/>
                  </w:tcBorders>
                  <w:shd w:val="clear" w:color="auto" w:fill="auto"/>
                  <w:vAlign w:val="center"/>
                </w:tcPr>
                <w:p w14:paraId="77C06351">
                  <w:pPr>
                    <w:pStyle w:val="59"/>
                    <w:bidi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pH值</w:t>
                  </w:r>
                </w:p>
              </w:tc>
              <w:tc>
                <w:tcPr>
                  <w:tcW w:w="1340" w:type="dxa"/>
                  <w:tcBorders>
                    <w:top w:val="single" w:color="auto" w:sz="4" w:space="0"/>
                    <w:bottom w:val="single" w:color="auto" w:sz="4" w:space="0"/>
                  </w:tcBorders>
                  <w:shd w:val="clear" w:color="auto" w:fill="auto"/>
                  <w:vAlign w:val="center"/>
                </w:tcPr>
                <w:p w14:paraId="1614726E">
                  <w:pPr>
                    <w:pStyle w:val="59"/>
                    <w:bidi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7.4~7.9</w:t>
                  </w:r>
                </w:p>
              </w:tc>
              <w:tc>
                <w:tcPr>
                  <w:tcW w:w="1340" w:type="dxa"/>
                  <w:tcBorders>
                    <w:top w:val="single" w:color="auto" w:sz="4" w:space="0"/>
                    <w:bottom w:val="single" w:color="auto" w:sz="4" w:space="0"/>
                  </w:tcBorders>
                  <w:shd w:val="clear" w:color="auto" w:fill="auto"/>
                  <w:vAlign w:val="center"/>
                </w:tcPr>
                <w:p w14:paraId="279C461D">
                  <w:pPr>
                    <w:pStyle w:val="59"/>
                    <w:jc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olor w:val="auto"/>
                      <w:sz w:val="21"/>
                      <w:szCs w:val="21"/>
                      <w:highlight w:val="none"/>
                      <w:u w:val="none" w:color="auto"/>
                      <w:lang w:val="en-US" w:eastAsia="zh-CN"/>
                    </w:rPr>
                    <w:t>0.45</w:t>
                  </w:r>
                </w:p>
              </w:tc>
              <w:tc>
                <w:tcPr>
                  <w:tcW w:w="1340" w:type="dxa"/>
                  <w:tcBorders>
                    <w:top w:val="single" w:color="auto" w:sz="4" w:space="0"/>
                    <w:bottom w:val="single" w:color="auto" w:sz="4" w:space="0"/>
                  </w:tcBorders>
                  <w:shd w:val="clear" w:color="auto" w:fill="auto"/>
                  <w:vAlign w:val="center"/>
                </w:tcPr>
                <w:p w14:paraId="5B4B4021">
                  <w:pPr>
                    <w:pStyle w:val="59"/>
                    <w:bidi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6-9</w:t>
                  </w:r>
                </w:p>
              </w:tc>
              <w:tc>
                <w:tcPr>
                  <w:tcW w:w="1340" w:type="dxa"/>
                  <w:tcBorders>
                    <w:top w:val="single" w:color="auto" w:sz="4" w:space="0"/>
                    <w:bottom w:val="single" w:color="auto" w:sz="4" w:space="0"/>
                    <w:right w:val="single" w:color="auto" w:sz="12" w:space="0"/>
                  </w:tcBorders>
                  <w:shd w:val="clear" w:color="auto" w:fill="auto"/>
                  <w:vAlign w:val="center"/>
                </w:tcPr>
                <w:p w14:paraId="1AB4CDFC">
                  <w:pPr>
                    <w:pStyle w:val="59"/>
                    <w:jc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olor w:val="auto"/>
                      <w:sz w:val="21"/>
                      <w:szCs w:val="21"/>
                      <w:highlight w:val="none"/>
                      <w:u w:val="none" w:color="auto"/>
                      <w:lang w:val="en-US" w:eastAsia="zh-CN"/>
                    </w:rPr>
                    <w:t>是</w:t>
                  </w:r>
                </w:p>
              </w:tc>
            </w:tr>
            <w:tr w14:paraId="4D2FB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Merge w:val="continue"/>
                  <w:tcBorders>
                    <w:left w:val="single" w:color="auto" w:sz="4" w:space="0"/>
                  </w:tcBorders>
                  <w:vAlign w:val="center"/>
                </w:tcPr>
                <w:p w14:paraId="0FEBB612">
                  <w:pPr>
                    <w:pStyle w:val="27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highlight w:val="none"/>
                      <w:u w:val="none" w:color="auto"/>
                      <w:vertAlign w:val="baseline"/>
                      <w:lang w:val="en-US" w:eastAsia="zh-CN"/>
                    </w:rPr>
                  </w:pPr>
                </w:p>
              </w:tc>
              <w:tc>
                <w:tcPr>
                  <w:tcW w:w="1811" w:type="dxa"/>
                  <w:tcBorders>
                    <w:top w:val="single" w:color="auto" w:sz="4" w:space="0"/>
                    <w:bottom w:val="single" w:color="auto" w:sz="4" w:space="0"/>
                  </w:tcBorders>
                  <w:shd w:val="clear" w:color="auto" w:fill="auto"/>
                  <w:vAlign w:val="center"/>
                </w:tcPr>
                <w:p w14:paraId="6367874A">
                  <w:pPr>
                    <w:pStyle w:val="59"/>
                    <w:bidi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rPr>
                    <w:t>溶解氧</w:t>
                  </w:r>
                </w:p>
              </w:tc>
              <w:tc>
                <w:tcPr>
                  <w:tcW w:w="1340" w:type="dxa"/>
                  <w:tcBorders>
                    <w:top w:val="single" w:color="auto" w:sz="4" w:space="0"/>
                    <w:bottom w:val="single" w:color="auto" w:sz="4" w:space="0"/>
                  </w:tcBorders>
                  <w:shd w:val="clear" w:color="auto" w:fill="auto"/>
                  <w:vAlign w:val="center"/>
                </w:tcPr>
                <w:p w14:paraId="78219A5C">
                  <w:pPr>
                    <w:pStyle w:val="59"/>
                    <w:bidi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5.7~6.3</w:t>
                  </w:r>
                </w:p>
              </w:tc>
              <w:tc>
                <w:tcPr>
                  <w:tcW w:w="1340" w:type="dxa"/>
                  <w:tcBorders>
                    <w:top w:val="single" w:color="auto" w:sz="4" w:space="0"/>
                    <w:bottom w:val="single" w:color="auto" w:sz="4" w:space="0"/>
                  </w:tcBorders>
                  <w:shd w:val="clear" w:color="auto" w:fill="auto"/>
                  <w:vAlign w:val="center"/>
                </w:tcPr>
                <w:p w14:paraId="3066329A">
                  <w:pPr>
                    <w:pStyle w:val="59"/>
                    <w:jc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olor w:val="auto"/>
                      <w:sz w:val="21"/>
                      <w:szCs w:val="21"/>
                      <w:highlight w:val="none"/>
                      <w:u w:val="none" w:color="auto"/>
                      <w:lang w:val="en-US" w:eastAsia="zh-CN"/>
                    </w:rPr>
                    <w:t>0.769~0.848</w:t>
                  </w:r>
                </w:p>
              </w:tc>
              <w:tc>
                <w:tcPr>
                  <w:tcW w:w="1340" w:type="dxa"/>
                  <w:tcBorders>
                    <w:top w:val="single" w:color="auto" w:sz="4" w:space="0"/>
                    <w:bottom w:val="single" w:color="auto" w:sz="4" w:space="0"/>
                  </w:tcBorders>
                  <w:shd w:val="clear" w:color="auto" w:fill="auto"/>
                  <w:vAlign w:val="center"/>
                </w:tcPr>
                <w:p w14:paraId="45F003A0">
                  <w:pPr>
                    <w:pStyle w:val="59"/>
                    <w:bidi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≥5</w:t>
                  </w:r>
                </w:p>
              </w:tc>
              <w:tc>
                <w:tcPr>
                  <w:tcW w:w="1340" w:type="dxa"/>
                  <w:tcBorders>
                    <w:top w:val="single" w:color="auto" w:sz="4" w:space="0"/>
                    <w:bottom w:val="single" w:color="auto" w:sz="4" w:space="0"/>
                    <w:right w:val="single" w:color="auto" w:sz="12" w:space="0"/>
                  </w:tcBorders>
                  <w:shd w:val="clear" w:color="auto" w:fill="auto"/>
                  <w:vAlign w:val="center"/>
                </w:tcPr>
                <w:p w14:paraId="3E55B80F">
                  <w:pPr>
                    <w:pStyle w:val="59"/>
                    <w:jc w:val="center"/>
                    <w:rPr>
                      <w:rFonts w:hint="eastAsia" w:ascii="Times New Roman" w:hAnsi="Times New Roman" w:eastAsia="宋体" w:cs="Times New Roman"/>
                      <w:color w:val="auto"/>
                      <w:kern w:val="2"/>
                      <w:sz w:val="21"/>
                      <w:szCs w:val="21"/>
                      <w:highlight w:val="none"/>
                      <w:u w:val="none" w:color="auto"/>
                      <w:lang w:val="en-US" w:eastAsia="zh-CN" w:bidi="ar-SA"/>
                    </w:rPr>
                  </w:pPr>
                </w:p>
              </w:tc>
            </w:tr>
            <w:tr w14:paraId="1FEF7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Merge w:val="continue"/>
                  <w:tcBorders>
                    <w:left w:val="single" w:color="auto" w:sz="4" w:space="0"/>
                  </w:tcBorders>
                  <w:vAlign w:val="center"/>
                </w:tcPr>
                <w:p w14:paraId="46E80028">
                  <w:pPr>
                    <w:pStyle w:val="27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highlight w:val="none"/>
                      <w:u w:val="none" w:color="auto"/>
                      <w:vertAlign w:val="baseline"/>
                      <w:lang w:val="en-US" w:eastAsia="zh-CN"/>
                    </w:rPr>
                  </w:pPr>
                </w:p>
              </w:tc>
              <w:tc>
                <w:tcPr>
                  <w:tcW w:w="1811" w:type="dxa"/>
                  <w:tcBorders>
                    <w:top w:val="single" w:color="auto" w:sz="4" w:space="0"/>
                    <w:bottom w:val="single" w:color="auto" w:sz="4" w:space="0"/>
                  </w:tcBorders>
                  <w:shd w:val="clear" w:color="auto" w:fill="auto"/>
                  <w:vAlign w:val="center"/>
                </w:tcPr>
                <w:p w14:paraId="627D1A12">
                  <w:pPr>
                    <w:pStyle w:val="59"/>
                    <w:bidi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化学需氧量</w:t>
                  </w:r>
                </w:p>
              </w:tc>
              <w:tc>
                <w:tcPr>
                  <w:tcW w:w="1340" w:type="dxa"/>
                  <w:tcBorders>
                    <w:top w:val="single" w:color="auto" w:sz="4" w:space="0"/>
                    <w:bottom w:val="single" w:color="auto" w:sz="4" w:space="0"/>
                  </w:tcBorders>
                  <w:shd w:val="clear" w:color="auto" w:fill="auto"/>
                  <w:vAlign w:val="center"/>
                </w:tcPr>
                <w:p w14:paraId="44D25F85">
                  <w:pPr>
                    <w:pStyle w:val="59"/>
                    <w:bidi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8~9</w:t>
                  </w:r>
                </w:p>
              </w:tc>
              <w:tc>
                <w:tcPr>
                  <w:tcW w:w="1340" w:type="dxa"/>
                  <w:tcBorders>
                    <w:top w:val="single" w:color="auto" w:sz="4" w:space="0"/>
                    <w:bottom w:val="single" w:color="auto" w:sz="4" w:space="0"/>
                  </w:tcBorders>
                  <w:shd w:val="clear" w:color="auto" w:fill="auto"/>
                  <w:vAlign w:val="center"/>
                </w:tcPr>
                <w:p w14:paraId="343895BE">
                  <w:pPr>
                    <w:pStyle w:val="59"/>
                    <w:jc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olor w:val="auto"/>
                      <w:sz w:val="21"/>
                      <w:szCs w:val="21"/>
                      <w:highlight w:val="none"/>
                      <w:u w:val="none" w:color="auto"/>
                      <w:lang w:val="en-US" w:eastAsia="zh-CN"/>
                    </w:rPr>
                    <w:t>0.45</w:t>
                  </w:r>
                </w:p>
              </w:tc>
              <w:tc>
                <w:tcPr>
                  <w:tcW w:w="1340" w:type="dxa"/>
                  <w:tcBorders>
                    <w:top w:val="single" w:color="auto" w:sz="4" w:space="0"/>
                    <w:bottom w:val="single" w:color="auto" w:sz="4" w:space="0"/>
                  </w:tcBorders>
                  <w:shd w:val="clear" w:color="auto" w:fill="auto"/>
                  <w:vAlign w:val="center"/>
                </w:tcPr>
                <w:p w14:paraId="25D0AADA">
                  <w:pPr>
                    <w:pStyle w:val="59"/>
                    <w:bidi w:val="0"/>
                    <w:jc w:val="center"/>
                    <w:rPr>
                      <w:rFonts w:hint="eastAsia" w:ascii="Times New Roman" w:hAnsi="Times New Roman" w:eastAsia="宋体" w:cs="Times New Roman"/>
                      <w:color w:val="auto"/>
                      <w:kern w:val="2"/>
                      <w:sz w:val="21"/>
                      <w:szCs w:val="21"/>
                      <w:highlight w:val="none"/>
                      <w:lang w:val="en-US" w:eastAsia="zh-CN" w:bidi="ar-SA"/>
                    </w:rPr>
                  </w:pPr>
                  <w:r>
                    <w:rPr>
                      <w:rFonts w:hint="default"/>
                      <w:color w:val="auto"/>
                      <w:sz w:val="21"/>
                      <w:szCs w:val="21"/>
                      <w:highlight w:val="none"/>
                      <w:lang w:val="en-US" w:eastAsia="zh-CN"/>
                    </w:rPr>
                    <w:t>≤</w:t>
                  </w:r>
                  <w:r>
                    <w:rPr>
                      <w:rFonts w:hint="eastAsia"/>
                      <w:color w:val="auto"/>
                      <w:sz w:val="21"/>
                      <w:szCs w:val="21"/>
                      <w:highlight w:val="none"/>
                      <w:lang w:val="en-US" w:eastAsia="zh-CN"/>
                    </w:rPr>
                    <w:t>20</w:t>
                  </w:r>
                </w:p>
              </w:tc>
              <w:tc>
                <w:tcPr>
                  <w:tcW w:w="1340" w:type="dxa"/>
                  <w:tcBorders>
                    <w:top w:val="single" w:color="auto" w:sz="4" w:space="0"/>
                    <w:bottom w:val="single" w:color="auto" w:sz="4" w:space="0"/>
                    <w:right w:val="single" w:color="auto" w:sz="12" w:space="0"/>
                  </w:tcBorders>
                  <w:shd w:val="clear" w:color="auto" w:fill="auto"/>
                  <w:vAlign w:val="center"/>
                </w:tcPr>
                <w:p w14:paraId="6BE5C240">
                  <w:pPr>
                    <w:pStyle w:val="59"/>
                    <w:jc w:val="center"/>
                    <w:rPr>
                      <w:rFonts w:hint="eastAsia" w:ascii="Times New Roman" w:hAnsi="Times New Roman" w:eastAsia="宋体" w:cs="Times New Roman"/>
                      <w:color w:val="auto"/>
                      <w:kern w:val="2"/>
                      <w:sz w:val="21"/>
                      <w:szCs w:val="21"/>
                      <w:highlight w:val="none"/>
                      <w:u w:val="none" w:color="auto"/>
                      <w:lang w:val="en-US" w:eastAsia="zh-CN" w:bidi="ar-SA"/>
                    </w:rPr>
                  </w:pPr>
                  <w:r>
                    <w:rPr>
                      <w:color w:val="auto"/>
                      <w:sz w:val="21"/>
                      <w:szCs w:val="21"/>
                      <w:highlight w:val="none"/>
                      <w:u w:val="none" w:color="auto"/>
                    </w:rPr>
                    <w:t>是</w:t>
                  </w:r>
                </w:p>
              </w:tc>
            </w:tr>
            <w:tr w14:paraId="3B029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Merge w:val="continue"/>
                  <w:tcBorders>
                    <w:left w:val="single" w:color="auto" w:sz="4" w:space="0"/>
                  </w:tcBorders>
                  <w:vAlign w:val="center"/>
                </w:tcPr>
                <w:p w14:paraId="2D1F643C">
                  <w:pPr>
                    <w:pStyle w:val="27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highlight w:val="none"/>
                      <w:u w:val="none" w:color="auto"/>
                      <w:vertAlign w:val="baseline"/>
                      <w:lang w:val="en-US" w:eastAsia="zh-CN"/>
                    </w:rPr>
                  </w:pPr>
                </w:p>
              </w:tc>
              <w:tc>
                <w:tcPr>
                  <w:tcW w:w="1811" w:type="dxa"/>
                  <w:tcBorders>
                    <w:top w:val="single" w:color="auto" w:sz="4" w:space="0"/>
                    <w:bottom w:val="single" w:color="auto" w:sz="4" w:space="0"/>
                  </w:tcBorders>
                  <w:shd w:val="clear" w:color="auto" w:fill="auto"/>
                  <w:vAlign w:val="center"/>
                </w:tcPr>
                <w:p w14:paraId="3E88C1C0">
                  <w:pPr>
                    <w:pStyle w:val="59"/>
                    <w:bidi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五日生化需氧量</w:t>
                  </w:r>
                </w:p>
              </w:tc>
              <w:tc>
                <w:tcPr>
                  <w:tcW w:w="1340" w:type="dxa"/>
                  <w:tcBorders>
                    <w:top w:val="single" w:color="auto" w:sz="4" w:space="0"/>
                    <w:bottom w:val="single" w:color="auto" w:sz="4" w:space="0"/>
                  </w:tcBorders>
                  <w:shd w:val="clear" w:color="auto" w:fill="auto"/>
                  <w:vAlign w:val="center"/>
                </w:tcPr>
                <w:p w14:paraId="779C7C85">
                  <w:pPr>
                    <w:pStyle w:val="59"/>
                    <w:bidi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1.4~1.6</w:t>
                  </w:r>
                </w:p>
              </w:tc>
              <w:tc>
                <w:tcPr>
                  <w:tcW w:w="1340" w:type="dxa"/>
                  <w:tcBorders>
                    <w:top w:val="single" w:color="auto" w:sz="4" w:space="0"/>
                    <w:bottom w:val="single" w:color="auto" w:sz="4" w:space="0"/>
                  </w:tcBorders>
                  <w:shd w:val="clear" w:color="auto" w:fill="auto"/>
                  <w:vAlign w:val="center"/>
                </w:tcPr>
                <w:p w14:paraId="23C8948E">
                  <w:pPr>
                    <w:pStyle w:val="59"/>
                    <w:jc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olor w:val="auto"/>
                      <w:sz w:val="21"/>
                      <w:szCs w:val="21"/>
                      <w:highlight w:val="none"/>
                      <w:u w:val="none" w:color="auto"/>
                      <w:lang w:val="en-US" w:eastAsia="zh-CN"/>
                    </w:rPr>
                    <w:t>0.4</w:t>
                  </w:r>
                </w:p>
              </w:tc>
              <w:tc>
                <w:tcPr>
                  <w:tcW w:w="1340" w:type="dxa"/>
                  <w:tcBorders>
                    <w:top w:val="single" w:color="auto" w:sz="4" w:space="0"/>
                    <w:bottom w:val="single" w:color="auto" w:sz="4" w:space="0"/>
                  </w:tcBorders>
                  <w:shd w:val="clear" w:color="auto" w:fill="auto"/>
                  <w:vAlign w:val="center"/>
                </w:tcPr>
                <w:p w14:paraId="523F4EE6">
                  <w:pPr>
                    <w:pStyle w:val="59"/>
                    <w:bidi w:val="0"/>
                    <w:jc w:val="center"/>
                    <w:rPr>
                      <w:rFonts w:hint="eastAsia" w:ascii="Times New Roman" w:hAnsi="Times New Roman" w:eastAsia="宋体" w:cs="Times New Roman"/>
                      <w:color w:val="auto"/>
                      <w:kern w:val="2"/>
                      <w:sz w:val="21"/>
                      <w:szCs w:val="21"/>
                      <w:highlight w:val="none"/>
                      <w:lang w:val="en-US" w:eastAsia="zh-CN" w:bidi="ar-SA"/>
                    </w:rPr>
                  </w:pPr>
                  <w:r>
                    <w:rPr>
                      <w:rFonts w:hint="default"/>
                      <w:color w:val="auto"/>
                      <w:sz w:val="21"/>
                      <w:szCs w:val="21"/>
                      <w:highlight w:val="none"/>
                      <w:lang w:val="en-US" w:eastAsia="zh-CN"/>
                    </w:rPr>
                    <w:t>≤</w:t>
                  </w:r>
                  <w:r>
                    <w:rPr>
                      <w:rFonts w:hint="eastAsia"/>
                      <w:color w:val="auto"/>
                      <w:sz w:val="21"/>
                      <w:szCs w:val="21"/>
                      <w:highlight w:val="none"/>
                      <w:lang w:val="en-US" w:eastAsia="zh-CN"/>
                    </w:rPr>
                    <w:t>4</w:t>
                  </w:r>
                </w:p>
              </w:tc>
              <w:tc>
                <w:tcPr>
                  <w:tcW w:w="1340" w:type="dxa"/>
                  <w:tcBorders>
                    <w:top w:val="single" w:color="auto" w:sz="4" w:space="0"/>
                    <w:bottom w:val="single" w:color="auto" w:sz="4" w:space="0"/>
                    <w:right w:val="single" w:color="auto" w:sz="12" w:space="0"/>
                  </w:tcBorders>
                  <w:shd w:val="clear" w:color="auto" w:fill="auto"/>
                  <w:vAlign w:val="center"/>
                </w:tcPr>
                <w:p w14:paraId="2E6348E4">
                  <w:pPr>
                    <w:pStyle w:val="59"/>
                    <w:jc w:val="center"/>
                    <w:rPr>
                      <w:rFonts w:hint="eastAsia" w:ascii="Times New Roman" w:hAnsi="Times New Roman" w:eastAsia="宋体" w:cs="Times New Roman"/>
                      <w:color w:val="auto"/>
                      <w:kern w:val="2"/>
                      <w:sz w:val="21"/>
                      <w:szCs w:val="21"/>
                      <w:highlight w:val="none"/>
                      <w:u w:val="none" w:color="auto"/>
                      <w:lang w:val="en-US" w:eastAsia="zh-CN" w:bidi="ar-SA"/>
                    </w:rPr>
                  </w:pPr>
                  <w:r>
                    <w:rPr>
                      <w:color w:val="auto"/>
                      <w:sz w:val="21"/>
                      <w:szCs w:val="21"/>
                      <w:highlight w:val="none"/>
                      <w:u w:val="none" w:color="auto"/>
                    </w:rPr>
                    <w:t>是</w:t>
                  </w:r>
                </w:p>
              </w:tc>
            </w:tr>
            <w:tr w14:paraId="225CD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Merge w:val="continue"/>
                  <w:tcBorders>
                    <w:left w:val="single" w:color="auto" w:sz="4" w:space="0"/>
                  </w:tcBorders>
                  <w:vAlign w:val="center"/>
                </w:tcPr>
                <w:p w14:paraId="00975457">
                  <w:pPr>
                    <w:pStyle w:val="27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highlight w:val="none"/>
                      <w:u w:val="none" w:color="auto"/>
                      <w:vertAlign w:val="baseline"/>
                      <w:lang w:val="en-US" w:eastAsia="zh-CN"/>
                    </w:rPr>
                  </w:pPr>
                </w:p>
              </w:tc>
              <w:tc>
                <w:tcPr>
                  <w:tcW w:w="1811" w:type="dxa"/>
                  <w:tcBorders>
                    <w:top w:val="single" w:color="auto" w:sz="4" w:space="0"/>
                    <w:bottom w:val="single" w:color="auto" w:sz="4" w:space="0"/>
                  </w:tcBorders>
                  <w:shd w:val="clear" w:color="auto" w:fill="auto"/>
                  <w:vAlign w:val="center"/>
                </w:tcPr>
                <w:p w14:paraId="1012198D">
                  <w:pPr>
                    <w:pStyle w:val="59"/>
                    <w:bidi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氨氮</w:t>
                  </w:r>
                </w:p>
              </w:tc>
              <w:tc>
                <w:tcPr>
                  <w:tcW w:w="1340" w:type="dxa"/>
                  <w:tcBorders>
                    <w:top w:val="single" w:color="auto" w:sz="4" w:space="0"/>
                    <w:bottom w:val="single" w:color="auto" w:sz="4" w:space="0"/>
                  </w:tcBorders>
                  <w:shd w:val="clear" w:color="auto" w:fill="auto"/>
                  <w:vAlign w:val="center"/>
                </w:tcPr>
                <w:p w14:paraId="6A8876C1">
                  <w:pPr>
                    <w:pStyle w:val="59"/>
                    <w:bidi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0.221~0.243</w:t>
                  </w:r>
                </w:p>
              </w:tc>
              <w:tc>
                <w:tcPr>
                  <w:tcW w:w="1340" w:type="dxa"/>
                  <w:tcBorders>
                    <w:top w:val="single" w:color="auto" w:sz="4" w:space="0"/>
                    <w:bottom w:val="single" w:color="auto" w:sz="4" w:space="0"/>
                  </w:tcBorders>
                  <w:shd w:val="clear" w:color="auto" w:fill="auto"/>
                  <w:vAlign w:val="center"/>
                </w:tcPr>
                <w:p w14:paraId="71E0A2B0">
                  <w:pPr>
                    <w:pStyle w:val="59"/>
                    <w:jc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olor w:val="auto"/>
                      <w:sz w:val="21"/>
                      <w:szCs w:val="21"/>
                      <w:highlight w:val="none"/>
                      <w:u w:val="none" w:color="auto"/>
                      <w:lang w:val="en-US" w:eastAsia="zh-CN"/>
                    </w:rPr>
                    <w:t>0.243</w:t>
                  </w:r>
                </w:p>
              </w:tc>
              <w:tc>
                <w:tcPr>
                  <w:tcW w:w="1340" w:type="dxa"/>
                  <w:tcBorders>
                    <w:top w:val="single" w:color="auto" w:sz="4" w:space="0"/>
                    <w:bottom w:val="single" w:color="auto" w:sz="4" w:space="0"/>
                  </w:tcBorders>
                  <w:shd w:val="clear" w:color="auto" w:fill="auto"/>
                  <w:vAlign w:val="center"/>
                </w:tcPr>
                <w:p w14:paraId="426E4BF1">
                  <w:pPr>
                    <w:pStyle w:val="59"/>
                    <w:bidi w:val="0"/>
                    <w:jc w:val="center"/>
                    <w:rPr>
                      <w:rFonts w:hint="eastAsia" w:ascii="Times New Roman" w:hAnsi="Times New Roman" w:eastAsia="宋体" w:cs="Times New Roman"/>
                      <w:color w:val="auto"/>
                      <w:kern w:val="2"/>
                      <w:sz w:val="21"/>
                      <w:szCs w:val="21"/>
                      <w:highlight w:val="none"/>
                      <w:lang w:val="en-US" w:eastAsia="zh-CN" w:bidi="ar-SA"/>
                    </w:rPr>
                  </w:pPr>
                  <w:r>
                    <w:rPr>
                      <w:rFonts w:hint="default"/>
                      <w:color w:val="auto"/>
                      <w:sz w:val="21"/>
                      <w:szCs w:val="21"/>
                      <w:highlight w:val="none"/>
                      <w:lang w:val="en-US" w:eastAsia="zh-CN"/>
                    </w:rPr>
                    <w:t>≤</w:t>
                  </w:r>
                  <w:r>
                    <w:rPr>
                      <w:rFonts w:hint="eastAsia"/>
                      <w:color w:val="auto"/>
                      <w:sz w:val="21"/>
                      <w:szCs w:val="21"/>
                      <w:highlight w:val="none"/>
                      <w:lang w:val="en-US" w:eastAsia="zh-CN"/>
                    </w:rPr>
                    <w:t>1.0</w:t>
                  </w:r>
                </w:p>
              </w:tc>
              <w:tc>
                <w:tcPr>
                  <w:tcW w:w="1340" w:type="dxa"/>
                  <w:tcBorders>
                    <w:top w:val="single" w:color="auto" w:sz="4" w:space="0"/>
                    <w:bottom w:val="single" w:color="auto" w:sz="4" w:space="0"/>
                    <w:right w:val="single" w:color="auto" w:sz="12" w:space="0"/>
                  </w:tcBorders>
                  <w:shd w:val="clear" w:color="auto" w:fill="auto"/>
                  <w:vAlign w:val="center"/>
                </w:tcPr>
                <w:p w14:paraId="5EBFDB9D">
                  <w:pPr>
                    <w:pStyle w:val="59"/>
                    <w:jc w:val="center"/>
                    <w:rPr>
                      <w:rFonts w:hint="eastAsia" w:ascii="Times New Roman" w:hAnsi="Times New Roman" w:eastAsia="宋体" w:cs="Times New Roman"/>
                      <w:color w:val="auto"/>
                      <w:kern w:val="2"/>
                      <w:sz w:val="21"/>
                      <w:szCs w:val="21"/>
                      <w:highlight w:val="none"/>
                      <w:u w:val="none" w:color="auto"/>
                      <w:lang w:val="en-US" w:eastAsia="zh-CN" w:bidi="ar-SA"/>
                    </w:rPr>
                  </w:pPr>
                  <w:r>
                    <w:rPr>
                      <w:color w:val="auto"/>
                      <w:sz w:val="21"/>
                      <w:szCs w:val="21"/>
                      <w:highlight w:val="none"/>
                      <w:u w:val="none" w:color="auto"/>
                    </w:rPr>
                    <w:t>是</w:t>
                  </w:r>
                </w:p>
              </w:tc>
            </w:tr>
            <w:tr w14:paraId="06721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Merge w:val="continue"/>
                  <w:tcBorders>
                    <w:left w:val="single" w:color="auto" w:sz="4" w:space="0"/>
                  </w:tcBorders>
                  <w:vAlign w:val="center"/>
                </w:tcPr>
                <w:p w14:paraId="1B928AF1">
                  <w:pPr>
                    <w:pStyle w:val="27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highlight w:val="none"/>
                      <w:u w:val="none" w:color="auto"/>
                      <w:vertAlign w:val="baseline"/>
                      <w:lang w:val="en-US" w:eastAsia="zh-CN"/>
                    </w:rPr>
                  </w:pPr>
                </w:p>
              </w:tc>
              <w:tc>
                <w:tcPr>
                  <w:tcW w:w="1811" w:type="dxa"/>
                  <w:tcBorders>
                    <w:top w:val="single" w:color="auto" w:sz="4" w:space="0"/>
                    <w:bottom w:val="single" w:color="auto" w:sz="4" w:space="0"/>
                  </w:tcBorders>
                  <w:shd w:val="clear" w:color="auto" w:fill="auto"/>
                  <w:vAlign w:val="center"/>
                </w:tcPr>
                <w:p w14:paraId="2B19411E">
                  <w:pPr>
                    <w:pStyle w:val="59"/>
                    <w:bidi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总磷（以P计）</w:t>
                  </w:r>
                </w:p>
              </w:tc>
              <w:tc>
                <w:tcPr>
                  <w:tcW w:w="1340" w:type="dxa"/>
                  <w:tcBorders>
                    <w:top w:val="single" w:color="auto" w:sz="4" w:space="0"/>
                    <w:bottom w:val="single" w:color="auto" w:sz="4" w:space="0"/>
                  </w:tcBorders>
                  <w:shd w:val="clear" w:color="auto" w:fill="auto"/>
                  <w:vAlign w:val="center"/>
                </w:tcPr>
                <w:p w14:paraId="35EB4276">
                  <w:pPr>
                    <w:pStyle w:val="59"/>
                    <w:bidi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0.05~0.06</w:t>
                  </w:r>
                </w:p>
              </w:tc>
              <w:tc>
                <w:tcPr>
                  <w:tcW w:w="1340" w:type="dxa"/>
                  <w:tcBorders>
                    <w:top w:val="single" w:color="auto" w:sz="4" w:space="0"/>
                    <w:bottom w:val="single" w:color="auto" w:sz="4" w:space="0"/>
                  </w:tcBorders>
                  <w:shd w:val="clear" w:color="auto" w:fill="auto"/>
                  <w:vAlign w:val="center"/>
                </w:tcPr>
                <w:p w14:paraId="2A890FBC">
                  <w:pPr>
                    <w:pStyle w:val="59"/>
                    <w:jc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olor w:val="auto"/>
                      <w:sz w:val="21"/>
                      <w:szCs w:val="21"/>
                      <w:highlight w:val="none"/>
                      <w:u w:val="none" w:color="auto"/>
                      <w:lang w:val="en-US" w:eastAsia="zh-CN"/>
                    </w:rPr>
                    <w:t>0.3</w:t>
                  </w:r>
                </w:p>
              </w:tc>
              <w:tc>
                <w:tcPr>
                  <w:tcW w:w="1340" w:type="dxa"/>
                  <w:tcBorders>
                    <w:top w:val="single" w:color="auto" w:sz="4" w:space="0"/>
                    <w:bottom w:val="single" w:color="auto" w:sz="4" w:space="0"/>
                  </w:tcBorders>
                  <w:shd w:val="clear" w:color="auto" w:fill="auto"/>
                  <w:vAlign w:val="center"/>
                </w:tcPr>
                <w:p w14:paraId="2E5EB816">
                  <w:pPr>
                    <w:pStyle w:val="59"/>
                    <w:bidi w:val="0"/>
                    <w:jc w:val="center"/>
                    <w:rPr>
                      <w:rFonts w:hint="eastAsia" w:ascii="Times New Roman" w:hAnsi="Times New Roman" w:eastAsia="宋体" w:cs="Times New Roman"/>
                      <w:color w:val="auto"/>
                      <w:kern w:val="2"/>
                      <w:sz w:val="21"/>
                      <w:szCs w:val="21"/>
                      <w:highlight w:val="none"/>
                      <w:lang w:val="en-US" w:eastAsia="zh-CN" w:bidi="ar-SA"/>
                    </w:rPr>
                  </w:pPr>
                  <w:r>
                    <w:rPr>
                      <w:rFonts w:hint="default"/>
                      <w:color w:val="auto"/>
                      <w:sz w:val="21"/>
                      <w:szCs w:val="21"/>
                      <w:highlight w:val="none"/>
                      <w:lang w:val="en-US" w:eastAsia="zh-CN"/>
                    </w:rPr>
                    <w:t>≤</w:t>
                  </w:r>
                  <w:r>
                    <w:rPr>
                      <w:rFonts w:hint="eastAsia"/>
                      <w:color w:val="auto"/>
                      <w:sz w:val="21"/>
                      <w:szCs w:val="21"/>
                      <w:highlight w:val="none"/>
                      <w:lang w:val="en-US" w:eastAsia="zh-CN"/>
                    </w:rPr>
                    <w:t>0.2</w:t>
                  </w:r>
                </w:p>
              </w:tc>
              <w:tc>
                <w:tcPr>
                  <w:tcW w:w="1340" w:type="dxa"/>
                  <w:tcBorders>
                    <w:top w:val="single" w:color="auto" w:sz="4" w:space="0"/>
                    <w:bottom w:val="single" w:color="auto" w:sz="4" w:space="0"/>
                    <w:right w:val="single" w:color="auto" w:sz="12" w:space="0"/>
                  </w:tcBorders>
                  <w:shd w:val="clear" w:color="auto" w:fill="auto"/>
                  <w:vAlign w:val="center"/>
                </w:tcPr>
                <w:p w14:paraId="249CC818">
                  <w:pPr>
                    <w:pStyle w:val="59"/>
                    <w:jc w:val="center"/>
                    <w:rPr>
                      <w:rFonts w:hint="eastAsia" w:ascii="Times New Roman" w:hAnsi="Times New Roman" w:eastAsia="宋体" w:cs="Times New Roman"/>
                      <w:color w:val="auto"/>
                      <w:kern w:val="2"/>
                      <w:sz w:val="21"/>
                      <w:szCs w:val="21"/>
                      <w:highlight w:val="none"/>
                      <w:u w:val="none" w:color="auto"/>
                      <w:lang w:val="en-US" w:eastAsia="zh-CN" w:bidi="ar-SA"/>
                    </w:rPr>
                  </w:pPr>
                  <w:r>
                    <w:rPr>
                      <w:color w:val="auto"/>
                      <w:sz w:val="21"/>
                      <w:szCs w:val="21"/>
                      <w:highlight w:val="none"/>
                      <w:u w:val="none" w:color="auto"/>
                    </w:rPr>
                    <w:t>是</w:t>
                  </w:r>
                </w:p>
              </w:tc>
            </w:tr>
            <w:tr w14:paraId="18D81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Merge w:val="continue"/>
                  <w:tcBorders>
                    <w:left w:val="single" w:color="auto" w:sz="4" w:space="0"/>
                  </w:tcBorders>
                  <w:vAlign w:val="center"/>
                </w:tcPr>
                <w:p w14:paraId="48E9FB96">
                  <w:pPr>
                    <w:pStyle w:val="27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highlight w:val="none"/>
                      <w:u w:val="none" w:color="auto"/>
                      <w:vertAlign w:val="baseline"/>
                      <w:lang w:val="en-US" w:eastAsia="zh-CN"/>
                    </w:rPr>
                  </w:pPr>
                </w:p>
              </w:tc>
              <w:tc>
                <w:tcPr>
                  <w:tcW w:w="1811" w:type="dxa"/>
                  <w:tcBorders>
                    <w:top w:val="single" w:color="auto" w:sz="4" w:space="0"/>
                    <w:bottom w:val="single" w:color="auto" w:sz="4" w:space="0"/>
                  </w:tcBorders>
                  <w:shd w:val="clear" w:color="auto" w:fill="auto"/>
                  <w:vAlign w:val="center"/>
                </w:tcPr>
                <w:p w14:paraId="5CF756B5">
                  <w:pPr>
                    <w:pStyle w:val="59"/>
                    <w:bidi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悬浮物</w:t>
                  </w:r>
                </w:p>
              </w:tc>
              <w:tc>
                <w:tcPr>
                  <w:tcW w:w="1340" w:type="dxa"/>
                  <w:tcBorders>
                    <w:top w:val="single" w:color="auto" w:sz="4" w:space="0"/>
                    <w:bottom w:val="single" w:color="auto" w:sz="4" w:space="0"/>
                  </w:tcBorders>
                  <w:shd w:val="clear" w:color="auto" w:fill="auto"/>
                  <w:vAlign w:val="center"/>
                </w:tcPr>
                <w:p w14:paraId="198B5B56">
                  <w:pPr>
                    <w:pStyle w:val="59"/>
                    <w:bidi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19~21</w:t>
                  </w:r>
                </w:p>
              </w:tc>
              <w:tc>
                <w:tcPr>
                  <w:tcW w:w="1340" w:type="dxa"/>
                  <w:tcBorders>
                    <w:top w:val="single" w:color="auto" w:sz="4" w:space="0"/>
                    <w:bottom w:val="single" w:color="auto" w:sz="4" w:space="0"/>
                  </w:tcBorders>
                  <w:shd w:val="clear" w:color="auto" w:fill="auto"/>
                  <w:vAlign w:val="center"/>
                </w:tcPr>
                <w:p w14:paraId="1667BF3C">
                  <w:pPr>
                    <w:pStyle w:val="59"/>
                    <w:jc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olor w:val="auto"/>
                      <w:sz w:val="21"/>
                      <w:szCs w:val="21"/>
                      <w:highlight w:val="none"/>
                      <w:u w:val="none" w:color="auto"/>
                      <w:lang w:val="en-US" w:eastAsia="zh-CN"/>
                    </w:rPr>
                    <w:t>/</w:t>
                  </w:r>
                </w:p>
              </w:tc>
              <w:tc>
                <w:tcPr>
                  <w:tcW w:w="1340" w:type="dxa"/>
                  <w:tcBorders>
                    <w:top w:val="single" w:color="auto" w:sz="4" w:space="0"/>
                    <w:bottom w:val="single" w:color="auto" w:sz="4" w:space="0"/>
                  </w:tcBorders>
                  <w:shd w:val="clear" w:color="auto" w:fill="auto"/>
                  <w:vAlign w:val="center"/>
                </w:tcPr>
                <w:p w14:paraId="13491A70">
                  <w:pPr>
                    <w:pStyle w:val="59"/>
                    <w:bidi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w:t>
                  </w:r>
                </w:p>
              </w:tc>
              <w:tc>
                <w:tcPr>
                  <w:tcW w:w="1340" w:type="dxa"/>
                  <w:tcBorders>
                    <w:top w:val="single" w:color="auto" w:sz="4" w:space="0"/>
                    <w:bottom w:val="single" w:color="auto" w:sz="4" w:space="0"/>
                    <w:right w:val="single" w:color="auto" w:sz="12" w:space="0"/>
                  </w:tcBorders>
                  <w:shd w:val="clear" w:color="auto" w:fill="auto"/>
                  <w:vAlign w:val="center"/>
                </w:tcPr>
                <w:p w14:paraId="59BA8043">
                  <w:pPr>
                    <w:pStyle w:val="59"/>
                    <w:jc w:val="center"/>
                    <w:rPr>
                      <w:rFonts w:hint="eastAsia" w:ascii="Times New Roman" w:hAnsi="Times New Roman" w:eastAsia="宋体" w:cs="Times New Roman"/>
                      <w:color w:val="auto"/>
                      <w:kern w:val="2"/>
                      <w:sz w:val="21"/>
                      <w:szCs w:val="21"/>
                      <w:highlight w:val="none"/>
                      <w:u w:val="none" w:color="auto"/>
                      <w:lang w:val="en-US" w:eastAsia="zh-CN" w:bidi="ar-SA"/>
                    </w:rPr>
                  </w:pPr>
                  <w:r>
                    <w:rPr>
                      <w:color w:val="auto"/>
                      <w:sz w:val="21"/>
                      <w:szCs w:val="21"/>
                      <w:highlight w:val="none"/>
                      <w:u w:val="none" w:color="auto"/>
                    </w:rPr>
                    <w:t>是</w:t>
                  </w:r>
                </w:p>
              </w:tc>
            </w:tr>
            <w:tr w14:paraId="324B3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Merge w:val="continue"/>
                  <w:tcBorders>
                    <w:left w:val="single" w:color="auto" w:sz="4" w:space="0"/>
                  </w:tcBorders>
                  <w:vAlign w:val="center"/>
                </w:tcPr>
                <w:p w14:paraId="1EE0D409">
                  <w:pPr>
                    <w:pStyle w:val="27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highlight w:val="none"/>
                      <w:u w:val="none" w:color="auto"/>
                      <w:vertAlign w:val="baseline"/>
                      <w:lang w:val="en-US" w:eastAsia="zh-CN"/>
                    </w:rPr>
                  </w:pPr>
                </w:p>
              </w:tc>
              <w:tc>
                <w:tcPr>
                  <w:tcW w:w="1811" w:type="dxa"/>
                  <w:tcBorders>
                    <w:top w:val="single" w:color="auto" w:sz="4" w:space="0"/>
                    <w:bottom w:val="single" w:color="auto" w:sz="4" w:space="0"/>
                  </w:tcBorders>
                  <w:shd w:val="clear" w:color="auto" w:fill="auto"/>
                  <w:vAlign w:val="center"/>
                </w:tcPr>
                <w:p w14:paraId="7AC366E5">
                  <w:pPr>
                    <w:pStyle w:val="59"/>
                    <w:bidi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铜</w:t>
                  </w:r>
                </w:p>
              </w:tc>
              <w:tc>
                <w:tcPr>
                  <w:tcW w:w="1340" w:type="dxa"/>
                  <w:tcBorders>
                    <w:top w:val="single" w:color="auto" w:sz="4" w:space="0"/>
                    <w:bottom w:val="single" w:color="auto" w:sz="4" w:space="0"/>
                  </w:tcBorders>
                  <w:shd w:val="clear" w:color="auto" w:fill="auto"/>
                  <w:vAlign w:val="center"/>
                </w:tcPr>
                <w:p w14:paraId="187B0CB4">
                  <w:pPr>
                    <w:pStyle w:val="59"/>
                    <w:bidi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0.00095~0.00107</w:t>
                  </w:r>
                </w:p>
              </w:tc>
              <w:tc>
                <w:tcPr>
                  <w:tcW w:w="1340" w:type="dxa"/>
                  <w:tcBorders>
                    <w:top w:val="single" w:color="auto" w:sz="4" w:space="0"/>
                    <w:bottom w:val="single" w:color="auto" w:sz="4" w:space="0"/>
                  </w:tcBorders>
                  <w:shd w:val="clear" w:color="auto" w:fill="auto"/>
                  <w:vAlign w:val="center"/>
                </w:tcPr>
                <w:p w14:paraId="74F59678">
                  <w:pPr>
                    <w:pStyle w:val="59"/>
                    <w:jc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olor w:val="auto"/>
                      <w:sz w:val="21"/>
                      <w:szCs w:val="21"/>
                      <w:highlight w:val="none"/>
                      <w:u w:val="none" w:color="auto"/>
                      <w:lang w:val="en-US" w:eastAsia="zh-CN"/>
                    </w:rPr>
                    <w:t>0.00107</w:t>
                  </w:r>
                </w:p>
              </w:tc>
              <w:tc>
                <w:tcPr>
                  <w:tcW w:w="1340" w:type="dxa"/>
                  <w:tcBorders>
                    <w:top w:val="single" w:color="auto" w:sz="4" w:space="0"/>
                    <w:bottom w:val="single" w:color="auto" w:sz="4" w:space="0"/>
                  </w:tcBorders>
                  <w:shd w:val="clear" w:color="auto" w:fill="auto"/>
                  <w:vAlign w:val="center"/>
                </w:tcPr>
                <w:p w14:paraId="2E857F76">
                  <w:pPr>
                    <w:pStyle w:val="59"/>
                    <w:bidi w:val="0"/>
                    <w:jc w:val="center"/>
                    <w:rPr>
                      <w:rFonts w:hint="eastAsia" w:ascii="Times New Roman" w:hAnsi="Times New Roman" w:eastAsia="宋体" w:cs="Times New Roman"/>
                      <w:color w:val="auto"/>
                      <w:kern w:val="2"/>
                      <w:sz w:val="21"/>
                      <w:szCs w:val="21"/>
                      <w:highlight w:val="none"/>
                      <w:lang w:val="en-US" w:eastAsia="zh-CN" w:bidi="ar-SA"/>
                    </w:rPr>
                  </w:pPr>
                  <w:r>
                    <w:rPr>
                      <w:rFonts w:hint="default"/>
                      <w:color w:val="auto"/>
                      <w:sz w:val="21"/>
                      <w:szCs w:val="21"/>
                      <w:highlight w:val="none"/>
                      <w:lang w:val="en-US" w:eastAsia="zh-CN"/>
                    </w:rPr>
                    <w:t>≤</w:t>
                  </w:r>
                  <w:r>
                    <w:rPr>
                      <w:rFonts w:hint="eastAsia"/>
                      <w:color w:val="auto"/>
                      <w:sz w:val="21"/>
                      <w:szCs w:val="21"/>
                      <w:highlight w:val="none"/>
                      <w:lang w:val="en-US" w:eastAsia="zh-CN"/>
                    </w:rPr>
                    <w:t>1.0</w:t>
                  </w:r>
                </w:p>
              </w:tc>
              <w:tc>
                <w:tcPr>
                  <w:tcW w:w="1340" w:type="dxa"/>
                  <w:tcBorders>
                    <w:top w:val="single" w:color="auto" w:sz="4" w:space="0"/>
                    <w:bottom w:val="single" w:color="auto" w:sz="4" w:space="0"/>
                    <w:right w:val="single" w:color="auto" w:sz="12" w:space="0"/>
                  </w:tcBorders>
                  <w:shd w:val="clear" w:color="auto" w:fill="auto"/>
                  <w:vAlign w:val="center"/>
                </w:tcPr>
                <w:p w14:paraId="269DE5A4">
                  <w:pPr>
                    <w:pStyle w:val="59"/>
                    <w:jc w:val="center"/>
                    <w:rPr>
                      <w:rFonts w:hint="eastAsia" w:ascii="Times New Roman" w:hAnsi="Times New Roman" w:eastAsia="宋体" w:cs="Times New Roman"/>
                      <w:color w:val="auto"/>
                      <w:kern w:val="2"/>
                      <w:sz w:val="21"/>
                      <w:szCs w:val="21"/>
                      <w:highlight w:val="none"/>
                      <w:u w:val="none" w:color="auto"/>
                      <w:lang w:val="en-US" w:eastAsia="zh-CN" w:bidi="ar-SA"/>
                    </w:rPr>
                  </w:pPr>
                  <w:r>
                    <w:rPr>
                      <w:color w:val="auto"/>
                      <w:sz w:val="21"/>
                      <w:szCs w:val="21"/>
                      <w:highlight w:val="none"/>
                      <w:u w:val="none" w:color="auto"/>
                    </w:rPr>
                    <w:t>是</w:t>
                  </w:r>
                </w:p>
              </w:tc>
            </w:tr>
            <w:tr w14:paraId="4399A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Merge w:val="continue"/>
                  <w:tcBorders>
                    <w:left w:val="single" w:color="auto" w:sz="4" w:space="0"/>
                  </w:tcBorders>
                  <w:vAlign w:val="center"/>
                </w:tcPr>
                <w:p w14:paraId="6617C0C1">
                  <w:pPr>
                    <w:pStyle w:val="27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highlight w:val="none"/>
                      <w:u w:val="none" w:color="auto"/>
                      <w:vertAlign w:val="baseline"/>
                      <w:lang w:val="en-US" w:eastAsia="zh-CN"/>
                    </w:rPr>
                  </w:pPr>
                </w:p>
              </w:tc>
              <w:tc>
                <w:tcPr>
                  <w:tcW w:w="1811" w:type="dxa"/>
                  <w:tcBorders>
                    <w:top w:val="single" w:color="auto" w:sz="4" w:space="0"/>
                    <w:bottom w:val="single" w:color="auto" w:sz="4" w:space="0"/>
                  </w:tcBorders>
                  <w:shd w:val="clear" w:color="auto" w:fill="auto"/>
                  <w:vAlign w:val="center"/>
                </w:tcPr>
                <w:p w14:paraId="3251AA2F">
                  <w:pPr>
                    <w:pStyle w:val="59"/>
                    <w:bidi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锌</w:t>
                  </w:r>
                </w:p>
              </w:tc>
              <w:tc>
                <w:tcPr>
                  <w:tcW w:w="1340" w:type="dxa"/>
                  <w:tcBorders>
                    <w:top w:val="single" w:color="auto" w:sz="4" w:space="0"/>
                    <w:bottom w:val="single" w:color="auto" w:sz="4" w:space="0"/>
                  </w:tcBorders>
                  <w:shd w:val="clear" w:color="auto" w:fill="auto"/>
                  <w:vAlign w:val="center"/>
                </w:tcPr>
                <w:p w14:paraId="57720383">
                  <w:pPr>
                    <w:pStyle w:val="59"/>
                    <w:bidi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0.00067L~0.00124</w:t>
                  </w:r>
                </w:p>
              </w:tc>
              <w:tc>
                <w:tcPr>
                  <w:tcW w:w="1340" w:type="dxa"/>
                  <w:tcBorders>
                    <w:top w:val="single" w:color="auto" w:sz="4" w:space="0"/>
                    <w:bottom w:val="single" w:color="auto" w:sz="4" w:space="0"/>
                  </w:tcBorders>
                  <w:shd w:val="clear" w:color="auto" w:fill="auto"/>
                  <w:vAlign w:val="center"/>
                </w:tcPr>
                <w:p w14:paraId="5C738E67">
                  <w:pPr>
                    <w:pStyle w:val="59"/>
                    <w:jc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olor w:val="auto"/>
                      <w:sz w:val="21"/>
                      <w:szCs w:val="21"/>
                      <w:highlight w:val="none"/>
                      <w:u w:val="none" w:color="auto"/>
                      <w:lang w:val="en-US" w:eastAsia="zh-CN"/>
                    </w:rPr>
                    <w:t>0.00124</w:t>
                  </w:r>
                </w:p>
              </w:tc>
              <w:tc>
                <w:tcPr>
                  <w:tcW w:w="1340" w:type="dxa"/>
                  <w:tcBorders>
                    <w:top w:val="single" w:color="auto" w:sz="4" w:space="0"/>
                    <w:bottom w:val="single" w:color="auto" w:sz="4" w:space="0"/>
                  </w:tcBorders>
                  <w:shd w:val="clear" w:color="auto" w:fill="auto"/>
                  <w:vAlign w:val="center"/>
                </w:tcPr>
                <w:p w14:paraId="6E1EBCD0">
                  <w:pPr>
                    <w:pStyle w:val="59"/>
                    <w:bidi w:val="0"/>
                    <w:jc w:val="center"/>
                    <w:rPr>
                      <w:rFonts w:hint="eastAsia" w:ascii="Times New Roman" w:hAnsi="Times New Roman" w:eastAsia="宋体" w:cs="Times New Roman"/>
                      <w:color w:val="auto"/>
                      <w:kern w:val="2"/>
                      <w:sz w:val="21"/>
                      <w:szCs w:val="21"/>
                      <w:highlight w:val="none"/>
                      <w:lang w:val="en-US" w:eastAsia="zh-CN" w:bidi="ar-SA"/>
                    </w:rPr>
                  </w:pPr>
                  <w:r>
                    <w:rPr>
                      <w:rFonts w:hint="default"/>
                      <w:color w:val="auto"/>
                      <w:sz w:val="21"/>
                      <w:szCs w:val="21"/>
                      <w:highlight w:val="none"/>
                      <w:lang w:val="en-US" w:eastAsia="zh-CN"/>
                    </w:rPr>
                    <w:t>≤</w:t>
                  </w:r>
                  <w:r>
                    <w:rPr>
                      <w:rFonts w:hint="eastAsia"/>
                      <w:color w:val="auto"/>
                      <w:sz w:val="21"/>
                      <w:szCs w:val="21"/>
                      <w:highlight w:val="none"/>
                      <w:lang w:val="en-US" w:eastAsia="zh-CN"/>
                    </w:rPr>
                    <w:t>1.0</w:t>
                  </w:r>
                </w:p>
              </w:tc>
              <w:tc>
                <w:tcPr>
                  <w:tcW w:w="1340" w:type="dxa"/>
                  <w:tcBorders>
                    <w:top w:val="single" w:color="auto" w:sz="4" w:space="0"/>
                    <w:bottom w:val="single" w:color="auto" w:sz="4" w:space="0"/>
                    <w:right w:val="single" w:color="auto" w:sz="12" w:space="0"/>
                  </w:tcBorders>
                  <w:shd w:val="clear" w:color="auto" w:fill="auto"/>
                  <w:vAlign w:val="center"/>
                </w:tcPr>
                <w:p w14:paraId="68DE52B3">
                  <w:pPr>
                    <w:pStyle w:val="59"/>
                    <w:jc w:val="center"/>
                    <w:rPr>
                      <w:rFonts w:hint="eastAsia" w:ascii="Times New Roman" w:hAnsi="Times New Roman" w:eastAsia="宋体" w:cs="Times New Roman"/>
                      <w:color w:val="auto"/>
                      <w:kern w:val="2"/>
                      <w:sz w:val="21"/>
                      <w:szCs w:val="21"/>
                      <w:highlight w:val="none"/>
                      <w:u w:val="none" w:color="auto"/>
                      <w:lang w:val="en-US" w:eastAsia="zh-CN" w:bidi="ar-SA"/>
                    </w:rPr>
                  </w:pPr>
                  <w:r>
                    <w:rPr>
                      <w:color w:val="auto"/>
                      <w:sz w:val="21"/>
                      <w:szCs w:val="21"/>
                      <w:highlight w:val="none"/>
                      <w:u w:val="none" w:color="auto"/>
                    </w:rPr>
                    <w:t>是</w:t>
                  </w:r>
                </w:p>
              </w:tc>
            </w:tr>
            <w:tr w14:paraId="2B223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Merge w:val="continue"/>
                  <w:tcBorders>
                    <w:left w:val="single" w:color="auto" w:sz="4" w:space="0"/>
                  </w:tcBorders>
                  <w:vAlign w:val="center"/>
                </w:tcPr>
                <w:p w14:paraId="185C0AA1">
                  <w:pPr>
                    <w:pStyle w:val="27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highlight w:val="none"/>
                      <w:u w:val="none" w:color="auto"/>
                      <w:vertAlign w:val="baseline"/>
                      <w:lang w:val="en-US" w:eastAsia="zh-CN"/>
                    </w:rPr>
                  </w:pPr>
                </w:p>
              </w:tc>
              <w:tc>
                <w:tcPr>
                  <w:tcW w:w="1811" w:type="dxa"/>
                  <w:tcBorders>
                    <w:top w:val="single" w:color="auto" w:sz="4" w:space="0"/>
                    <w:bottom w:val="single" w:color="auto" w:sz="4" w:space="0"/>
                  </w:tcBorders>
                  <w:shd w:val="clear" w:color="auto" w:fill="auto"/>
                  <w:vAlign w:val="center"/>
                </w:tcPr>
                <w:p w14:paraId="398DC010">
                  <w:pPr>
                    <w:pStyle w:val="59"/>
                    <w:bidi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砷</w:t>
                  </w:r>
                </w:p>
              </w:tc>
              <w:tc>
                <w:tcPr>
                  <w:tcW w:w="1340" w:type="dxa"/>
                  <w:tcBorders>
                    <w:top w:val="single" w:color="auto" w:sz="4" w:space="0"/>
                    <w:bottom w:val="single" w:color="auto" w:sz="4" w:space="0"/>
                  </w:tcBorders>
                  <w:shd w:val="clear" w:color="auto" w:fill="auto"/>
                  <w:vAlign w:val="center"/>
                </w:tcPr>
                <w:p w14:paraId="6DBE3130">
                  <w:pPr>
                    <w:pStyle w:val="59"/>
                    <w:bidi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0.00085~0.00130</w:t>
                  </w:r>
                </w:p>
              </w:tc>
              <w:tc>
                <w:tcPr>
                  <w:tcW w:w="1340" w:type="dxa"/>
                  <w:tcBorders>
                    <w:top w:val="single" w:color="auto" w:sz="4" w:space="0"/>
                    <w:bottom w:val="single" w:color="auto" w:sz="4" w:space="0"/>
                  </w:tcBorders>
                  <w:shd w:val="clear" w:color="auto" w:fill="auto"/>
                  <w:vAlign w:val="center"/>
                </w:tcPr>
                <w:p w14:paraId="4BE9C0AF">
                  <w:pPr>
                    <w:pStyle w:val="59"/>
                    <w:jc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olor w:val="auto"/>
                      <w:sz w:val="21"/>
                      <w:szCs w:val="21"/>
                      <w:highlight w:val="none"/>
                      <w:u w:val="none" w:color="auto"/>
                      <w:lang w:val="en-US" w:eastAsia="zh-CN"/>
                    </w:rPr>
                    <w:t>0.026</w:t>
                  </w:r>
                </w:p>
              </w:tc>
              <w:tc>
                <w:tcPr>
                  <w:tcW w:w="1340" w:type="dxa"/>
                  <w:tcBorders>
                    <w:top w:val="single" w:color="auto" w:sz="4" w:space="0"/>
                    <w:bottom w:val="single" w:color="auto" w:sz="4" w:space="0"/>
                  </w:tcBorders>
                  <w:shd w:val="clear" w:color="auto" w:fill="auto"/>
                  <w:vAlign w:val="center"/>
                </w:tcPr>
                <w:p w14:paraId="09FF9444">
                  <w:pPr>
                    <w:pStyle w:val="59"/>
                    <w:bidi w:val="0"/>
                    <w:jc w:val="center"/>
                    <w:rPr>
                      <w:rFonts w:hint="eastAsia" w:ascii="Times New Roman" w:hAnsi="Times New Roman" w:eastAsia="宋体" w:cs="Times New Roman"/>
                      <w:color w:val="auto"/>
                      <w:kern w:val="2"/>
                      <w:sz w:val="21"/>
                      <w:szCs w:val="21"/>
                      <w:highlight w:val="none"/>
                      <w:lang w:val="en-US" w:eastAsia="zh-CN" w:bidi="ar-SA"/>
                    </w:rPr>
                  </w:pPr>
                  <w:r>
                    <w:rPr>
                      <w:rFonts w:hint="default"/>
                      <w:color w:val="auto"/>
                      <w:sz w:val="21"/>
                      <w:szCs w:val="21"/>
                      <w:highlight w:val="none"/>
                      <w:lang w:val="en-US" w:eastAsia="zh-CN"/>
                    </w:rPr>
                    <w:t>≤</w:t>
                  </w:r>
                  <w:r>
                    <w:rPr>
                      <w:rFonts w:hint="eastAsia"/>
                      <w:color w:val="auto"/>
                      <w:sz w:val="21"/>
                      <w:szCs w:val="21"/>
                      <w:highlight w:val="none"/>
                      <w:lang w:val="en-US" w:eastAsia="zh-CN"/>
                    </w:rPr>
                    <w:t>0.05</w:t>
                  </w:r>
                </w:p>
              </w:tc>
              <w:tc>
                <w:tcPr>
                  <w:tcW w:w="1340" w:type="dxa"/>
                  <w:tcBorders>
                    <w:top w:val="single" w:color="auto" w:sz="4" w:space="0"/>
                    <w:bottom w:val="single" w:color="auto" w:sz="4" w:space="0"/>
                    <w:right w:val="single" w:color="auto" w:sz="12" w:space="0"/>
                  </w:tcBorders>
                  <w:shd w:val="clear" w:color="auto" w:fill="auto"/>
                  <w:vAlign w:val="center"/>
                </w:tcPr>
                <w:p w14:paraId="14DE5F74">
                  <w:pPr>
                    <w:pStyle w:val="59"/>
                    <w:jc w:val="center"/>
                    <w:rPr>
                      <w:rFonts w:hint="eastAsia" w:ascii="Times New Roman" w:hAnsi="Times New Roman" w:eastAsia="宋体" w:cs="Times New Roman"/>
                      <w:color w:val="auto"/>
                      <w:kern w:val="2"/>
                      <w:sz w:val="21"/>
                      <w:szCs w:val="21"/>
                      <w:highlight w:val="none"/>
                      <w:u w:val="none" w:color="auto"/>
                      <w:lang w:val="en-US" w:eastAsia="zh-CN" w:bidi="ar-SA"/>
                    </w:rPr>
                  </w:pPr>
                  <w:r>
                    <w:rPr>
                      <w:color w:val="auto"/>
                      <w:sz w:val="21"/>
                      <w:szCs w:val="21"/>
                      <w:highlight w:val="none"/>
                      <w:u w:val="none" w:color="auto"/>
                    </w:rPr>
                    <w:t>是</w:t>
                  </w:r>
                </w:p>
              </w:tc>
            </w:tr>
            <w:tr w14:paraId="0386A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Merge w:val="continue"/>
                  <w:tcBorders>
                    <w:left w:val="single" w:color="auto" w:sz="4" w:space="0"/>
                  </w:tcBorders>
                  <w:vAlign w:val="center"/>
                </w:tcPr>
                <w:p w14:paraId="476523E7">
                  <w:pPr>
                    <w:pStyle w:val="27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highlight w:val="none"/>
                      <w:u w:val="none" w:color="auto"/>
                      <w:vertAlign w:val="baseline"/>
                      <w:lang w:val="en-US" w:eastAsia="zh-CN"/>
                    </w:rPr>
                  </w:pPr>
                </w:p>
              </w:tc>
              <w:tc>
                <w:tcPr>
                  <w:tcW w:w="1811" w:type="dxa"/>
                  <w:tcBorders>
                    <w:top w:val="single" w:color="auto" w:sz="4" w:space="0"/>
                    <w:bottom w:val="single" w:color="auto" w:sz="4" w:space="0"/>
                  </w:tcBorders>
                  <w:shd w:val="clear" w:color="auto" w:fill="auto"/>
                  <w:vAlign w:val="center"/>
                </w:tcPr>
                <w:p w14:paraId="0D2063AA">
                  <w:pPr>
                    <w:pStyle w:val="59"/>
                    <w:bidi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汞</w:t>
                  </w:r>
                </w:p>
              </w:tc>
              <w:tc>
                <w:tcPr>
                  <w:tcW w:w="1340" w:type="dxa"/>
                  <w:tcBorders>
                    <w:top w:val="single" w:color="auto" w:sz="4" w:space="0"/>
                    <w:bottom w:val="single" w:color="auto" w:sz="4" w:space="0"/>
                  </w:tcBorders>
                  <w:shd w:val="clear" w:color="auto" w:fill="auto"/>
                  <w:vAlign w:val="center"/>
                </w:tcPr>
                <w:p w14:paraId="0D878B15">
                  <w:pPr>
                    <w:pStyle w:val="59"/>
                    <w:bidi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0.00004L~0.00004L</w:t>
                  </w:r>
                </w:p>
              </w:tc>
              <w:tc>
                <w:tcPr>
                  <w:tcW w:w="1340" w:type="dxa"/>
                  <w:tcBorders>
                    <w:top w:val="single" w:color="auto" w:sz="4" w:space="0"/>
                    <w:bottom w:val="single" w:color="auto" w:sz="4" w:space="0"/>
                  </w:tcBorders>
                  <w:shd w:val="clear" w:color="auto" w:fill="auto"/>
                  <w:vAlign w:val="center"/>
                </w:tcPr>
                <w:p w14:paraId="1937D53A">
                  <w:pPr>
                    <w:pStyle w:val="59"/>
                    <w:jc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olor w:val="auto"/>
                      <w:sz w:val="21"/>
                      <w:szCs w:val="21"/>
                      <w:highlight w:val="none"/>
                      <w:u w:val="none" w:color="auto"/>
                      <w:lang w:val="en-US" w:eastAsia="zh-CN"/>
                    </w:rPr>
                    <w:t>/</w:t>
                  </w:r>
                </w:p>
              </w:tc>
              <w:tc>
                <w:tcPr>
                  <w:tcW w:w="1340" w:type="dxa"/>
                  <w:tcBorders>
                    <w:top w:val="single" w:color="auto" w:sz="4" w:space="0"/>
                    <w:bottom w:val="single" w:color="auto" w:sz="4" w:space="0"/>
                  </w:tcBorders>
                  <w:shd w:val="clear" w:color="auto" w:fill="auto"/>
                  <w:vAlign w:val="center"/>
                </w:tcPr>
                <w:p w14:paraId="22417BEF">
                  <w:pPr>
                    <w:pStyle w:val="59"/>
                    <w:bidi w:val="0"/>
                    <w:jc w:val="center"/>
                    <w:rPr>
                      <w:rFonts w:hint="eastAsia" w:ascii="Times New Roman" w:hAnsi="Times New Roman" w:eastAsia="宋体" w:cs="Times New Roman"/>
                      <w:color w:val="auto"/>
                      <w:kern w:val="2"/>
                      <w:sz w:val="21"/>
                      <w:szCs w:val="21"/>
                      <w:highlight w:val="none"/>
                      <w:lang w:val="en-US" w:eastAsia="zh-CN" w:bidi="ar-SA"/>
                    </w:rPr>
                  </w:pPr>
                  <w:r>
                    <w:rPr>
                      <w:rFonts w:hint="default"/>
                      <w:color w:val="auto"/>
                      <w:sz w:val="21"/>
                      <w:szCs w:val="21"/>
                      <w:highlight w:val="none"/>
                      <w:lang w:val="en-US" w:eastAsia="zh-CN"/>
                    </w:rPr>
                    <w:t>≤</w:t>
                  </w:r>
                  <w:r>
                    <w:rPr>
                      <w:rFonts w:hint="eastAsia"/>
                      <w:color w:val="auto"/>
                      <w:sz w:val="21"/>
                      <w:szCs w:val="21"/>
                      <w:highlight w:val="none"/>
                      <w:lang w:val="en-US" w:eastAsia="zh-CN"/>
                    </w:rPr>
                    <w:t>0.0001</w:t>
                  </w:r>
                </w:p>
              </w:tc>
              <w:tc>
                <w:tcPr>
                  <w:tcW w:w="1340" w:type="dxa"/>
                  <w:tcBorders>
                    <w:top w:val="single" w:color="auto" w:sz="4" w:space="0"/>
                    <w:bottom w:val="single" w:color="auto" w:sz="4" w:space="0"/>
                    <w:right w:val="single" w:color="auto" w:sz="12" w:space="0"/>
                  </w:tcBorders>
                  <w:shd w:val="clear" w:color="auto" w:fill="auto"/>
                  <w:vAlign w:val="center"/>
                </w:tcPr>
                <w:p w14:paraId="0A7AC9C5">
                  <w:pPr>
                    <w:pStyle w:val="59"/>
                    <w:jc w:val="center"/>
                    <w:rPr>
                      <w:rFonts w:hint="eastAsia" w:ascii="Times New Roman" w:hAnsi="Times New Roman" w:eastAsia="宋体" w:cs="Times New Roman"/>
                      <w:color w:val="auto"/>
                      <w:kern w:val="2"/>
                      <w:sz w:val="21"/>
                      <w:szCs w:val="21"/>
                      <w:highlight w:val="none"/>
                      <w:u w:val="none" w:color="auto"/>
                      <w:lang w:val="en-US" w:eastAsia="zh-CN" w:bidi="ar-SA"/>
                    </w:rPr>
                  </w:pPr>
                  <w:r>
                    <w:rPr>
                      <w:color w:val="auto"/>
                      <w:sz w:val="21"/>
                      <w:szCs w:val="21"/>
                      <w:highlight w:val="none"/>
                      <w:u w:val="none" w:color="auto"/>
                    </w:rPr>
                    <w:t>是</w:t>
                  </w:r>
                </w:p>
              </w:tc>
            </w:tr>
            <w:tr w14:paraId="05093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Merge w:val="continue"/>
                  <w:tcBorders>
                    <w:left w:val="single" w:color="auto" w:sz="4" w:space="0"/>
                  </w:tcBorders>
                  <w:vAlign w:val="center"/>
                </w:tcPr>
                <w:p w14:paraId="2F98C5A6">
                  <w:pPr>
                    <w:pStyle w:val="27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highlight w:val="none"/>
                      <w:u w:val="none" w:color="auto"/>
                      <w:vertAlign w:val="baseline"/>
                      <w:lang w:val="en-US" w:eastAsia="zh-CN"/>
                    </w:rPr>
                  </w:pPr>
                </w:p>
              </w:tc>
              <w:tc>
                <w:tcPr>
                  <w:tcW w:w="1811" w:type="dxa"/>
                  <w:tcBorders>
                    <w:top w:val="single" w:color="auto" w:sz="4" w:space="0"/>
                    <w:bottom w:val="single" w:color="auto" w:sz="4" w:space="0"/>
                  </w:tcBorders>
                  <w:shd w:val="clear" w:color="auto" w:fill="auto"/>
                  <w:vAlign w:val="center"/>
                </w:tcPr>
                <w:p w14:paraId="62AE0A96">
                  <w:pPr>
                    <w:pStyle w:val="59"/>
                    <w:bidi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镉</w:t>
                  </w:r>
                </w:p>
              </w:tc>
              <w:tc>
                <w:tcPr>
                  <w:tcW w:w="1340" w:type="dxa"/>
                  <w:tcBorders>
                    <w:top w:val="single" w:color="auto" w:sz="4" w:space="0"/>
                    <w:bottom w:val="single" w:color="auto" w:sz="4" w:space="0"/>
                  </w:tcBorders>
                  <w:shd w:val="clear" w:color="auto" w:fill="auto"/>
                  <w:vAlign w:val="center"/>
                </w:tcPr>
                <w:p w14:paraId="033537D6">
                  <w:pPr>
                    <w:pStyle w:val="59"/>
                    <w:bidi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0.00005L~0.00005L</w:t>
                  </w:r>
                </w:p>
              </w:tc>
              <w:tc>
                <w:tcPr>
                  <w:tcW w:w="1340" w:type="dxa"/>
                  <w:tcBorders>
                    <w:top w:val="single" w:color="auto" w:sz="4" w:space="0"/>
                    <w:bottom w:val="single" w:color="auto" w:sz="4" w:space="0"/>
                  </w:tcBorders>
                  <w:shd w:val="clear" w:color="auto" w:fill="auto"/>
                  <w:vAlign w:val="center"/>
                </w:tcPr>
                <w:p w14:paraId="2CA3F316">
                  <w:pPr>
                    <w:pStyle w:val="59"/>
                    <w:jc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olor w:val="auto"/>
                      <w:sz w:val="21"/>
                      <w:szCs w:val="21"/>
                      <w:highlight w:val="none"/>
                      <w:u w:val="none" w:color="auto"/>
                      <w:lang w:val="en-US" w:eastAsia="zh-CN"/>
                    </w:rPr>
                    <w:t>/</w:t>
                  </w:r>
                </w:p>
              </w:tc>
              <w:tc>
                <w:tcPr>
                  <w:tcW w:w="1340" w:type="dxa"/>
                  <w:tcBorders>
                    <w:top w:val="single" w:color="auto" w:sz="4" w:space="0"/>
                    <w:bottom w:val="single" w:color="auto" w:sz="4" w:space="0"/>
                  </w:tcBorders>
                  <w:shd w:val="clear" w:color="auto" w:fill="auto"/>
                  <w:vAlign w:val="center"/>
                </w:tcPr>
                <w:p w14:paraId="5FF7D4BF">
                  <w:pPr>
                    <w:pStyle w:val="59"/>
                    <w:bidi w:val="0"/>
                    <w:jc w:val="center"/>
                    <w:rPr>
                      <w:rFonts w:hint="eastAsia" w:ascii="Times New Roman" w:hAnsi="Times New Roman" w:eastAsia="宋体" w:cs="Times New Roman"/>
                      <w:color w:val="auto"/>
                      <w:kern w:val="2"/>
                      <w:sz w:val="21"/>
                      <w:szCs w:val="21"/>
                      <w:highlight w:val="none"/>
                      <w:lang w:val="en-US" w:eastAsia="zh-CN" w:bidi="ar-SA"/>
                    </w:rPr>
                  </w:pPr>
                  <w:r>
                    <w:rPr>
                      <w:rFonts w:hint="default"/>
                      <w:color w:val="auto"/>
                      <w:sz w:val="21"/>
                      <w:szCs w:val="21"/>
                      <w:highlight w:val="none"/>
                      <w:lang w:val="en-US" w:eastAsia="zh-CN"/>
                    </w:rPr>
                    <w:t>≤</w:t>
                  </w:r>
                  <w:r>
                    <w:rPr>
                      <w:rFonts w:hint="eastAsia"/>
                      <w:color w:val="auto"/>
                      <w:sz w:val="21"/>
                      <w:szCs w:val="21"/>
                      <w:highlight w:val="none"/>
                      <w:lang w:val="en-US" w:eastAsia="zh-CN"/>
                    </w:rPr>
                    <w:t>0.005</w:t>
                  </w:r>
                </w:p>
              </w:tc>
              <w:tc>
                <w:tcPr>
                  <w:tcW w:w="1340" w:type="dxa"/>
                  <w:tcBorders>
                    <w:top w:val="single" w:color="auto" w:sz="4" w:space="0"/>
                    <w:bottom w:val="single" w:color="auto" w:sz="4" w:space="0"/>
                    <w:right w:val="single" w:color="auto" w:sz="12" w:space="0"/>
                  </w:tcBorders>
                  <w:shd w:val="clear" w:color="auto" w:fill="auto"/>
                  <w:vAlign w:val="center"/>
                </w:tcPr>
                <w:p w14:paraId="17244227">
                  <w:pPr>
                    <w:pStyle w:val="59"/>
                    <w:jc w:val="center"/>
                    <w:rPr>
                      <w:rFonts w:hint="eastAsia" w:ascii="Times New Roman" w:hAnsi="Times New Roman" w:eastAsia="宋体" w:cs="Times New Roman"/>
                      <w:color w:val="auto"/>
                      <w:kern w:val="2"/>
                      <w:sz w:val="21"/>
                      <w:szCs w:val="21"/>
                      <w:highlight w:val="none"/>
                      <w:u w:val="none" w:color="auto"/>
                      <w:lang w:val="en-US" w:eastAsia="zh-CN" w:bidi="ar-SA"/>
                    </w:rPr>
                  </w:pPr>
                  <w:r>
                    <w:rPr>
                      <w:color w:val="auto"/>
                      <w:sz w:val="21"/>
                      <w:szCs w:val="21"/>
                      <w:highlight w:val="none"/>
                      <w:u w:val="none" w:color="auto"/>
                    </w:rPr>
                    <w:t>是</w:t>
                  </w:r>
                </w:p>
              </w:tc>
            </w:tr>
            <w:tr w14:paraId="69E601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Merge w:val="continue"/>
                  <w:tcBorders>
                    <w:left w:val="single" w:color="auto" w:sz="4" w:space="0"/>
                  </w:tcBorders>
                  <w:vAlign w:val="center"/>
                </w:tcPr>
                <w:p w14:paraId="0A2EF785">
                  <w:pPr>
                    <w:pStyle w:val="27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highlight w:val="none"/>
                      <w:u w:val="none" w:color="auto"/>
                      <w:vertAlign w:val="baseline"/>
                      <w:lang w:val="en-US" w:eastAsia="zh-CN"/>
                    </w:rPr>
                  </w:pPr>
                </w:p>
              </w:tc>
              <w:tc>
                <w:tcPr>
                  <w:tcW w:w="1811" w:type="dxa"/>
                  <w:tcBorders>
                    <w:top w:val="single" w:color="auto" w:sz="4" w:space="0"/>
                    <w:bottom w:val="single" w:color="auto" w:sz="4" w:space="0"/>
                  </w:tcBorders>
                  <w:shd w:val="clear" w:color="auto" w:fill="auto"/>
                  <w:vAlign w:val="center"/>
                </w:tcPr>
                <w:p w14:paraId="2098BF25">
                  <w:pPr>
                    <w:pStyle w:val="59"/>
                    <w:bidi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铬（六价）</w:t>
                  </w:r>
                </w:p>
              </w:tc>
              <w:tc>
                <w:tcPr>
                  <w:tcW w:w="1340" w:type="dxa"/>
                  <w:tcBorders>
                    <w:top w:val="single" w:color="auto" w:sz="4" w:space="0"/>
                    <w:bottom w:val="single" w:color="auto" w:sz="4" w:space="0"/>
                  </w:tcBorders>
                  <w:shd w:val="clear" w:color="auto" w:fill="auto"/>
                  <w:vAlign w:val="center"/>
                </w:tcPr>
                <w:p w14:paraId="76E5FA25">
                  <w:pPr>
                    <w:pStyle w:val="59"/>
                    <w:bidi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0.004L~0.004L</w:t>
                  </w:r>
                </w:p>
              </w:tc>
              <w:tc>
                <w:tcPr>
                  <w:tcW w:w="1340" w:type="dxa"/>
                  <w:tcBorders>
                    <w:top w:val="single" w:color="auto" w:sz="4" w:space="0"/>
                    <w:bottom w:val="single" w:color="auto" w:sz="4" w:space="0"/>
                  </w:tcBorders>
                  <w:shd w:val="clear" w:color="auto" w:fill="auto"/>
                  <w:vAlign w:val="center"/>
                </w:tcPr>
                <w:p w14:paraId="2D6C3C39">
                  <w:pPr>
                    <w:pStyle w:val="59"/>
                    <w:jc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olor w:val="auto"/>
                      <w:sz w:val="21"/>
                      <w:szCs w:val="21"/>
                      <w:highlight w:val="none"/>
                      <w:u w:val="none" w:color="auto"/>
                      <w:lang w:val="en-US" w:eastAsia="zh-CN"/>
                    </w:rPr>
                    <w:t>/</w:t>
                  </w:r>
                </w:p>
              </w:tc>
              <w:tc>
                <w:tcPr>
                  <w:tcW w:w="1340" w:type="dxa"/>
                  <w:tcBorders>
                    <w:top w:val="single" w:color="auto" w:sz="4" w:space="0"/>
                    <w:bottom w:val="single" w:color="auto" w:sz="4" w:space="0"/>
                  </w:tcBorders>
                  <w:shd w:val="clear" w:color="auto" w:fill="auto"/>
                  <w:vAlign w:val="center"/>
                </w:tcPr>
                <w:p w14:paraId="68D3826B">
                  <w:pPr>
                    <w:pStyle w:val="59"/>
                    <w:bidi w:val="0"/>
                    <w:jc w:val="center"/>
                    <w:rPr>
                      <w:rFonts w:hint="eastAsia" w:ascii="Times New Roman" w:hAnsi="Times New Roman" w:eastAsia="宋体" w:cs="Times New Roman"/>
                      <w:color w:val="auto"/>
                      <w:kern w:val="2"/>
                      <w:sz w:val="21"/>
                      <w:szCs w:val="21"/>
                      <w:highlight w:val="none"/>
                      <w:lang w:val="en-US" w:eastAsia="zh-CN" w:bidi="ar-SA"/>
                    </w:rPr>
                  </w:pPr>
                  <w:r>
                    <w:rPr>
                      <w:rFonts w:hint="default"/>
                      <w:color w:val="auto"/>
                      <w:sz w:val="21"/>
                      <w:szCs w:val="21"/>
                      <w:highlight w:val="none"/>
                      <w:lang w:val="en-US" w:eastAsia="zh-CN"/>
                    </w:rPr>
                    <w:t>≤</w:t>
                  </w:r>
                  <w:r>
                    <w:rPr>
                      <w:rFonts w:hint="eastAsia"/>
                      <w:color w:val="auto"/>
                      <w:sz w:val="21"/>
                      <w:szCs w:val="21"/>
                      <w:highlight w:val="none"/>
                      <w:lang w:val="en-US" w:eastAsia="zh-CN"/>
                    </w:rPr>
                    <w:t>0.05</w:t>
                  </w:r>
                </w:p>
              </w:tc>
              <w:tc>
                <w:tcPr>
                  <w:tcW w:w="1340" w:type="dxa"/>
                  <w:tcBorders>
                    <w:top w:val="single" w:color="auto" w:sz="4" w:space="0"/>
                    <w:bottom w:val="single" w:color="auto" w:sz="4" w:space="0"/>
                    <w:right w:val="single" w:color="auto" w:sz="12" w:space="0"/>
                  </w:tcBorders>
                  <w:shd w:val="clear" w:color="auto" w:fill="auto"/>
                  <w:vAlign w:val="center"/>
                </w:tcPr>
                <w:p w14:paraId="4D82482E">
                  <w:pPr>
                    <w:pStyle w:val="59"/>
                    <w:jc w:val="center"/>
                    <w:rPr>
                      <w:rFonts w:hint="eastAsia" w:ascii="Times New Roman" w:hAnsi="Times New Roman" w:eastAsia="宋体" w:cs="Times New Roman"/>
                      <w:color w:val="auto"/>
                      <w:kern w:val="2"/>
                      <w:sz w:val="21"/>
                      <w:szCs w:val="21"/>
                      <w:highlight w:val="none"/>
                      <w:u w:val="none" w:color="auto"/>
                      <w:lang w:val="en-US" w:eastAsia="zh-CN" w:bidi="ar-SA"/>
                    </w:rPr>
                  </w:pPr>
                  <w:r>
                    <w:rPr>
                      <w:color w:val="auto"/>
                      <w:sz w:val="21"/>
                      <w:szCs w:val="21"/>
                      <w:highlight w:val="none"/>
                      <w:u w:val="none" w:color="auto"/>
                    </w:rPr>
                    <w:t>是</w:t>
                  </w:r>
                </w:p>
              </w:tc>
            </w:tr>
            <w:tr w14:paraId="71047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Merge w:val="continue"/>
                  <w:tcBorders>
                    <w:left w:val="single" w:color="auto" w:sz="4" w:space="0"/>
                  </w:tcBorders>
                </w:tcPr>
                <w:p w14:paraId="1604EE15">
                  <w:pPr>
                    <w:pStyle w:val="27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highlight w:val="none"/>
                      <w:u w:val="none" w:color="auto"/>
                      <w:vertAlign w:val="baseline"/>
                      <w:lang w:val="en-US" w:eastAsia="zh-CN"/>
                    </w:rPr>
                  </w:pPr>
                </w:p>
              </w:tc>
              <w:tc>
                <w:tcPr>
                  <w:tcW w:w="1811" w:type="dxa"/>
                  <w:tcBorders>
                    <w:top w:val="single" w:color="auto" w:sz="4" w:space="0"/>
                    <w:bottom w:val="single" w:color="auto" w:sz="4" w:space="0"/>
                  </w:tcBorders>
                  <w:shd w:val="clear" w:color="auto" w:fill="auto"/>
                  <w:vAlign w:val="center"/>
                </w:tcPr>
                <w:p w14:paraId="6661C632">
                  <w:pPr>
                    <w:pStyle w:val="59"/>
                    <w:bidi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铅</w:t>
                  </w:r>
                </w:p>
              </w:tc>
              <w:tc>
                <w:tcPr>
                  <w:tcW w:w="0" w:type="auto"/>
                  <w:tcBorders>
                    <w:top w:val="single" w:color="auto" w:sz="4" w:space="0"/>
                    <w:bottom w:val="single" w:color="auto" w:sz="4" w:space="0"/>
                  </w:tcBorders>
                  <w:shd w:val="clear" w:color="auto" w:fill="auto"/>
                  <w:vAlign w:val="center"/>
                </w:tcPr>
                <w:p w14:paraId="4C13789D">
                  <w:pPr>
                    <w:pStyle w:val="59"/>
                    <w:bidi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0.00012~0.00014</w:t>
                  </w:r>
                </w:p>
              </w:tc>
              <w:tc>
                <w:tcPr>
                  <w:tcW w:w="0" w:type="auto"/>
                  <w:tcBorders>
                    <w:top w:val="single" w:color="auto" w:sz="4" w:space="0"/>
                    <w:bottom w:val="single" w:color="auto" w:sz="4" w:space="0"/>
                  </w:tcBorders>
                  <w:shd w:val="clear" w:color="auto" w:fill="auto"/>
                  <w:vAlign w:val="center"/>
                </w:tcPr>
                <w:p w14:paraId="64EFA425">
                  <w:pPr>
                    <w:pStyle w:val="59"/>
                    <w:jc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olor w:val="auto"/>
                      <w:sz w:val="21"/>
                      <w:szCs w:val="21"/>
                      <w:highlight w:val="none"/>
                      <w:u w:val="none" w:color="auto"/>
                      <w:lang w:val="en-US" w:eastAsia="zh-CN"/>
                    </w:rPr>
                    <w:t>0.0028</w:t>
                  </w:r>
                </w:p>
              </w:tc>
              <w:tc>
                <w:tcPr>
                  <w:tcW w:w="0" w:type="auto"/>
                  <w:tcBorders>
                    <w:top w:val="single" w:color="auto" w:sz="4" w:space="0"/>
                    <w:bottom w:val="single" w:color="auto" w:sz="4" w:space="0"/>
                  </w:tcBorders>
                  <w:shd w:val="clear" w:color="auto" w:fill="auto"/>
                  <w:vAlign w:val="center"/>
                </w:tcPr>
                <w:p w14:paraId="6C770323">
                  <w:pPr>
                    <w:pStyle w:val="59"/>
                    <w:bidi w:val="0"/>
                    <w:jc w:val="center"/>
                    <w:rPr>
                      <w:rFonts w:hint="eastAsia" w:ascii="Times New Roman" w:hAnsi="Times New Roman" w:eastAsia="宋体" w:cs="Times New Roman"/>
                      <w:color w:val="auto"/>
                      <w:kern w:val="2"/>
                      <w:sz w:val="21"/>
                      <w:szCs w:val="21"/>
                      <w:highlight w:val="none"/>
                      <w:lang w:val="en-US" w:eastAsia="zh-CN" w:bidi="ar-SA"/>
                    </w:rPr>
                  </w:pPr>
                  <w:r>
                    <w:rPr>
                      <w:rFonts w:hint="default"/>
                      <w:color w:val="auto"/>
                      <w:sz w:val="21"/>
                      <w:szCs w:val="21"/>
                      <w:highlight w:val="none"/>
                      <w:lang w:val="en-US" w:eastAsia="zh-CN"/>
                    </w:rPr>
                    <w:t>≤</w:t>
                  </w:r>
                  <w:r>
                    <w:rPr>
                      <w:rFonts w:hint="eastAsia"/>
                      <w:color w:val="auto"/>
                      <w:sz w:val="21"/>
                      <w:szCs w:val="21"/>
                      <w:highlight w:val="none"/>
                      <w:lang w:val="en-US" w:eastAsia="zh-CN"/>
                    </w:rPr>
                    <w:t>0.05</w:t>
                  </w:r>
                </w:p>
              </w:tc>
              <w:tc>
                <w:tcPr>
                  <w:tcW w:w="0" w:type="auto"/>
                  <w:tcBorders>
                    <w:top w:val="single" w:color="auto" w:sz="4" w:space="0"/>
                    <w:bottom w:val="single" w:color="auto" w:sz="4" w:space="0"/>
                    <w:right w:val="single" w:color="auto" w:sz="12" w:space="0"/>
                  </w:tcBorders>
                  <w:shd w:val="clear" w:color="auto" w:fill="auto"/>
                  <w:vAlign w:val="center"/>
                </w:tcPr>
                <w:p w14:paraId="4DFF8274">
                  <w:pPr>
                    <w:pStyle w:val="59"/>
                    <w:jc w:val="center"/>
                    <w:rPr>
                      <w:rFonts w:hint="eastAsia" w:ascii="Times New Roman" w:hAnsi="Times New Roman" w:eastAsia="宋体" w:cs="Times New Roman"/>
                      <w:color w:val="auto"/>
                      <w:kern w:val="2"/>
                      <w:sz w:val="21"/>
                      <w:szCs w:val="21"/>
                      <w:highlight w:val="none"/>
                      <w:u w:val="none" w:color="auto"/>
                      <w:lang w:val="en-US" w:eastAsia="zh-CN" w:bidi="ar-SA"/>
                    </w:rPr>
                  </w:pPr>
                  <w:r>
                    <w:rPr>
                      <w:color w:val="auto"/>
                      <w:sz w:val="21"/>
                      <w:szCs w:val="21"/>
                      <w:highlight w:val="none"/>
                      <w:u w:val="none" w:color="auto"/>
                    </w:rPr>
                    <w:t>是</w:t>
                  </w:r>
                </w:p>
              </w:tc>
            </w:tr>
            <w:tr w14:paraId="18B35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Merge w:val="continue"/>
                  <w:tcBorders>
                    <w:left w:val="single" w:color="auto" w:sz="4" w:space="0"/>
                  </w:tcBorders>
                </w:tcPr>
                <w:p w14:paraId="5C1C0B2C">
                  <w:pPr>
                    <w:pStyle w:val="27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highlight w:val="none"/>
                      <w:u w:val="none" w:color="auto"/>
                      <w:vertAlign w:val="baseline"/>
                      <w:lang w:val="en-US" w:eastAsia="zh-CN"/>
                    </w:rPr>
                  </w:pPr>
                </w:p>
              </w:tc>
              <w:tc>
                <w:tcPr>
                  <w:tcW w:w="1811" w:type="dxa"/>
                  <w:tcBorders>
                    <w:top w:val="single" w:color="auto" w:sz="4" w:space="0"/>
                    <w:bottom w:val="single" w:color="auto" w:sz="4" w:space="0"/>
                  </w:tcBorders>
                  <w:shd w:val="clear" w:color="auto" w:fill="auto"/>
                  <w:vAlign w:val="center"/>
                </w:tcPr>
                <w:p w14:paraId="2282F5F1">
                  <w:pPr>
                    <w:pStyle w:val="59"/>
                    <w:bidi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石油类</w:t>
                  </w:r>
                </w:p>
              </w:tc>
              <w:tc>
                <w:tcPr>
                  <w:tcW w:w="0" w:type="auto"/>
                  <w:tcBorders>
                    <w:top w:val="single" w:color="auto" w:sz="4" w:space="0"/>
                    <w:bottom w:val="single" w:color="auto" w:sz="4" w:space="0"/>
                  </w:tcBorders>
                  <w:shd w:val="clear" w:color="auto" w:fill="auto"/>
                  <w:vAlign w:val="center"/>
                </w:tcPr>
                <w:p w14:paraId="23C15C1E">
                  <w:pPr>
                    <w:pStyle w:val="59"/>
                    <w:bidi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0.01L~0.01L</w:t>
                  </w:r>
                </w:p>
              </w:tc>
              <w:tc>
                <w:tcPr>
                  <w:tcW w:w="0" w:type="auto"/>
                  <w:tcBorders>
                    <w:top w:val="single" w:color="auto" w:sz="4" w:space="0"/>
                    <w:bottom w:val="single" w:color="auto" w:sz="4" w:space="0"/>
                  </w:tcBorders>
                  <w:shd w:val="clear" w:color="auto" w:fill="auto"/>
                  <w:vAlign w:val="center"/>
                </w:tcPr>
                <w:p w14:paraId="0CFC8295">
                  <w:pPr>
                    <w:pStyle w:val="59"/>
                    <w:jc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olor w:val="auto"/>
                      <w:sz w:val="21"/>
                      <w:szCs w:val="21"/>
                      <w:highlight w:val="none"/>
                      <w:u w:val="none" w:color="auto"/>
                      <w:lang w:val="en-US" w:eastAsia="zh-CN"/>
                    </w:rPr>
                    <w:t>/</w:t>
                  </w:r>
                </w:p>
              </w:tc>
              <w:tc>
                <w:tcPr>
                  <w:tcW w:w="0" w:type="auto"/>
                  <w:tcBorders>
                    <w:top w:val="single" w:color="auto" w:sz="4" w:space="0"/>
                    <w:bottom w:val="single" w:color="auto" w:sz="4" w:space="0"/>
                  </w:tcBorders>
                  <w:shd w:val="clear" w:color="auto" w:fill="auto"/>
                  <w:vAlign w:val="center"/>
                </w:tcPr>
                <w:p w14:paraId="1A9ED462">
                  <w:pPr>
                    <w:pStyle w:val="59"/>
                    <w:bidi w:val="0"/>
                    <w:jc w:val="center"/>
                    <w:rPr>
                      <w:rFonts w:hint="eastAsia" w:ascii="Times New Roman" w:hAnsi="Times New Roman" w:eastAsia="宋体" w:cs="Times New Roman"/>
                      <w:color w:val="auto"/>
                      <w:kern w:val="2"/>
                      <w:sz w:val="21"/>
                      <w:szCs w:val="21"/>
                      <w:highlight w:val="none"/>
                      <w:lang w:val="en-US" w:eastAsia="zh-CN" w:bidi="ar-SA"/>
                    </w:rPr>
                  </w:pPr>
                  <w:r>
                    <w:rPr>
                      <w:rFonts w:hint="default"/>
                      <w:color w:val="auto"/>
                      <w:sz w:val="21"/>
                      <w:szCs w:val="21"/>
                      <w:highlight w:val="none"/>
                      <w:lang w:val="en-US" w:eastAsia="zh-CN"/>
                    </w:rPr>
                    <w:t>≤</w:t>
                  </w:r>
                  <w:r>
                    <w:rPr>
                      <w:rFonts w:hint="eastAsia"/>
                      <w:color w:val="auto"/>
                      <w:sz w:val="21"/>
                      <w:szCs w:val="21"/>
                      <w:highlight w:val="none"/>
                      <w:lang w:val="en-US" w:eastAsia="zh-CN"/>
                    </w:rPr>
                    <w:t>0.05</w:t>
                  </w:r>
                </w:p>
              </w:tc>
              <w:tc>
                <w:tcPr>
                  <w:tcW w:w="0" w:type="auto"/>
                  <w:tcBorders>
                    <w:top w:val="single" w:color="auto" w:sz="4" w:space="0"/>
                    <w:bottom w:val="single" w:color="auto" w:sz="4" w:space="0"/>
                    <w:right w:val="single" w:color="auto" w:sz="12" w:space="0"/>
                  </w:tcBorders>
                  <w:shd w:val="clear" w:color="auto" w:fill="auto"/>
                  <w:vAlign w:val="center"/>
                </w:tcPr>
                <w:p w14:paraId="3E7A0E60">
                  <w:pPr>
                    <w:pStyle w:val="59"/>
                    <w:jc w:val="center"/>
                    <w:rPr>
                      <w:rFonts w:hint="eastAsia" w:ascii="Times New Roman" w:hAnsi="Times New Roman" w:eastAsia="宋体" w:cs="Times New Roman"/>
                      <w:color w:val="auto"/>
                      <w:kern w:val="2"/>
                      <w:sz w:val="21"/>
                      <w:szCs w:val="21"/>
                      <w:highlight w:val="none"/>
                      <w:u w:val="none" w:color="auto"/>
                      <w:lang w:val="en-US" w:eastAsia="zh-CN" w:bidi="ar-SA"/>
                    </w:rPr>
                  </w:pPr>
                  <w:r>
                    <w:rPr>
                      <w:color w:val="auto"/>
                      <w:sz w:val="21"/>
                      <w:szCs w:val="21"/>
                      <w:highlight w:val="none"/>
                      <w:u w:val="none" w:color="auto"/>
                    </w:rPr>
                    <w:t>是</w:t>
                  </w:r>
                </w:p>
              </w:tc>
            </w:tr>
            <w:tr w14:paraId="34A00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Merge w:val="continue"/>
                  <w:tcBorders>
                    <w:left w:val="single" w:color="auto" w:sz="4" w:space="0"/>
                  </w:tcBorders>
                </w:tcPr>
                <w:p w14:paraId="16FCD9C1">
                  <w:pPr>
                    <w:pStyle w:val="27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highlight w:val="none"/>
                      <w:u w:val="none" w:color="auto"/>
                      <w:vertAlign w:val="baseline"/>
                      <w:lang w:val="en-US" w:eastAsia="zh-CN"/>
                    </w:rPr>
                  </w:pPr>
                </w:p>
              </w:tc>
              <w:tc>
                <w:tcPr>
                  <w:tcW w:w="1811" w:type="dxa"/>
                  <w:tcBorders>
                    <w:top w:val="single" w:color="auto" w:sz="4" w:space="0"/>
                    <w:bottom w:val="single" w:color="auto" w:sz="4" w:space="0"/>
                  </w:tcBorders>
                  <w:shd w:val="clear" w:color="auto" w:fill="auto"/>
                  <w:vAlign w:val="center"/>
                </w:tcPr>
                <w:p w14:paraId="06DB1288">
                  <w:pPr>
                    <w:pStyle w:val="59"/>
                    <w:bidi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粪大肠菌群</w:t>
                  </w:r>
                </w:p>
              </w:tc>
              <w:tc>
                <w:tcPr>
                  <w:tcW w:w="0" w:type="auto"/>
                  <w:tcBorders>
                    <w:top w:val="single" w:color="auto" w:sz="4" w:space="0"/>
                    <w:bottom w:val="single" w:color="auto" w:sz="4" w:space="0"/>
                  </w:tcBorders>
                  <w:shd w:val="clear" w:color="auto" w:fill="auto"/>
                  <w:vAlign w:val="center"/>
                </w:tcPr>
                <w:p w14:paraId="2D57D104">
                  <w:pPr>
                    <w:pStyle w:val="59"/>
                    <w:bidi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260~390</w:t>
                  </w:r>
                </w:p>
              </w:tc>
              <w:tc>
                <w:tcPr>
                  <w:tcW w:w="0" w:type="auto"/>
                  <w:tcBorders>
                    <w:top w:val="single" w:color="auto" w:sz="4" w:space="0"/>
                    <w:bottom w:val="single" w:color="auto" w:sz="4" w:space="0"/>
                  </w:tcBorders>
                  <w:shd w:val="clear" w:color="auto" w:fill="auto"/>
                  <w:vAlign w:val="center"/>
                </w:tcPr>
                <w:p w14:paraId="207B071C">
                  <w:pPr>
                    <w:pStyle w:val="59"/>
                    <w:jc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olor w:val="auto"/>
                      <w:sz w:val="21"/>
                      <w:szCs w:val="21"/>
                      <w:highlight w:val="none"/>
                      <w:u w:val="none" w:color="auto"/>
                      <w:lang w:val="en-US" w:eastAsia="zh-CN"/>
                    </w:rPr>
                    <w:t>0.039</w:t>
                  </w:r>
                </w:p>
              </w:tc>
              <w:tc>
                <w:tcPr>
                  <w:tcW w:w="0" w:type="auto"/>
                  <w:tcBorders>
                    <w:top w:val="single" w:color="auto" w:sz="4" w:space="0"/>
                    <w:bottom w:val="single" w:color="auto" w:sz="4" w:space="0"/>
                  </w:tcBorders>
                  <w:shd w:val="clear" w:color="auto" w:fill="auto"/>
                  <w:vAlign w:val="center"/>
                </w:tcPr>
                <w:p w14:paraId="37D39A46">
                  <w:pPr>
                    <w:pStyle w:val="59"/>
                    <w:bidi w:val="0"/>
                    <w:jc w:val="center"/>
                    <w:rPr>
                      <w:rFonts w:hint="eastAsia" w:ascii="Times New Roman" w:hAnsi="Times New Roman" w:eastAsia="宋体" w:cs="Times New Roman"/>
                      <w:color w:val="auto"/>
                      <w:kern w:val="2"/>
                      <w:sz w:val="21"/>
                      <w:szCs w:val="21"/>
                      <w:highlight w:val="none"/>
                      <w:lang w:val="en-US" w:eastAsia="zh-CN" w:bidi="ar-SA"/>
                    </w:rPr>
                  </w:pPr>
                  <w:r>
                    <w:rPr>
                      <w:rFonts w:hint="default"/>
                      <w:color w:val="auto"/>
                      <w:sz w:val="21"/>
                      <w:szCs w:val="21"/>
                      <w:highlight w:val="none"/>
                      <w:lang w:val="en-US" w:eastAsia="zh-CN"/>
                    </w:rPr>
                    <w:t>≤</w:t>
                  </w:r>
                  <w:r>
                    <w:rPr>
                      <w:rFonts w:hint="eastAsia"/>
                      <w:color w:val="auto"/>
                      <w:sz w:val="21"/>
                      <w:szCs w:val="21"/>
                      <w:highlight w:val="none"/>
                      <w:lang w:val="en-US" w:eastAsia="zh-CN"/>
                    </w:rPr>
                    <w:t>10000个/L</w:t>
                  </w:r>
                </w:p>
              </w:tc>
              <w:tc>
                <w:tcPr>
                  <w:tcW w:w="0" w:type="auto"/>
                  <w:tcBorders>
                    <w:top w:val="single" w:color="auto" w:sz="4" w:space="0"/>
                    <w:bottom w:val="single" w:color="auto" w:sz="4" w:space="0"/>
                    <w:right w:val="single" w:color="auto" w:sz="12" w:space="0"/>
                  </w:tcBorders>
                  <w:shd w:val="clear" w:color="auto" w:fill="auto"/>
                  <w:vAlign w:val="center"/>
                </w:tcPr>
                <w:p w14:paraId="24C73BCB">
                  <w:pPr>
                    <w:pStyle w:val="59"/>
                    <w:jc w:val="center"/>
                    <w:rPr>
                      <w:rFonts w:hint="eastAsia" w:ascii="Times New Roman" w:hAnsi="Times New Roman" w:eastAsia="宋体" w:cs="Times New Roman"/>
                      <w:color w:val="auto"/>
                      <w:kern w:val="2"/>
                      <w:sz w:val="21"/>
                      <w:szCs w:val="21"/>
                      <w:highlight w:val="none"/>
                      <w:u w:val="none" w:color="auto"/>
                      <w:lang w:val="en-US" w:eastAsia="zh-CN" w:bidi="ar-SA"/>
                    </w:rPr>
                  </w:pPr>
                  <w:r>
                    <w:rPr>
                      <w:color w:val="auto"/>
                      <w:sz w:val="21"/>
                      <w:szCs w:val="21"/>
                      <w:highlight w:val="none"/>
                      <w:u w:val="none" w:color="auto"/>
                    </w:rPr>
                    <w:t>是</w:t>
                  </w:r>
                </w:p>
              </w:tc>
            </w:tr>
            <w:tr w14:paraId="6A664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69" w:type="dxa"/>
                  <w:vMerge w:val="continue"/>
                  <w:tcBorders>
                    <w:left w:val="single" w:color="auto" w:sz="4" w:space="0"/>
                    <w:bottom w:val="single" w:color="auto" w:sz="12" w:space="0"/>
                  </w:tcBorders>
                </w:tcPr>
                <w:p w14:paraId="38029007">
                  <w:pPr>
                    <w:pStyle w:val="276"/>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cs="Times New Roman"/>
                      <w:color w:val="auto"/>
                      <w:sz w:val="21"/>
                      <w:szCs w:val="21"/>
                      <w:highlight w:val="none"/>
                      <w:u w:val="none" w:color="auto"/>
                      <w:vertAlign w:val="baseline"/>
                      <w:lang w:val="en-US" w:eastAsia="zh-CN"/>
                    </w:rPr>
                  </w:pPr>
                </w:p>
              </w:tc>
              <w:tc>
                <w:tcPr>
                  <w:tcW w:w="1811" w:type="dxa"/>
                  <w:tcBorders>
                    <w:top w:val="single" w:color="auto" w:sz="4" w:space="0"/>
                    <w:bottom w:val="single" w:color="auto" w:sz="12" w:space="0"/>
                  </w:tcBorders>
                  <w:shd w:val="clear" w:color="auto" w:fill="auto"/>
                  <w:vAlign w:val="center"/>
                </w:tcPr>
                <w:p w14:paraId="77446D88">
                  <w:pPr>
                    <w:pStyle w:val="59"/>
                    <w:bidi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镍</w:t>
                  </w:r>
                </w:p>
              </w:tc>
              <w:tc>
                <w:tcPr>
                  <w:tcW w:w="0" w:type="auto"/>
                  <w:tcBorders>
                    <w:top w:val="single" w:color="auto" w:sz="4" w:space="0"/>
                    <w:bottom w:val="single" w:color="auto" w:sz="12" w:space="0"/>
                  </w:tcBorders>
                  <w:shd w:val="clear" w:color="auto" w:fill="auto"/>
                  <w:vAlign w:val="center"/>
                </w:tcPr>
                <w:p w14:paraId="0782A581">
                  <w:pPr>
                    <w:pStyle w:val="59"/>
                    <w:bidi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0.00024~0.00030</w:t>
                  </w:r>
                </w:p>
              </w:tc>
              <w:tc>
                <w:tcPr>
                  <w:tcW w:w="0" w:type="auto"/>
                  <w:tcBorders>
                    <w:top w:val="single" w:color="auto" w:sz="4" w:space="0"/>
                    <w:bottom w:val="single" w:color="auto" w:sz="12" w:space="0"/>
                  </w:tcBorders>
                  <w:shd w:val="clear" w:color="auto" w:fill="auto"/>
                  <w:vAlign w:val="center"/>
                </w:tcPr>
                <w:p w14:paraId="633817C3">
                  <w:pPr>
                    <w:pStyle w:val="59"/>
                    <w:jc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olor w:val="auto"/>
                      <w:sz w:val="21"/>
                      <w:szCs w:val="21"/>
                      <w:highlight w:val="none"/>
                      <w:u w:val="none" w:color="auto"/>
                      <w:lang w:val="en-US" w:eastAsia="zh-CN"/>
                    </w:rPr>
                    <w:t>0.015</w:t>
                  </w:r>
                </w:p>
              </w:tc>
              <w:tc>
                <w:tcPr>
                  <w:tcW w:w="0" w:type="auto"/>
                  <w:tcBorders>
                    <w:top w:val="single" w:color="auto" w:sz="4" w:space="0"/>
                    <w:bottom w:val="single" w:color="auto" w:sz="12" w:space="0"/>
                  </w:tcBorders>
                  <w:shd w:val="clear" w:color="auto" w:fill="auto"/>
                  <w:vAlign w:val="center"/>
                </w:tcPr>
                <w:p w14:paraId="3516D6E1">
                  <w:pPr>
                    <w:pStyle w:val="59"/>
                    <w:bidi w:val="0"/>
                    <w:jc w:val="center"/>
                    <w:rPr>
                      <w:rFonts w:hint="eastAsia" w:ascii="Times New Roman" w:hAnsi="Times New Roman" w:eastAsia="宋体" w:cs="Times New Roman"/>
                      <w:color w:val="auto"/>
                      <w:kern w:val="2"/>
                      <w:sz w:val="21"/>
                      <w:szCs w:val="21"/>
                      <w:highlight w:val="none"/>
                      <w:lang w:val="en-US" w:eastAsia="zh-CN" w:bidi="ar-SA"/>
                    </w:rPr>
                  </w:pPr>
                  <w:r>
                    <w:rPr>
                      <w:rFonts w:hint="eastAsia"/>
                      <w:color w:val="auto"/>
                      <w:sz w:val="21"/>
                      <w:szCs w:val="21"/>
                      <w:highlight w:val="none"/>
                      <w:lang w:val="en-US" w:eastAsia="zh-CN"/>
                    </w:rPr>
                    <w:t>0.02</w:t>
                  </w:r>
                </w:p>
              </w:tc>
              <w:tc>
                <w:tcPr>
                  <w:tcW w:w="0" w:type="auto"/>
                  <w:tcBorders>
                    <w:top w:val="single" w:color="auto" w:sz="4" w:space="0"/>
                    <w:bottom w:val="single" w:color="auto" w:sz="12" w:space="0"/>
                    <w:right w:val="single" w:color="auto" w:sz="12" w:space="0"/>
                  </w:tcBorders>
                  <w:shd w:val="clear" w:color="auto" w:fill="auto"/>
                  <w:vAlign w:val="center"/>
                </w:tcPr>
                <w:p w14:paraId="646C9D79">
                  <w:pPr>
                    <w:pStyle w:val="59"/>
                    <w:jc w:val="center"/>
                    <w:rPr>
                      <w:rFonts w:hint="eastAsia" w:ascii="Times New Roman" w:hAnsi="Times New Roman" w:eastAsia="宋体" w:cs="Times New Roman"/>
                      <w:color w:val="auto"/>
                      <w:kern w:val="2"/>
                      <w:sz w:val="21"/>
                      <w:szCs w:val="21"/>
                      <w:highlight w:val="none"/>
                      <w:u w:val="none" w:color="auto"/>
                      <w:lang w:val="en-US" w:eastAsia="zh-CN" w:bidi="ar-SA"/>
                    </w:rPr>
                  </w:pPr>
                  <w:r>
                    <w:rPr>
                      <w:color w:val="auto"/>
                      <w:sz w:val="21"/>
                      <w:szCs w:val="21"/>
                      <w:highlight w:val="none"/>
                      <w:u w:val="none" w:color="auto"/>
                    </w:rPr>
                    <w:t>是</w:t>
                  </w:r>
                </w:p>
              </w:tc>
            </w:tr>
          </w:tbl>
          <w:p w14:paraId="0654032F">
            <w:pPr>
              <w:pStyle w:val="276"/>
              <w:spacing w:line="360" w:lineRule="auto"/>
              <w:ind w:firstLine="480"/>
              <w:rPr>
                <w:rFonts w:hint="eastAsia" w:cs="Times New Roman"/>
                <w:color w:val="auto"/>
                <w:highlight w:val="none"/>
                <w:u w:val="none" w:color="auto"/>
                <w:lang w:val="en-US" w:eastAsia="zh-CN"/>
              </w:rPr>
            </w:pPr>
            <w:r>
              <w:rPr>
                <w:rFonts w:hint="eastAsia" w:cs="Times New Roman"/>
                <w:color w:val="auto"/>
                <w:highlight w:val="none"/>
                <w:u w:val="none" w:color="auto"/>
                <w:lang w:val="en-US" w:eastAsia="zh-CN"/>
              </w:rPr>
              <w:t>根据监测结果，监测期间狮行山水闸下游500m处各项监测指标均能满足《地表水环境质量标准》（GB3838-2002）Ⅲ类标准要求。</w:t>
            </w:r>
          </w:p>
          <w:p w14:paraId="11A96912">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default" w:ascii="Times New Roman" w:hAnsi="Times New Roman" w:eastAsia="宋体" w:cs="Times New Roman"/>
                <w:b/>
                <w:bCs/>
                <w:color w:val="auto"/>
                <w:highlight w:val="none"/>
                <w:u w:val="none" w:color="auto"/>
              </w:rPr>
            </w:pPr>
            <w:r>
              <w:rPr>
                <w:rFonts w:hint="default" w:ascii="Times New Roman" w:hAnsi="Times New Roman" w:eastAsia="宋体" w:cs="Times New Roman"/>
                <w:b/>
                <w:bCs/>
                <w:color w:val="auto"/>
                <w:highlight w:val="none"/>
                <w:u w:val="none" w:color="auto"/>
                <w:lang w:val="en-US" w:eastAsia="zh-CN"/>
              </w:rPr>
              <w:t>三、</w:t>
            </w:r>
            <w:r>
              <w:rPr>
                <w:rFonts w:hint="default" w:ascii="Times New Roman" w:hAnsi="Times New Roman" w:eastAsia="宋体" w:cs="Times New Roman"/>
                <w:b/>
                <w:bCs/>
                <w:color w:val="auto"/>
                <w:highlight w:val="none"/>
                <w:u w:val="none" w:color="auto"/>
              </w:rPr>
              <w:t>声环境</w:t>
            </w:r>
          </w:p>
          <w:p w14:paraId="05C995D6">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default" w:ascii="Times New Roman" w:hAnsi="Times New Roman" w:eastAsia="宋体" w:cs="Times New Roman"/>
                <w:color w:val="auto"/>
                <w:sz w:val="24"/>
                <w:highlight w:val="none"/>
                <w:u w:val="none" w:color="auto"/>
                <w:lang w:val="en-US" w:eastAsia="zh-CN" w:bidi="ar"/>
              </w:rPr>
            </w:pPr>
            <w:r>
              <w:rPr>
                <w:rFonts w:hint="default" w:ascii="Times New Roman" w:hAnsi="Times New Roman" w:eastAsia="宋体" w:cs="Times New Roman"/>
                <w:color w:val="auto"/>
                <w:sz w:val="24"/>
                <w:highlight w:val="none"/>
                <w:u w:val="none" w:color="auto"/>
              </w:rPr>
              <w:t>《建设项目环境影响报告表编制技术指南（污染影响类）（试行）》规定：</w:t>
            </w:r>
            <w:r>
              <w:rPr>
                <w:rFonts w:hint="default" w:ascii="Times New Roman" w:hAnsi="Times New Roman" w:eastAsia="宋体" w:cs="Times New Roman"/>
                <w:color w:val="auto"/>
                <w:sz w:val="24"/>
                <w:highlight w:val="none"/>
                <w:u w:val="none" w:color="auto"/>
                <w:lang w:bidi="ar"/>
              </w:rPr>
              <w:t>厂界外周边 50 米范围内存在声环境保护目标的建设项目，应监测保护目标声环境质量现状并评价达标情况。各点位应监测昼夜间噪声，监测时间不少于 1 天，项目夜间不生产则仅监测昼间噪声。</w:t>
            </w:r>
            <w:r>
              <w:rPr>
                <w:rFonts w:hint="eastAsia" w:eastAsia="宋体" w:cs="Times New Roman"/>
                <w:color w:val="auto"/>
                <w:sz w:val="24"/>
                <w:highlight w:val="none"/>
                <w:u w:val="none" w:color="auto"/>
                <w:lang w:val="en-US" w:eastAsia="zh-CN" w:bidi="ar"/>
              </w:rPr>
              <w:t>本项目委托湖南科俊环境检测有限公司于2025年5月19日对本项目东南侧15m古仑村村委进行了环境噪声质量监测。</w:t>
            </w:r>
          </w:p>
          <w:p w14:paraId="21DB77CC">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eastAsia" w:ascii="Times New Roman" w:hAnsi="Times New Roman" w:eastAsia="宋体" w:cs="Times New Roman"/>
                <w:color w:val="auto"/>
                <w:sz w:val="24"/>
                <w:highlight w:val="none"/>
                <w:u w:val="none" w:color="auto"/>
                <w:lang w:val="en-US" w:eastAsia="zh-CN"/>
              </w:rPr>
            </w:pPr>
            <w:r>
              <w:rPr>
                <w:rFonts w:hint="eastAsia" w:cs="Times New Roman"/>
                <w:color w:val="auto"/>
                <w:sz w:val="24"/>
                <w:highlight w:val="none"/>
                <w:u w:val="none" w:color="auto"/>
                <w:lang w:val="en-US" w:eastAsia="zh-CN"/>
              </w:rPr>
              <w:t>1）监测点位：</w:t>
            </w:r>
            <w:r>
              <w:rPr>
                <w:rFonts w:hint="eastAsia" w:eastAsia="宋体" w:cs="Times New Roman"/>
                <w:color w:val="auto"/>
                <w:sz w:val="24"/>
                <w:highlight w:val="none"/>
                <w:u w:val="none" w:color="auto"/>
                <w:lang w:val="en-US" w:eastAsia="zh-CN" w:bidi="ar"/>
              </w:rPr>
              <w:t>古仑村村委</w:t>
            </w:r>
          </w:p>
          <w:p w14:paraId="2B8CC250">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default" w:ascii="Times New Roman" w:hAnsi="Times New Roman" w:eastAsia="宋体" w:cs="Times New Roman"/>
                <w:color w:val="auto"/>
                <w:sz w:val="24"/>
                <w:highlight w:val="none"/>
                <w:u w:val="none" w:color="auto"/>
                <w:lang w:val="en-US" w:eastAsia="zh-CN"/>
              </w:rPr>
            </w:pPr>
            <w:r>
              <w:rPr>
                <w:rFonts w:hint="eastAsia" w:cs="Times New Roman"/>
                <w:color w:val="auto"/>
                <w:sz w:val="24"/>
                <w:highlight w:val="none"/>
                <w:u w:val="none" w:color="auto"/>
                <w:lang w:val="en-US" w:eastAsia="zh-CN"/>
              </w:rPr>
              <w:t>2）监测因子：LeqA</w:t>
            </w:r>
          </w:p>
          <w:p w14:paraId="1044F2B5">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default" w:ascii="Times New Roman" w:hAnsi="Times New Roman" w:eastAsia="宋体" w:cs="Times New Roman"/>
                <w:color w:val="auto"/>
                <w:sz w:val="24"/>
                <w:highlight w:val="none"/>
                <w:u w:val="none" w:color="auto"/>
                <w:lang w:val="en-US" w:eastAsia="zh-CN"/>
              </w:rPr>
            </w:pPr>
            <w:r>
              <w:rPr>
                <w:rFonts w:hint="eastAsia" w:cs="Times New Roman"/>
                <w:color w:val="auto"/>
                <w:sz w:val="24"/>
                <w:highlight w:val="none"/>
                <w:u w:val="none" w:color="auto"/>
                <w:lang w:val="en-US" w:eastAsia="zh-CN"/>
              </w:rPr>
              <w:t>3）监测频次：每日监测昼间、夜间声环境质量现状，连续监测1日</w:t>
            </w:r>
          </w:p>
          <w:p w14:paraId="17A396C7">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default" w:ascii="Times New Roman" w:hAnsi="Times New Roman" w:eastAsia="宋体" w:cs="Times New Roman"/>
                <w:color w:val="auto"/>
                <w:sz w:val="24"/>
                <w:highlight w:val="none"/>
                <w:u w:val="none" w:color="auto"/>
                <w:lang w:val="en-US" w:eastAsia="zh-CN"/>
              </w:rPr>
            </w:pPr>
            <w:r>
              <w:rPr>
                <w:rFonts w:hint="eastAsia" w:cs="Times New Roman"/>
                <w:color w:val="auto"/>
                <w:sz w:val="24"/>
                <w:highlight w:val="none"/>
                <w:u w:val="none" w:color="auto"/>
                <w:lang w:val="en-US" w:eastAsia="zh-CN"/>
              </w:rPr>
              <w:t>4）监测结果</w:t>
            </w:r>
          </w:p>
          <w:p w14:paraId="52DA48D6">
            <w:pPr>
              <w:keepNext w:val="0"/>
              <w:keepLines w:val="0"/>
              <w:pageBreakBefore w:val="0"/>
              <w:widowControl w:val="0"/>
              <w:kinsoku/>
              <w:wordWrap/>
              <w:overflowPunct/>
              <w:topLinePunct w:val="0"/>
              <w:autoSpaceDE/>
              <w:autoSpaceDN/>
              <w:bidi w:val="0"/>
              <w:adjustRightInd/>
              <w:snapToGrid w:val="0"/>
              <w:spacing w:line="360" w:lineRule="auto"/>
              <w:ind w:firstLine="0"/>
              <w:jc w:val="center"/>
              <w:textAlignment w:val="auto"/>
              <w:rPr>
                <w:rFonts w:hint="eastAsia" w:ascii="Times New Roman" w:hAnsi="Times New Roman" w:cs="Times New Roman"/>
                <w:b/>
                <w:color w:val="auto"/>
                <w:sz w:val="21"/>
                <w:szCs w:val="20"/>
                <w:lang w:val="en-US" w:eastAsia="zh-CN"/>
              </w:rPr>
            </w:pPr>
            <w:r>
              <w:rPr>
                <w:rFonts w:hint="default" w:ascii="Times New Roman" w:hAnsi="Times New Roman" w:cs="Times New Roman"/>
                <w:b/>
                <w:color w:val="auto"/>
                <w:sz w:val="21"/>
                <w:szCs w:val="20"/>
                <w:lang w:val="en-US" w:eastAsia="zh-CN"/>
              </w:rPr>
              <w:t>表3-</w:t>
            </w:r>
            <w:r>
              <w:rPr>
                <w:rFonts w:hint="eastAsia" w:cs="Times New Roman"/>
                <w:b/>
                <w:color w:val="auto"/>
                <w:sz w:val="21"/>
                <w:szCs w:val="20"/>
                <w:lang w:val="en-US" w:eastAsia="zh-CN"/>
              </w:rPr>
              <w:t xml:space="preserve">8 </w:t>
            </w:r>
            <w:r>
              <w:rPr>
                <w:rFonts w:hint="eastAsia" w:ascii="Times New Roman" w:hAnsi="Times New Roman" w:cs="Times New Roman"/>
                <w:b/>
                <w:color w:val="auto"/>
                <w:sz w:val="21"/>
                <w:szCs w:val="20"/>
                <w:lang w:val="en-US" w:eastAsia="zh-CN"/>
              </w:rPr>
              <w:t>噪声监测结果</w:t>
            </w:r>
          </w:p>
          <w:tbl>
            <w:tblPr>
              <w:tblStyle w:val="43"/>
              <w:tblW w:w="8040"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608"/>
              <w:gridCol w:w="1226"/>
              <w:gridCol w:w="1200"/>
              <w:gridCol w:w="1800"/>
              <w:gridCol w:w="1125"/>
              <w:gridCol w:w="1081"/>
            </w:tblGrid>
            <w:tr w14:paraId="461D9E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7" w:hRule="atLeast"/>
              </w:trPr>
              <w:tc>
                <w:tcPr>
                  <w:tcW w:w="1608" w:type="dxa"/>
                  <w:tcBorders>
                    <w:tl2br w:val="nil"/>
                    <w:tr2bl w:val="nil"/>
                  </w:tcBorders>
                  <w:vAlign w:val="center"/>
                </w:tcPr>
                <w:p w14:paraId="6152C63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cs="Times New Roman"/>
                      <w:b w:val="0"/>
                      <w:bCs/>
                      <w:color w:val="auto"/>
                      <w:sz w:val="21"/>
                      <w:szCs w:val="20"/>
                      <w:vertAlign w:val="baseline"/>
                      <w:lang w:val="en-US" w:eastAsia="zh-CN"/>
                    </w:rPr>
                  </w:pPr>
                  <w:r>
                    <w:rPr>
                      <w:rFonts w:hint="eastAsia" w:cs="Times New Roman"/>
                      <w:b w:val="0"/>
                      <w:bCs/>
                      <w:color w:val="auto"/>
                      <w:sz w:val="21"/>
                      <w:szCs w:val="20"/>
                      <w:vertAlign w:val="baseline"/>
                      <w:lang w:val="en-US" w:eastAsia="zh-CN"/>
                    </w:rPr>
                    <w:t>监测点位</w:t>
                  </w:r>
                </w:p>
              </w:tc>
              <w:tc>
                <w:tcPr>
                  <w:tcW w:w="1226" w:type="dxa"/>
                  <w:tcBorders>
                    <w:tl2br w:val="nil"/>
                    <w:tr2bl w:val="nil"/>
                  </w:tcBorders>
                  <w:vAlign w:val="center"/>
                </w:tcPr>
                <w:p w14:paraId="6BF2093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cs="Times New Roman"/>
                      <w:b w:val="0"/>
                      <w:bCs/>
                      <w:color w:val="auto"/>
                      <w:sz w:val="21"/>
                      <w:szCs w:val="20"/>
                      <w:vertAlign w:val="baseline"/>
                      <w:lang w:val="en-US" w:eastAsia="zh-CN"/>
                    </w:rPr>
                  </w:pPr>
                  <w:r>
                    <w:rPr>
                      <w:rFonts w:hint="eastAsia" w:cs="Times New Roman"/>
                      <w:b w:val="0"/>
                      <w:bCs/>
                      <w:color w:val="auto"/>
                      <w:sz w:val="21"/>
                      <w:szCs w:val="20"/>
                      <w:vertAlign w:val="baseline"/>
                      <w:lang w:val="en-US" w:eastAsia="zh-CN"/>
                    </w:rPr>
                    <w:t>监测日期</w:t>
                  </w:r>
                </w:p>
              </w:tc>
              <w:tc>
                <w:tcPr>
                  <w:tcW w:w="1200" w:type="dxa"/>
                  <w:tcBorders>
                    <w:tl2br w:val="nil"/>
                    <w:tr2bl w:val="nil"/>
                  </w:tcBorders>
                  <w:vAlign w:val="center"/>
                </w:tcPr>
                <w:p w14:paraId="0802E2AA">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cs="Times New Roman"/>
                      <w:b w:val="0"/>
                      <w:bCs/>
                      <w:color w:val="auto"/>
                      <w:sz w:val="21"/>
                      <w:szCs w:val="20"/>
                      <w:vertAlign w:val="baseline"/>
                      <w:lang w:val="en-US" w:eastAsia="zh-CN"/>
                    </w:rPr>
                  </w:pPr>
                  <w:r>
                    <w:rPr>
                      <w:rFonts w:hint="eastAsia" w:cs="Times New Roman"/>
                      <w:b w:val="0"/>
                      <w:bCs/>
                      <w:color w:val="auto"/>
                      <w:sz w:val="21"/>
                      <w:szCs w:val="20"/>
                      <w:vertAlign w:val="baseline"/>
                      <w:lang w:val="en-US" w:eastAsia="zh-CN"/>
                    </w:rPr>
                    <w:t>监测时段</w:t>
                  </w:r>
                </w:p>
              </w:tc>
              <w:tc>
                <w:tcPr>
                  <w:tcW w:w="1800" w:type="dxa"/>
                  <w:tcBorders>
                    <w:tl2br w:val="nil"/>
                    <w:tr2bl w:val="nil"/>
                  </w:tcBorders>
                  <w:vAlign w:val="center"/>
                </w:tcPr>
                <w:p w14:paraId="567BB68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cs="Times New Roman"/>
                      <w:b w:val="0"/>
                      <w:bCs/>
                      <w:color w:val="auto"/>
                      <w:sz w:val="21"/>
                      <w:szCs w:val="20"/>
                      <w:vertAlign w:val="baseline"/>
                      <w:lang w:val="en-US" w:eastAsia="zh-CN"/>
                    </w:rPr>
                  </w:pPr>
                  <w:r>
                    <w:rPr>
                      <w:rFonts w:hint="eastAsia" w:cs="Times New Roman"/>
                      <w:b w:val="0"/>
                      <w:bCs/>
                      <w:color w:val="auto"/>
                      <w:sz w:val="21"/>
                      <w:szCs w:val="20"/>
                      <w:vertAlign w:val="baseline"/>
                      <w:lang w:val="en-US" w:eastAsia="zh-CN"/>
                    </w:rPr>
                    <w:t>检测结果dB（A）</w:t>
                  </w:r>
                </w:p>
              </w:tc>
              <w:tc>
                <w:tcPr>
                  <w:tcW w:w="1125" w:type="dxa"/>
                  <w:tcBorders>
                    <w:tl2br w:val="nil"/>
                    <w:tr2bl w:val="nil"/>
                  </w:tcBorders>
                  <w:vAlign w:val="center"/>
                </w:tcPr>
                <w:p w14:paraId="742F7912">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cs="Times New Roman"/>
                      <w:b w:val="0"/>
                      <w:bCs/>
                      <w:color w:val="auto"/>
                      <w:sz w:val="21"/>
                      <w:szCs w:val="20"/>
                      <w:vertAlign w:val="baseline"/>
                      <w:lang w:val="en-US" w:eastAsia="zh-CN"/>
                    </w:rPr>
                  </w:pPr>
                  <w:r>
                    <w:rPr>
                      <w:rFonts w:hint="eastAsia" w:cs="Times New Roman"/>
                      <w:b w:val="0"/>
                      <w:bCs/>
                      <w:color w:val="auto"/>
                      <w:sz w:val="21"/>
                      <w:szCs w:val="20"/>
                      <w:vertAlign w:val="baseline"/>
                      <w:lang w:val="en-US" w:eastAsia="zh-CN"/>
                    </w:rPr>
                    <w:t>标准限值</w:t>
                  </w:r>
                </w:p>
              </w:tc>
              <w:tc>
                <w:tcPr>
                  <w:tcW w:w="1081" w:type="dxa"/>
                  <w:tcBorders>
                    <w:tl2br w:val="nil"/>
                    <w:tr2bl w:val="nil"/>
                  </w:tcBorders>
                  <w:vAlign w:val="center"/>
                </w:tcPr>
                <w:p w14:paraId="78B925E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cs="Times New Roman"/>
                      <w:b w:val="0"/>
                      <w:bCs/>
                      <w:color w:val="auto"/>
                      <w:sz w:val="21"/>
                      <w:szCs w:val="20"/>
                      <w:vertAlign w:val="baseline"/>
                      <w:lang w:val="en-US" w:eastAsia="zh-CN"/>
                    </w:rPr>
                  </w:pPr>
                  <w:r>
                    <w:rPr>
                      <w:rFonts w:hint="eastAsia" w:cs="Times New Roman"/>
                      <w:b w:val="0"/>
                      <w:bCs/>
                      <w:color w:val="auto"/>
                      <w:sz w:val="21"/>
                      <w:szCs w:val="20"/>
                      <w:vertAlign w:val="baseline"/>
                      <w:lang w:val="en-US" w:eastAsia="zh-CN"/>
                    </w:rPr>
                    <w:t>是否达标</w:t>
                  </w:r>
                </w:p>
              </w:tc>
            </w:tr>
            <w:tr w14:paraId="287CB3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08" w:type="dxa"/>
                  <w:vMerge w:val="restart"/>
                  <w:tcBorders>
                    <w:tl2br w:val="nil"/>
                    <w:tr2bl w:val="nil"/>
                  </w:tcBorders>
                  <w:vAlign w:val="center"/>
                </w:tcPr>
                <w:p w14:paraId="55948164">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cs="Times New Roman"/>
                      <w:b w:val="0"/>
                      <w:bCs/>
                      <w:color w:val="auto"/>
                      <w:sz w:val="21"/>
                      <w:szCs w:val="20"/>
                      <w:vertAlign w:val="baseline"/>
                      <w:lang w:val="en-US" w:eastAsia="zh-CN"/>
                    </w:rPr>
                  </w:pPr>
                  <w:r>
                    <w:rPr>
                      <w:rFonts w:hint="eastAsia" w:ascii="Times New Roman" w:hAnsi="Times New Roman" w:cs="Times New Roman"/>
                      <w:b w:val="0"/>
                      <w:bCs/>
                      <w:color w:val="auto"/>
                      <w:sz w:val="21"/>
                      <w:szCs w:val="20"/>
                      <w:vertAlign w:val="baseline"/>
                      <w:lang w:val="en-US" w:eastAsia="zh-CN"/>
                    </w:rPr>
                    <w:t>N1古仑村村委</w:t>
                  </w:r>
                </w:p>
              </w:tc>
              <w:tc>
                <w:tcPr>
                  <w:tcW w:w="1226" w:type="dxa"/>
                  <w:vMerge w:val="restart"/>
                  <w:tcBorders>
                    <w:tl2br w:val="nil"/>
                    <w:tr2bl w:val="nil"/>
                  </w:tcBorders>
                  <w:vAlign w:val="center"/>
                </w:tcPr>
                <w:p w14:paraId="6FAE05DE">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cs="Times New Roman"/>
                      <w:b w:val="0"/>
                      <w:bCs/>
                      <w:color w:val="auto"/>
                      <w:sz w:val="21"/>
                      <w:szCs w:val="20"/>
                      <w:vertAlign w:val="baseline"/>
                      <w:lang w:val="en-US" w:eastAsia="zh-CN"/>
                    </w:rPr>
                  </w:pPr>
                  <w:r>
                    <w:rPr>
                      <w:rFonts w:hint="eastAsia" w:ascii="Times New Roman" w:hAnsi="Times New Roman" w:cs="Times New Roman"/>
                      <w:b w:val="0"/>
                      <w:bCs/>
                      <w:color w:val="auto"/>
                      <w:sz w:val="21"/>
                      <w:szCs w:val="20"/>
                      <w:vertAlign w:val="baseline"/>
                      <w:lang w:val="en-US" w:eastAsia="zh-CN"/>
                    </w:rPr>
                    <w:t>2025.5.19</w:t>
                  </w:r>
                </w:p>
              </w:tc>
              <w:tc>
                <w:tcPr>
                  <w:tcW w:w="1200" w:type="dxa"/>
                  <w:tcBorders>
                    <w:tl2br w:val="nil"/>
                    <w:tr2bl w:val="nil"/>
                  </w:tcBorders>
                  <w:vAlign w:val="center"/>
                </w:tcPr>
                <w:p w14:paraId="30D486E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cs="Times New Roman"/>
                      <w:b w:val="0"/>
                      <w:bCs/>
                      <w:color w:val="auto"/>
                      <w:sz w:val="21"/>
                      <w:szCs w:val="20"/>
                      <w:vertAlign w:val="baseline"/>
                      <w:lang w:val="en-US" w:eastAsia="zh-CN"/>
                    </w:rPr>
                  </w:pPr>
                  <w:r>
                    <w:rPr>
                      <w:rFonts w:hint="eastAsia" w:cs="Times New Roman"/>
                      <w:b w:val="0"/>
                      <w:bCs/>
                      <w:color w:val="auto"/>
                      <w:sz w:val="21"/>
                      <w:szCs w:val="20"/>
                      <w:vertAlign w:val="baseline"/>
                      <w:lang w:val="en-US" w:eastAsia="zh-CN"/>
                    </w:rPr>
                    <w:t>昼间</w:t>
                  </w:r>
                </w:p>
              </w:tc>
              <w:tc>
                <w:tcPr>
                  <w:tcW w:w="1800" w:type="dxa"/>
                  <w:tcBorders>
                    <w:tl2br w:val="nil"/>
                    <w:tr2bl w:val="nil"/>
                  </w:tcBorders>
                  <w:vAlign w:val="center"/>
                </w:tcPr>
                <w:p w14:paraId="5BFFAB1C">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val="0"/>
                      <w:bCs/>
                      <w:color w:val="auto"/>
                      <w:sz w:val="21"/>
                      <w:szCs w:val="20"/>
                      <w:vertAlign w:val="baseline"/>
                      <w:lang w:val="en-US" w:eastAsia="zh-CN"/>
                    </w:rPr>
                  </w:pPr>
                  <w:r>
                    <w:rPr>
                      <w:rFonts w:hint="eastAsia" w:cs="Times New Roman"/>
                      <w:b w:val="0"/>
                      <w:bCs/>
                      <w:color w:val="auto"/>
                      <w:sz w:val="21"/>
                      <w:szCs w:val="20"/>
                      <w:vertAlign w:val="baseline"/>
                      <w:lang w:val="en-US" w:eastAsia="zh-CN"/>
                    </w:rPr>
                    <w:t>47</w:t>
                  </w:r>
                </w:p>
              </w:tc>
              <w:tc>
                <w:tcPr>
                  <w:tcW w:w="1125" w:type="dxa"/>
                  <w:tcBorders>
                    <w:tl2br w:val="nil"/>
                    <w:tr2bl w:val="nil"/>
                  </w:tcBorders>
                  <w:vAlign w:val="center"/>
                </w:tcPr>
                <w:p w14:paraId="338B72A7">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val="0"/>
                      <w:bCs/>
                      <w:color w:val="auto"/>
                      <w:sz w:val="21"/>
                      <w:szCs w:val="20"/>
                      <w:vertAlign w:val="baseline"/>
                      <w:lang w:val="en-US" w:eastAsia="zh-CN"/>
                    </w:rPr>
                  </w:pPr>
                  <w:r>
                    <w:rPr>
                      <w:rFonts w:hint="eastAsia" w:cs="Times New Roman"/>
                      <w:b w:val="0"/>
                      <w:bCs/>
                      <w:color w:val="auto"/>
                      <w:sz w:val="21"/>
                      <w:szCs w:val="20"/>
                      <w:vertAlign w:val="baseline"/>
                      <w:lang w:val="en-US" w:eastAsia="zh-CN"/>
                    </w:rPr>
                    <w:t>60</w:t>
                  </w:r>
                </w:p>
              </w:tc>
              <w:tc>
                <w:tcPr>
                  <w:tcW w:w="1081" w:type="dxa"/>
                  <w:tcBorders>
                    <w:tl2br w:val="nil"/>
                    <w:tr2bl w:val="nil"/>
                  </w:tcBorders>
                  <w:vAlign w:val="center"/>
                </w:tcPr>
                <w:p w14:paraId="7C6F368F">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cs="Times New Roman"/>
                      <w:b w:val="0"/>
                      <w:bCs/>
                      <w:color w:val="auto"/>
                      <w:sz w:val="21"/>
                      <w:szCs w:val="20"/>
                      <w:vertAlign w:val="baseline"/>
                      <w:lang w:val="en-US" w:eastAsia="zh-CN"/>
                    </w:rPr>
                  </w:pPr>
                  <w:r>
                    <w:rPr>
                      <w:rFonts w:hint="eastAsia" w:cs="Times New Roman"/>
                      <w:b w:val="0"/>
                      <w:bCs/>
                      <w:color w:val="auto"/>
                      <w:sz w:val="21"/>
                      <w:szCs w:val="20"/>
                      <w:vertAlign w:val="baseline"/>
                      <w:lang w:val="en-US" w:eastAsia="zh-CN"/>
                    </w:rPr>
                    <w:t>是</w:t>
                  </w:r>
                </w:p>
              </w:tc>
            </w:tr>
            <w:tr w14:paraId="5167E9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608" w:type="dxa"/>
                  <w:vMerge w:val="continue"/>
                  <w:tcBorders>
                    <w:tl2br w:val="nil"/>
                    <w:tr2bl w:val="nil"/>
                  </w:tcBorders>
                  <w:vAlign w:val="center"/>
                </w:tcPr>
                <w:p w14:paraId="0925127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cs="Times New Roman"/>
                      <w:b w:val="0"/>
                      <w:bCs/>
                      <w:color w:val="auto"/>
                      <w:sz w:val="21"/>
                      <w:szCs w:val="20"/>
                      <w:vertAlign w:val="baseline"/>
                      <w:lang w:val="en-US" w:eastAsia="zh-CN"/>
                    </w:rPr>
                  </w:pPr>
                </w:p>
              </w:tc>
              <w:tc>
                <w:tcPr>
                  <w:tcW w:w="1226" w:type="dxa"/>
                  <w:vMerge w:val="continue"/>
                  <w:tcBorders>
                    <w:tl2br w:val="nil"/>
                    <w:tr2bl w:val="nil"/>
                  </w:tcBorders>
                  <w:vAlign w:val="center"/>
                </w:tcPr>
                <w:p w14:paraId="52A3235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cs="Times New Roman"/>
                      <w:b w:val="0"/>
                      <w:bCs/>
                      <w:color w:val="auto"/>
                      <w:sz w:val="21"/>
                      <w:szCs w:val="20"/>
                      <w:vertAlign w:val="baseline"/>
                      <w:lang w:val="en-US" w:eastAsia="zh-CN"/>
                    </w:rPr>
                  </w:pPr>
                </w:p>
              </w:tc>
              <w:tc>
                <w:tcPr>
                  <w:tcW w:w="1200" w:type="dxa"/>
                  <w:tcBorders>
                    <w:tl2br w:val="nil"/>
                    <w:tr2bl w:val="nil"/>
                  </w:tcBorders>
                  <w:vAlign w:val="center"/>
                </w:tcPr>
                <w:p w14:paraId="327E0569">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cs="Times New Roman"/>
                      <w:b w:val="0"/>
                      <w:bCs/>
                      <w:color w:val="auto"/>
                      <w:sz w:val="21"/>
                      <w:szCs w:val="20"/>
                      <w:vertAlign w:val="baseline"/>
                      <w:lang w:val="en-US" w:eastAsia="zh-CN"/>
                    </w:rPr>
                  </w:pPr>
                  <w:r>
                    <w:rPr>
                      <w:rFonts w:hint="eastAsia" w:cs="Times New Roman"/>
                      <w:b w:val="0"/>
                      <w:bCs/>
                      <w:color w:val="auto"/>
                      <w:sz w:val="21"/>
                      <w:szCs w:val="20"/>
                      <w:vertAlign w:val="baseline"/>
                      <w:lang w:val="en-US" w:eastAsia="zh-CN"/>
                    </w:rPr>
                    <w:t>夜间</w:t>
                  </w:r>
                </w:p>
              </w:tc>
              <w:tc>
                <w:tcPr>
                  <w:tcW w:w="1800" w:type="dxa"/>
                  <w:tcBorders>
                    <w:tl2br w:val="nil"/>
                    <w:tr2bl w:val="nil"/>
                  </w:tcBorders>
                  <w:vAlign w:val="center"/>
                </w:tcPr>
                <w:p w14:paraId="2CB338B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val="0"/>
                      <w:bCs/>
                      <w:color w:val="auto"/>
                      <w:sz w:val="21"/>
                      <w:szCs w:val="20"/>
                      <w:vertAlign w:val="baseline"/>
                      <w:lang w:val="en-US" w:eastAsia="zh-CN"/>
                    </w:rPr>
                  </w:pPr>
                  <w:r>
                    <w:rPr>
                      <w:rFonts w:hint="eastAsia" w:cs="Times New Roman"/>
                      <w:b w:val="0"/>
                      <w:bCs/>
                      <w:color w:val="auto"/>
                      <w:sz w:val="21"/>
                      <w:szCs w:val="20"/>
                      <w:vertAlign w:val="baseline"/>
                      <w:lang w:val="en-US" w:eastAsia="zh-CN"/>
                    </w:rPr>
                    <w:t>44</w:t>
                  </w:r>
                </w:p>
              </w:tc>
              <w:tc>
                <w:tcPr>
                  <w:tcW w:w="1125" w:type="dxa"/>
                  <w:tcBorders>
                    <w:tl2br w:val="nil"/>
                    <w:tr2bl w:val="nil"/>
                  </w:tcBorders>
                  <w:vAlign w:val="center"/>
                </w:tcPr>
                <w:p w14:paraId="1FBA5A2D">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Times New Roman" w:hAnsi="Times New Roman" w:cs="Times New Roman"/>
                      <w:b w:val="0"/>
                      <w:bCs/>
                      <w:color w:val="auto"/>
                      <w:sz w:val="21"/>
                      <w:szCs w:val="20"/>
                      <w:vertAlign w:val="baseline"/>
                      <w:lang w:val="en-US" w:eastAsia="zh-CN"/>
                    </w:rPr>
                  </w:pPr>
                  <w:r>
                    <w:rPr>
                      <w:rFonts w:hint="eastAsia" w:cs="Times New Roman"/>
                      <w:b w:val="0"/>
                      <w:bCs/>
                      <w:color w:val="auto"/>
                      <w:sz w:val="21"/>
                      <w:szCs w:val="20"/>
                      <w:vertAlign w:val="baseline"/>
                      <w:lang w:val="en-US" w:eastAsia="zh-CN"/>
                    </w:rPr>
                    <w:t>50</w:t>
                  </w:r>
                </w:p>
              </w:tc>
              <w:tc>
                <w:tcPr>
                  <w:tcW w:w="1081" w:type="dxa"/>
                  <w:tcBorders>
                    <w:tl2br w:val="nil"/>
                    <w:tr2bl w:val="nil"/>
                  </w:tcBorders>
                  <w:vAlign w:val="center"/>
                </w:tcPr>
                <w:p w14:paraId="7DDDF5E0">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eastAsia" w:ascii="Times New Roman" w:hAnsi="Times New Roman" w:cs="Times New Roman"/>
                      <w:b w:val="0"/>
                      <w:bCs/>
                      <w:color w:val="auto"/>
                      <w:sz w:val="21"/>
                      <w:szCs w:val="20"/>
                      <w:vertAlign w:val="baseline"/>
                      <w:lang w:val="en-US" w:eastAsia="zh-CN"/>
                    </w:rPr>
                  </w:pPr>
                  <w:r>
                    <w:rPr>
                      <w:rFonts w:hint="eastAsia" w:cs="Times New Roman"/>
                      <w:b w:val="0"/>
                      <w:bCs/>
                      <w:color w:val="auto"/>
                      <w:sz w:val="21"/>
                      <w:szCs w:val="20"/>
                      <w:vertAlign w:val="baseline"/>
                      <w:lang w:val="en-US" w:eastAsia="zh-CN"/>
                    </w:rPr>
                    <w:t>是</w:t>
                  </w:r>
                </w:p>
              </w:tc>
            </w:tr>
          </w:tbl>
          <w:p w14:paraId="405A5631">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default" w:ascii="Times New Roman" w:hAnsi="Times New Roman" w:eastAsia="宋体" w:cs="Times New Roman"/>
                <w:color w:val="auto"/>
                <w:sz w:val="24"/>
                <w:highlight w:val="none"/>
                <w:u w:val="none" w:color="auto"/>
              </w:rPr>
            </w:pPr>
            <w:r>
              <w:rPr>
                <w:rFonts w:hint="default" w:ascii="Times New Roman" w:hAnsi="Times New Roman" w:cs="Times New Roman"/>
                <w:color w:val="auto"/>
                <w:sz w:val="24"/>
                <w:lang w:val="en-US" w:eastAsia="zh-CN"/>
              </w:rPr>
              <w:t>根据监测结果，</w:t>
            </w:r>
            <w:r>
              <w:rPr>
                <w:rFonts w:hint="eastAsia" w:cs="Times New Roman"/>
                <w:color w:val="auto"/>
                <w:sz w:val="24"/>
                <w:lang w:val="en-US" w:eastAsia="zh-CN"/>
              </w:rPr>
              <w:t>古仑村村委</w:t>
            </w:r>
            <w:r>
              <w:rPr>
                <w:rFonts w:hint="default" w:ascii="Times New Roman" w:hAnsi="Times New Roman" w:cs="Times New Roman"/>
                <w:color w:val="auto"/>
                <w:sz w:val="24"/>
                <w:lang w:val="en-US" w:eastAsia="zh-CN"/>
              </w:rPr>
              <w:t>声环境满足</w:t>
            </w:r>
            <w:r>
              <w:rPr>
                <w:rFonts w:hint="default" w:ascii="Times New Roman" w:hAnsi="Times New Roman" w:eastAsia="宋体" w:cs="Times New Roman"/>
                <w:bCs/>
                <w:color w:val="auto"/>
                <w:sz w:val="24"/>
                <w:szCs w:val="22"/>
                <w:highlight w:val="none"/>
                <w:u w:val="none" w:color="auto"/>
              </w:rPr>
              <w:t>《声环境质量标准》（GB3096-2008）</w:t>
            </w:r>
            <w:r>
              <w:rPr>
                <w:rFonts w:hint="eastAsia" w:ascii="Times New Roman" w:hAnsi="Times New Roman" w:cs="Times New Roman"/>
                <w:bCs/>
                <w:color w:val="auto"/>
                <w:sz w:val="24"/>
                <w:szCs w:val="22"/>
                <w:highlight w:val="none"/>
                <w:u w:val="none" w:color="auto"/>
                <w:lang w:val="en-US" w:eastAsia="zh-CN"/>
              </w:rPr>
              <w:t>2</w:t>
            </w:r>
            <w:r>
              <w:rPr>
                <w:rFonts w:hint="default" w:ascii="Times New Roman" w:hAnsi="Times New Roman" w:eastAsia="宋体" w:cs="Times New Roman"/>
                <w:bCs/>
                <w:color w:val="auto"/>
                <w:sz w:val="24"/>
                <w:szCs w:val="22"/>
                <w:highlight w:val="none"/>
                <w:u w:val="none" w:color="auto"/>
                <w:lang w:val="en-US" w:eastAsia="zh-CN"/>
              </w:rPr>
              <w:t>类标准要求。</w:t>
            </w:r>
          </w:p>
          <w:p w14:paraId="69153E48">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default" w:ascii="Times New Roman" w:hAnsi="Times New Roman" w:eastAsia="宋体" w:cs="Times New Roman"/>
                <w:b/>
                <w:bCs/>
                <w:color w:val="auto"/>
                <w:highlight w:val="none"/>
                <w:u w:val="none" w:color="auto"/>
              </w:rPr>
            </w:pPr>
            <w:r>
              <w:rPr>
                <w:rFonts w:hint="default" w:ascii="Times New Roman" w:hAnsi="Times New Roman" w:eastAsia="宋体" w:cs="Times New Roman"/>
                <w:b/>
                <w:bCs/>
                <w:color w:val="auto"/>
                <w:highlight w:val="none"/>
                <w:u w:val="none" w:color="auto"/>
                <w:lang w:val="en-US" w:eastAsia="zh-CN"/>
              </w:rPr>
              <w:t>四、</w:t>
            </w:r>
            <w:r>
              <w:rPr>
                <w:rFonts w:hint="default" w:ascii="Times New Roman" w:hAnsi="Times New Roman" w:eastAsia="宋体" w:cs="Times New Roman"/>
                <w:b/>
                <w:bCs/>
                <w:color w:val="auto"/>
                <w:highlight w:val="none"/>
                <w:u w:val="none" w:color="auto"/>
              </w:rPr>
              <w:t>生态环境</w:t>
            </w:r>
          </w:p>
          <w:p w14:paraId="17570E29">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sz w:val="24"/>
                <w:highlight w:val="none"/>
                <w:u w:val="none" w:color="auto"/>
              </w:rPr>
              <w:t>根据《建设项目环境影响报告表编制技术指南（污染影响类）（试行）》规定：</w:t>
            </w:r>
            <w:r>
              <w:rPr>
                <w:rFonts w:hint="default" w:ascii="Times New Roman" w:hAnsi="Times New Roman" w:eastAsia="宋体" w:cs="Times New Roman"/>
                <w:color w:val="auto"/>
                <w:highlight w:val="none"/>
                <w:u w:val="none" w:color="auto"/>
              </w:rPr>
              <w:t>产业园区外建设项目新增用地且用地范围内含有生态环境保护目标时，应进行生态现状调查。</w:t>
            </w:r>
          </w:p>
          <w:p w14:paraId="0836E976">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本项目位于</w:t>
            </w:r>
            <w:r>
              <w:rPr>
                <w:rFonts w:hint="eastAsia"/>
                <w:color w:val="auto"/>
                <w:sz w:val="24"/>
                <w:lang w:eastAsia="zh-CN"/>
              </w:rPr>
              <w:t>湖南省汨罗市大荆镇古仑村</w:t>
            </w:r>
            <w:r>
              <w:rPr>
                <w:rFonts w:hint="default" w:ascii="Times New Roman" w:hAnsi="Times New Roman" w:eastAsia="宋体" w:cs="Times New Roman"/>
                <w:color w:val="auto"/>
                <w:highlight w:val="none"/>
                <w:u w:val="none" w:color="auto"/>
              </w:rPr>
              <w:t>，</w:t>
            </w:r>
            <w:r>
              <w:rPr>
                <w:rFonts w:hint="eastAsia" w:ascii="Times New Roman" w:hAnsi="Times New Roman" w:eastAsia="宋体" w:cs="Times New Roman"/>
                <w:color w:val="auto"/>
                <w:sz w:val="24"/>
                <w:szCs w:val="24"/>
                <w:highlight w:val="none"/>
                <w:u w:val="none" w:color="auto"/>
                <w:lang w:val="en-US" w:eastAsia="zh-CN"/>
              </w:rPr>
              <w:t>所在区域为农村地区，经调查，项目所在区域无</w:t>
            </w:r>
            <w:r>
              <w:rPr>
                <w:rFonts w:hint="default" w:ascii="Times New Roman" w:hAnsi="Times New Roman" w:cs="Times New Roman"/>
                <w:color w:val="auto"/>
                <w:u w:val="none" w:color="auto"/>
              </w:rPr>
              <w:t>列入国家重点保护名录的珍稀野生动物分布，</w:t>
            </w:r>
            <w:r>
              <w:rPr>
                <w:rFonts w:hint="default" w:ascii="Times New Roman" w:hAnsi="Times New Roman" w:cs="Times New Roman"/>
                <w:color w:val="auto"/>
                <w:u w:val="none" w:color="auto"/>
                <w:lang w:val="en-US"/>
              </w:rPr>
              <w:t>不属于生态红线范围内，</w:t>
            </w:r>
            <w:r>
              <w:rPr>
                <w:rFonts w:hint="default" w:ascii="Times New Roman" w:hAnsi="Times New Roman" w:cs="Times New Roman"/>
                <w:color w:val="auto"/>
                <w:u w:val="none" w:color="auto"/>
              </w:rPr>
              <w:t>未发现名木古树、珍稀濒危动植物物种和其它需要特殊保护的树种</w:t>
            </w:r>
            <w:r>
              <w:rPr>
                <w:rFonts w:hint="eastAsia" w:ascii="Times New Roman" w:hAnsi="Times New Roman" w:cs="Times New Roman"/>
                <w:color w:val="auto"/>
                <w:u w:val="none" w:color="auto"/>
                <w:lang w:eastAsia="zh-CN"/>
              </w:rPr>
              <w:t>，</w:t>
            </w:r>
            <w:r>
              <w:rPr>
                <w:rFonts w:hint="eastAsia" w:ascii="Times New Roman" w:hAnsi="Times New Roman" w:eastAsia="宋体" w:cs="Times New Roman"/>
                <w:color w:val="auto"/>
                <w:sz w:val="24"/>
                <w:szCs w:val="24"/>
                <w:highlight w:val="none"/>
                <w:u w:val="none" w:color="auto"/>
                <w:lang w:val="en-US" w:eastAsia="zh-CN"/>
              </w:rPr>
              <w:t>周边主要为居民区及农田</w:t>
            </w:r>
            <w:r>
              <w:rPr>
                <w:rFonts w:hint="default" w:ascii="Times New Roman" w:hAnsi="Times New Roman" w:eastAsia="宋体" w:cs="Times New Roman"/>
                <w:color w:val="auto"/>
                <w:highlight w:val="none"/>
                <w:u w:val="none" w:color="auto"/>
              </w:rPr>
              <w:t>。</w:t>
            </w:r>
          </w:p>
          <w:p w14:paraId="6D50C409">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default" w:ascii="Times New Roman" w:hAnsi="Times New Roman" w:eastAsia="宋体" w:cs="Times New Roman"/>
                <w:b/>
                <w:bCs/>
                <w:color w:val="auto"/>
                <w:highlight w:val="none"/>
                <w:u w:val="none" w:color="auto"/>
              </w:rPr>
            </w:pPr>
            <w:r>
              <w:rPr>
                <w:rFonts w:hint="default" w:ascii="Times New Roman" w:hAnsi="Times New Roman" w:eastAsia="宋体" w:cs="Times New Roman"/>
                <w:b/>
                <w:bCs/>
                <w:color w:val="auto"/>
                <w:highlight w:val="none"/>
                <w:u w:val="none" w:color="auto"/>
                <w:lang w:val="en-US" w:eastAsia="zh-CN"/>
              </w:rPr>
              <w:t>五</w:t>
            </w:r>
            <w:r>
              <w:rPr>
                <w:rFonts w:hint="default" w:ascii="Times New Roman" w:hAnsi="Times New Roman" w:eastAsia="宋体" w:cs="Times New Roman"/>
                <w:b/>
                <w:bCs/>
                <w:color w:val="auto"/>
                <w:highlight w:val="none"/>
                <w:u w:val="none" w:color="auto"/>
              </w:rPr>
              <w:t>、地下水、土壤环境</w:t>
            </w:r>
          </w:p>
          <w:p w14:paraId="34C007B5">
            <w:pPr>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default" w:ascii="Times New Roman" w:hAnsi="Times New Roman" w:eastAsia="宋体" w:cs="Times New Roman"/>
                <w:bCs/>
                <w:color w:val="auto"/>
                <w:highlight w:val="none"/>
                <w:u w:val="none" w:color="auto"/>
              </w:rPr>
            </w:pPr>
            <w:r>
              <w:rPr>
                <w:rFonts w:hint="default" w:ascii="Times New Roman" w:hAnsi="Times New Roman" w:eastAsia="宋体" w:cs="Times New Roman"/>
                <w:bCs/>
                <w:color w:val="auto"/>
                <w:highlight w:val="none"/>
                <w:u w:val="none" w:color="auto"/>
              </w:rPr>
              <w:t>根据《建设项目环境影响报告表编制技术指南（污染影响类）（试行）》中具体编制要求“原则上不开展环境质量现状调查。建设项目存在地下水、土壤环境污染途径的，应结合污染源、保护目标分布情况开展现状调查以留作背景值”。</w:t>
            </w:r>
          </w:p>
          <w:p w14:paraId="500D77B4">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szCs w:val="24"/>
                <w:highlight w:val="none"/>
                <w:u w:val="none" w:color="auto"/>
                <w:lang w:val="en-US" w:eastAsia="zh-CN"/>
              </w:rPr>
              <w:t>本项目厂房地面均已进行硬化处理，隔断了地下水、</w:t>
            </w:r>
            <w:r>
              <w:rPr>
                <w:rFonts w:hint="default" w:ascii="Times New Roman" w:hAnsi="Times New Roman" w:eastAsia="宋体" w:cs="Times New Roman"/>
                <w:color w:val="auto"/>
                <w:sz w:val="24"/>
                <w:szCs w:val="24"/>
                <w:highlight w:val="none"/>
                <w:u w:val="none" w:color="auto"/>
              </w:rPr>
              <w:t>土壤污染途径。</w:t>
            </w:r>
            <w:r>
              <w:rPr>
                <w:rFonts w:hint="default" w:ascii="Times New Roman" w:hAnsi="Times New Roman" w:eastAsia="宋体" w:cs="Times New Roman"/>
                <w:color w:val="auto"/>
                <w:sz w:val="24"/>
                <w:szCs w:val="24"/>
                <w:highlight w:val="none"/>
                <w:u w:val="none" w:color="auto"/>
                <w:lang w:val="en-US" w:eastAsia="zh-CN"/>
              </w:rPr>
              <w:t>故本项目可</w:t>
            </w:r>
            <w:r>
              <w:rPr>
                <w:rFonts w:hint="default" w:ascii="Times New Roman" w:hAnsi="Times New Roman" w:eastAsia="宋体" w:cs="Times New Roman"/>
                <w:color w:val="auto"/>
                <w:sz w:val="24"/>
                <w:szCs w:val="24"/>
                <w:highlight w:val="none"/>
                <w:u w:val="none" w:color="auto"/>
              </w:rPr>
              <w:t>不开展</w:t>
            </w:r>
            <w:r>
              <w:rPr>
                <w:rFonts w:hint="default" w:ascii="Times New Roman" w:hAnsi="Times New Roman" w:eastAsia="宋体" w:cs="Times New Roman"/>
                <w:color w:val="auto"/>
                <w:sz w:val="24"/>
                <w:szCs w:val="24"/>
                <w:highlight w:val="none"/>
                <w:u w:val="none" w:color="auto"/>
                <w:lang w:val="en-US" w:eastAsia="zh-CN"/>
              </w:rPr>
              <w:t>地下水、</w:t>
            </w:r>
            <w:r>
              <w:rPr>
                <w:rFonts w:hint="default" w:ascii="Times New Roman" w:hAnsi="Times New Roman" w:eastAsia="宋体" w:cs="Times New Roman"/>
                <w:color w:val="auto"/>
                <w:sz w:val="24"/>
                <w:szCs w:val="24"/>
                <w:highlight w:val="none"/>
                <w:u w:val="none" w:color="auto"/>
              </w:rPr>
              <w:t>土壤环境现状调查。</w:t>
            </w:r>
          </w:p>
          <w:p w14:paraId="6E699CAD">
            <w:pPr>
              <w:pStyle w:val="129"/>
              <w:keepNext w:val="0"/>
              <w:keepLines w:val="0"/>
              <w:pageBreakBefore w:val="0"/>
              <w:widowControl w:val="0"/>
              <w:kinsoku/>
              <w:wordWrap/>
              <w:overflowPunct/>
              <w:topLinePunct w:val="0"/>
              <w:autoSpaceDE/>
              <w:autoSpaceDN/>
              <w:bidi w:val="0"/>
              <w:adjustRightInd/>
              <w:snapToGrid w:val="0"/>
              <w:spacing w:line="360" w:lineRule="auto"/>
              <w:ind w:firstLine="482"/>
              <w:textAlignment w:val="auto"/>
              <w:rPr>
                <w:rFonts w:hint="default" w:ascii="Times New Roman" w:hAnsi="Times New Roman" w:eastAsia="宋体" w:cs="Times New Roman"/>
                <w:b/>
                <w:color w:val="auto"/>
                <w:highlight w:val="none"/>
                <w:u w:val="none" w:color="auto"/>
              </w:rPr>
            </w:pPr>
            <w:r>
              <w:rPr>
                <w:rFonts w:hint="default" w:ascii="Times New Roman" w:hAnsi="Times New Roman" w:eastAsia="宋体" w:cs="Times New Roman"/>
                <w:b/>
                <w:color w:val="auto"/>
                <w:highlight w:val="none"/>
                <w:u w:val="none" w:color="auto"/>
                <w:lang w:val="en-US" w:eastAsia="zh-CN"/>
              </w:rPr>
              <w:t>六</w:t>
            </w:r>
            <w:r>
              <w:rPr>
                <w:rFonts w:hint="default" w:ascii="Times New Roman" w:hAnsi="Times New Roman" w:eastAsia="宋体" w:cs="Times New Roman"/>
                <w:b/>
                <w:color w:val="auto"/>
                <w:highlight w:val="none"/>
                <w:u w:val="none" w:color="auto"/>
              </w:rPr>
              <w:t>、电磁辐射</w:t>
            </w:r>
          </w:p>
          <w:p w14:paraId="75AAA276">
            <w:pPr>
              <w:pStyle w:val="129"/>
              <w:keepNext w:val="0"/>
              <w:keepLines w:val="0"/>
              <w:pageBreakBefore w:val="0"/>
              <w:widowControl w:val="0"/>
              <w:kinsoku/>
              <w:wordWrap/>
              <w:overflowPunct/>
              <w:topLinePunct w:val="0"/>
              <w:autoSpaceDE/>
              <w:autoSpaceDN/>
              <w:bidi w:val="0"/>
              <w:adjustRightInd/>
              <w:snapToGrid w:val="0"/>
              <w:spacing w:line="360" w:lineRule="auto"/>
              <w:ind w:firstLine="480"/>
              <w:textAlignment w:val="auto"/>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highlight w:val="none"/>
                <w:u w:val="none" w:color="auto"/>
              </w:rPr>
              <w:t>本项目不涉及电磁辐射。</w:t>
            </w:r>
          </w:p>
        </w:tc>
      </w:tr>
      <w:tr w14:paraId="08EDBD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6" w:hRule="atLeast"/>
          <w:jc w:val="center"/>
        </w:trPr>
        <w:tc>
          <w:tcPr>
            <w:tcW w:w="444" w:type="pct"/>
            <w:vAlign w:val="center"/>
          </w:tcPr>
          <w:p w14:paraId="42A44D17">
            <w:pPr>
              <w:adjustRightInd w:val="0"/>
              <w:snapToGrid w:val="0"/>
              <w:jc w:val="center"/>
              <w:rPr>
                <w:rFonts w:hint="default" w:ascii="Times New Roman" w:hAnsi="Times New Roman" w:eastAsia="宋体" w:cs="Times New Roman"/>
                <w:color w:val="auto"/>
                <w:kern w:val="0"/>
                <w:szCs w:val="21"/>
                <w:highlight w:val="none"/>
                <w:u w:val="none" w:color="auto"/>
              </w:rPr>
            </w:pPr>
            <w:r>
              <w:rPr>
                <w:rFonts w:hint="default" w:ascii="Times New Roman" w:hAnsi="Times New Roman" w:eastAsia="宋体" w:cs="Times New Roman"/>
                <w:color w:val="auto"/>
                <w:kern w:val="0"/>
                <w:szCs w:val="21"/>
                <w:highlight w:val="none"/>
                <w:u w:val="none" w:color="auto"/>
              </w:rPr>
              <w:t>环境</w:t>
            </w:r>
          </w:p>
          <w:p w14:paraId="2C7C7BD0">
            <w:pPr>
              <w:adjustRightInd w:val="0"/>
              <w:snapToGrid w:val="0"/>
              <w:jc w:val="center"/>
              <w:rPr>
                <w:rFonts w:hint="default" w:ascii="Times New Roman" w:hAnsi="Times New Roman" w:eastAsia="宋体" w:cs="Times New Roman"/>
                <w:color w:val="auto"/>
                <w:kern w:val="0"/>
                <w:szCs w:val="21"/>
                <w:highlight w:val="none"/>
                <w:u w:val="none" w:color="auto"/>
              </w:rPr>
            </w:pPr>
            <w:r>
              <w:rPr>
                <w:rFonts w:hint="default" w:ascii="Times New Roman" w:hAnsi="Times New Roman" w:eastAsia="宋体" w:cs="Times New Roman"/>
                <w:color w:val="auto"/>
                <w:kern w:val="0"/>
                <w:szCs w:val="21"/>
                <w:highlight w:val="none"/>
                <w:u w:val="none" w:color="auto"/>
              </w:rPr>
              <w:t>保护</w:t>
            </w:r>
          </w:p>
          <w:p w14:paraId="3A0906EA">
            <w:pPr>
              <w:adjustRightInd w:val="0"/>
              <w:snapToGrid w:val="0"/>
              <w:jc w:val="center"/>
              <w:rPr>
                <w:rFonts w:hint="default" w:ascii="Times New Roman" w:hAnsi="Times New Roman" w:eastAsia="宋体" w:cs="Times New Roman"/>
                <w:color w:val="auto"/>
                <w:kern w:val="0"/>
                <w:szCs w:val="21"/>
                <w:highlight w:val="none"/>
                <w:u w:val="none" w:color="auto"/>
              </w:rPr>
            </w:pPr>
            <w:r>
              <w:rPr>
                <w:rFonts w:hint="default" w:ascii="Times New Roman" w:hAnsi="Times New Roman" w:eastAsia="宋体" w:cs="Times New Roman"/>
                <w:color w:val="auto"/>
                <w:kern w:val="0"/>
                <w:szCs w:val="21"/>
                <w:highlight w:val="none"/>
                <w:u w:val="none" w:color="auto"/>
              </w:rPr>
              <w:t>目标</w:t>
            </w:r>
          </w:p>
        </w:tc>
        <w:tc>
          <w:tcPr>
            <w:tcW w:w="4555" w:type="pct"/>
            <w:vAlign w:val="center"/>
          </w:tcPr>
          <w:p w14:paraId="3ACB2B02">
            <w:pPr>
              <w:pStyle w:val="282"/>
              <w:numPr>
                <w:ilvl w:val="0"/>
                <w:numId w:val="0"/>
              </w:numPr>
              <w:spacing w:line="360" w:lineRule="auto"/>
              <w:ind w:firstLine="480" w:firstLineChars="200"/>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rPr>
              <w:t>本项目位于</w:t>
            </w:r>
            <w:r>
              <w:rPr>
                <w:rFonts w:hint="eastAsia"/>
                <w:color w:val="auto"/>
                <w:sz w:val="24"/>
                <w:lang w:eastAsia="zh-CN"/>
              </w:rPr>
              <w:t>湖南省汨罗市大荆镇古仑村</w:t>
            </w:r>
            <w:r>
              <w:rPr>
                <w:rFonts w:hint="default" w:ascii="Times New Roman" w:hAnsi="Times New Roman" w:eastAsia="宋体" w:cs="Times New Roman"/>
                <w:color w:val="auto"/>
                <w:highlight w:val="none"/>
                <w:u w:val="none" w:color="auto"/>
              </w:rPr>
              <w:t>。</w:t>
            </w:r>
            <w:r>
              <w:rPr>
                <w:rFonts w:hint="eastAsia" w:cs="Times New Roman"/>
                <w:color w:val="auto"/>
                <w:highlight w:val="none"/>
                <w:u w:val="none" w:color="auto"/>
                <w:lang w:val="en-US" w:eastAsia="zh-CN"/>
              </w:rPr>
              <w:t>本项目周边主要环境保护目标如下。</w:t>
            </w:r>
          </w:p>
          <w:p w14:paraId="67A30C79">
            <w:pPr>
              <w:spacing w:before="120" w:beforeLines="50"/>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表3-</w:t>
            </w:r>
            <w:r>
              <w:rPr>
                <w:rFonts w:hint="eastAsia" w:cs="Times New Roman"/>
                <w:b/>
                <w:color w:val="auto"/>
                <w:sz w:val="21"/>
                <w:szCs w:val="21"/>
                <w:highlight w:val="none"/>
                <w:u w:val="none" w:color="auto"/>
                <w:lang w:val="en-US" w:eastAsia="zh-CN"/>
              </w:rPr>
              <w:t>9</w:t>
            </w:r>
            <w:r>
              <w:rPr>
                <w:rFonts w:hint="default" w:ascii="Times New Roman" w:hAnsi="Times New Roman" w:eastAsia="宋体" w:cs="Times New Roman"/>
                <w:b/>
                <w:color w:val="auto"/>
                <w:sz w:val="21"/>
                <w:szCs w:val="21"/>
                <w:highlight w:val="none"/>
                <w:u w:val="none" w:color="auto"/>
              </w:rPr>
              <w:t xml:space="preserve"> 项目周边主要环境敏感</w:t>
            </w:r>
            <w:r>
              <w:rPr>
                <w:rFonts w:hint="default" w:ascii="Times New Roman" w:hAnsi="Times New Roman" w:eastAsia="宋体" w:cs="Times New Roman"/>
                <w:b/>
                <w:color w:val="auto"/>
                <w:sz w:val="21"/>
                <w:szCs w:val="21"/>
                <w:highlight w:val="none"/>
                <w:u w:val="none" w:color="auto"/>
                <w:lang w:val="en-US" w:eastAsia="zh-CN"/>
              </w:rPr>
              <w:t>保护</w:t>
            </w:r>
            <w:r>
              <w:rPr>
                <w:rFonts w:hint="default" w:ascii="Times New Roman" w:hAnsi="Times New Roman" w:eastAsia="宋体" w:cs="Times New Roman"/>
                <w:b/>
                <w:color w:val="auto"/>
                <w:sz w:val="21"/>
                <w:szCs w:val="21"/>
                <w:highlight w:val="none"/>
                <w:u w:val="none" w:color="auto"/>
              </w:rPr>
              <w:t>目标一览表</w:t>
            </w:r>
          </w:p>
          <w:tbl>
            <w:tblPr>
              <w:tblStyle w:val="42"/>
              <w:tblW w:w="4996"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596"/>
              <w:gridCol w:w="1030"/>
              <w:gridCol w:w="1654"/>
              <w:gridCol w:w="1379"/>
              <w:gridCol w:w="780"/>
              <w:gridCol w:w="1050"/>
              <w:gridCol w:w="1516"/>
            </w:tblGrid>
            <w:tr w14:paraId="49B74C2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72" w:type="pct"/>
                  <w:tcBorders>
                    <w:tl2br w:val="nil"/>
                    <w:tr2bl w:val="nil"/>
                  </w:tcBorders>
                  <w:vAlign w:val="center"/>
                </w:tcPr>
                <w:p w14:paraId="547DF6FE">
                  <w:pPr>
                    <w:spacing w:line="240" w:lineRule="auto"/>
                    <w:ind w:firstLine="0" w:firstLineChars="0"/>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lang w:bidi="ar"/>
                    </w:rPr>
                    <w:t>环境要素</w:t>
                  </w:r>
                </w:p>
              </w:tc>
              <w:tc>
                <w:tcPr>
                  <w:tcW w:w="643" w:type="pct"/>
                  <w:tcBorders>
                    <w:tl2br w:val="nil"/>
                    <w:tr2bl w:val="nil"/>
                  </w:tcBorders>
                  <w:vAlign w:val="center"/>
                </w:tcPr>
                <w:p w14:paraId="20A924B1">
                  <w:pPr>
                    <w:spacing w:line="240" w:lineRule="auto"/>
                    <w:ind w:firstLine="0" w:firstLineChars="0"/>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lang w:bidi="ar"/>
                    </w:rPr>
                    <w:t>保护对象</w:t>
                  </w:r>
                </w:p>
              </w:tc>
              <w:tc>
                <w:tcPr>
                  <w:tcW w:w="1033" w:type="pct"/>
                  <w:tcBorders>
                    <w:tl2br w:val="nil"/>
                    <w:tr2bl w:val="nil"/>
                  </w:tcBorders>
                  <w:vAlign w:val="center"/>
                </w:tcPr>
                <w:p w14:paraId="6ECABA0B">
                  <w:pPr>
                    <w:spacing w:line="240" w:lineRule="auto"/>
                    <w:ind w:firstLine="0" w:firstLineChars="0"/>
                    <w:jc w:val="center"/>
                    <w:rPr>
                      <w:rFonts w:hint="default" w:ascii="Times New Roman" w:hAnsi="Times New Roman" w:eastAsia="宋体" w:cs="Times New Roman"/>
                      <w:b/>
                      <w:color w:val="auto"/>
                      <w:sz w:val="21"/>
                      <w:szCs w:val="21"/>
                      <w:highlight w:val="none"/>
                      <w:u w:val="none" w:color="auto"/>
                      <w:lang w:bidi="ar"/>
                    </w:rPr>
                  </w:pPr>
                  <w:r>
                    <w:rPr>
                      <w:rFonts w:hint="default" w:ascii="Times New Roman" w:hAnsi="Times New Roman" w:eastAsia="宋体" w:cs="Times New Roman"/>
                      <w:b/>
                      <w:color w:val="auto"/>
                      <w:sz w:val="21"/>
                      <w:szCs w:val="21"/>
                      <w:highlight w:val="none"/>
                      <w:u w:val="none" w:color="auto"/>
                      <w:lang w:bidi="ar"/>
                    </w:rPr>
                    <w:t>经纬度坐标</w:t>
                  </w:r>
                </w:p>
              </w:tc>
              <w:tc>
                <w:tcPr>
                  <w:tcW w:w="861" w:type="pct"/>
                  <w:tcBorders>
                    <w:tl2br w:val="nil"/>
                    <w:tr2bl w:val="nil"/>
                  </w:tcBorders>
                  <w:vAlign w:val="center"/>
                </w:tcPr>
                <w:p w14:paraId="2FDFA00E">
                  <w:pPr>
                    <w:spacing w:line="240" w:lineRule="auto"/>
                    <w:ind w:firstLine="0" w:firstLineChars="0"/>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lang w:val="en-US" w:eastAsia="zh-CN" w:bidi="ar"/>
                    </w:rPr>
                    <w:t>功能/</w:t>
                  </w:r>
                  <w:r>
                    <w:rPr>
                      <w:rFonts w:hint="default" w:ascii="Times New Roman" w:hAnsi="Times New Roman" w:eastAsia="宋体" w:cs="Times New Roman"/>
                      <w:b/>
                      <w:color w:val="auto"/>
                      <w:sz w:val="21"/>
                      <w:szCs w:val="21"/>
                      <w:highlight w:val="none"/>
                      <w:u w:val="none" w:color="auto"/>
                      <w:lang w:bidi="ar"/>
                    </w:rPr>
                    <w:t>规模</w:t>
                  </w:r>
                </w:p>
              </w:tc>
              <w:tc>
                <w:tcPr>
                  <w:tcW w:w="487" w:type="pct"/>
                  <w:tcBorders>
                    <w:tl2br w:val="nil"/>
                    <w:tr2bl w:val="nil"/>
                  </w:tcBorders>
                  <w:vAlign w:val="center"/>
                </w:tcPr>
                <w:p w14:paraId="137F2A35">
                  <w:pPr>
                    <w:spacing w:line="240" w:lineRule="auto"/>
                    <w:ind w:firstLine="0" w:firstLineChars="0"/>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lang w:bidi="ar"/>
                    </w:rPr>
                    <w:t>相对位置</w:t>
                  </w:r>
                </w:p>
              </w:tc>
              <w:tc>
                <w:tcPr>
                  <w:tcW w:w="655" w:type="pct"/>
                  <w:tcBorders>
                    <w:tl2br w:val="nil"/>
                    <w:tr2bl w:val="nil"/>
                  </w:tcBorders>
                  <w:vAlign w:val="center"/>
                </w:tcPr>
                <w:p w14:paraId="2363310E">
                  <w:pPr>
                    <w:spacing w:line="240" w:lineRule="auto"/>
                    <w:ind w:firstLine="0" w:firstLineChars="0"/>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lang w:bidi="ar"/>
                    </w:rPr>
                    <w:t>与项目厂界距离</w:t>
                  </w:r>
                </w:p>
              </w:tc>
              <w:tc>
                <w:tcPr>
                  <w:tcW w:w="946" w:type="pct"/>
                  <w:tcBorders>
                    <w:tl2br w:val="nil"/>
                    <w:tr2bl w:val="nil"/>
                  </w:tcBorders>
                  <w:vAlign w:val="center"/>
                </w:tcPr>
                <w:p w14:paraId="65ADA39A">
                  <w:pPr>
                    <w:spacing w:line="240" w:lineRule="auto"/>
                    <w:ind w:firstLine="0" w:firstLineChars="0"/>
                    <w:jc w:val="center"/>
                    <w:rPr>
                      <w:rFonts w:hint="default" w:ascii="Times New Roman" w:hAnsi="Times New Roman" w:eastAsia="宋体" w:cs="Times New Roman"/>
                      <w:b/>
                      <w:color w:val="auto"/>
                      <w:sz w:val="21"/>
                      <w:szCs w:val="21"/>
                      <w:highlight w:val="none"/>
                      <w:u w:val="none" w:color="auto"/>
                      <w:lang w:bidi="ar"/>
                    </w:rPr>
                  </w:pPr>
                  <w:r>
                    <w:rPr>
                      <w:rFonts w:hint="default" w:ascii="Times New Roman" w:hAnsi="Times New Roman" w:eastAsia="宋体" w:cs="Times New Roman"/>
                      <w:b/>
                      <w:color w:val="auto"/>
                      <w:sz w:val="21"/>
                      <w:szCs w:val="21"/>
                      <w:highlight w:val="none"/>
                      <w:u w:val="none" w:color="auto"/>
                      <w:lang w:bidi="ar"/>
                    </w:rPr>
                    <w:t>保护级（类）别</w:t>
                  </w:r>
                </w:p>
              </w:tc>
            </w:tr>
            <w:tr w14:paraId="5659A0F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72" w:type="pct"/>
                  <w:tcBorders>
                    <w:tl2br w:val="nil"/>
                    <w:tr2bl w:val="nil"/>
                  </w:tcBorders>
                  <w:vAlign w:val="center"/>
                </w:tcPr>
                <w:p w14:paraId="623B36F5">
                  <w:pPr>
                    <w:spacing w:line="240" w:lineRule="auto"/>
                    <w:ind w:firstLine="0" w:firstLineChars="0"/>
                    <w:jc w:val="center"/>
                    <w:rPr>
                      <w:rFonts w:hint="eastAsia" w:ascii="Times New Roman" w:hAnsi="Times New Roman" w:eastAsia="宋体" w:cs="Times New Roman"/>
                      <w:color w:val="auto"/>
                      <w:sz w:val="21"/>
                      <w:szCs w:val="21"/>
                      <w:highlight w:val="none"/>
                      <w:u w:val="none" w:color="auto"/>
                      <w:lang w:val="en-US" w:eastAsia="zh-CN" w:bidi="ar"/>
                    </w:rPr>
                  </w:pPr>
                  <w:r>
                    <w:rPr>
                      <w:rFonts w:hint="eastAsia" w:cs="Times New Roman"/>
                      <w:color w:val="auto"/>
                      <w:sz w:val="21"/>
                      <w:szCs w:val="21"/>
                      <w:highlight w:val="none"/>
                      <w:u w:val="none" w:color="auto"/>
                      <w:lang w:val="en-US" w:eastAsia="zh-CN" w:bidi="ar"/>
                    </w:rPr>
                    <w:t>声环境</w:t>
                  </w:r>
                </w:p>
              </w:tc>
              <w:tc>
                <w:tcPr>
                  <w:tcW w:w="643" w:type="pct"/>
                  <w:tcBorders>
                    <w:tl2br w:val="nil"/>
                    <w:tr2bl w:val="nil"/>
                  </w:tcBorders>
                  <w:vAlign w:val="center"/>
                </w:tcPr>
                <w:p w14:paraId="18526AAE">
                  <w:pPr>
                    <w:spacing w:line="240" w:lineRule="auto"/>
                    <w:ind w:firstLine="0" w:firstLineChars="0"/>
                    <w:jc w:val="center"/>
                    <w:rPr>
                      <w:rFonts w:hint="default" w:cs="Times New Roman"/>
                      <w:b w:val="0"/>
                      <w:bCs w:val="0"/>
                      <w:color w:val="auto"/>
                      <w:sz w:val="21"/>
                      <w:szCs w:val="21"/>
                      <w:highlight w:val="none"/>
                      <w:u w:val="none" w:color="auto"/>
                      <w:lang w:val="en-US" w:eastAsia="zh-CN"/>
                    </w:rPr>
                  </w:pPr>
                  <w:r>
                    <w:rPr>
                      <w:rFonts w:hint="eastAsia" w:cs="Times New Roman"/>
                      <w:b w:val="0"/>
                      <w:bCs w:val="0"/>
                      <w:color w:val="auto"/>
                      <w:sz w:val="21"/>
                      <w:szCs w:val="21"/>
                      <w:highlight w:val="none"/>
                      <w:u w:val="none" w:color="auto"/>
                      <w:lang w:val="en-US" w:eastAsia="zh-CN"/>
                    </w:rPr>
                    <w:t>古仑村村委</w:t>
                  </w:r>
                </w:p>
              </w:tc>
              <w:tc>
                <w:tcPr>
                  <w:tcW w:w="1033" w:type="pct"/>
                  <w:tcBorders>
                    <w:tl2br w:val="nil"/>
                    <w:tr2bl w:val="nil"/>
                  </w:tcBorders>
                  <w:vAlign w:val="center"/>
                </w:tcPr>
                <w:p w14:paraId="5B528330">
                  <w:pPr>
                    <w:spacing w:line="240" w:lineRule="auto"/>
                    <w:ind w:firstLine="0" w:firstLineChars="0"/>
                    <w:jc w:val="center"/>
                    <w:rPr>
                      <w:rFonts w:hint="default" w:cs="Times New Roman"/>
                      <w:b w:val="0"/>
                      <w:bCs w:val="0"/>
                      <w:color w:val="auto"/>
                      <w:sz w:val="21"/>
                      <w:szCs w:val="21"/>
                      <w:highlight w:val="none"/>
                      <w:u w:val="none" w:color="auto"/>
                      <w:lang w:val="en-US" w:eastAsia="zh-CN"/>
                    </w:rPr>
                  </w:pPr>
                  <w:r>
                    <w:rPr>
                      <w:rFonts w:hint="eastAsia" w:cs="Times New Roman"/>
                      <w:b w:val="0"/>
                      <w:bCs w:val="0"/>
                      <w:color w:val="auto"/>
                      <w:sz w:val="21"/>
                      <w:szCs w:val="21"/>
                      <w:highlight w:val="none"/>
                      <w:u w:val="none" w:color="auto"/>
                      <w:lang w:val="en-US" w:eastAsia="zh-CN"/>
                    </w:rPr>
                    <w:t>113.309825°E，28.917796°N</w:t>
                  </w:r>
                </w:p>
              </w:tc>
              <w:tc>
                <w:tcPr>
                  <w:tcW w:w="861" w:type="pct"/>
                  <w:tcBorders>
                    <w:tl2br w:val="nil"/>
                    <w:tr2bl w:val="nil"/>
                  </w:tcBorders>
                  <w:vAlign w:val="center"/>
                </w:tcPr>
                <w:p w14:paraId="65A176A1">
                  <w:pPr>
                    <w:spacing w:line="240" w:lineRule="auto"/>
                    <w:ind w:firstLine="0" w:firstLineChars="0"/>
                    <w:jc w:val="center"/>
                    <w:rPr>
                      <w:rFonts w:hint="default" w:cs="Times New Roman"/>
                      <w:b w:val="0"/>
                      <w:bCs w:val="0"/>
                      <w:color w:val="auto"/>
                      <w:sz w:val="21"/>
                      <w:szCs w:val="21"/>
                      <w:highlight w:val="none"/>
                      <w:u w:val="none" w:color="auto"/>
                      <w:lang w:val="en-US" w:eastAsia="zh-CN"/>
                    </w:rPr>
                  </w:pPr>
                  <w:r>
                    <w:rPr>
                      <w:rFonts w:hint="eastAsia" w:cs="Times New Roman"/>
                      <w:b w:val="0"/>
                      <w:bCs w:val="0"/>
                      <w:color w:val="auto"/>
                      <w:sz w:val="21"/>
                      <w:szCs w:val="21"/>
                      <w:highlight w:val="none"/>
                      <w:u w:val="none" w:color="auto"/>
                      <w:lang w:val="en-US" w:eastAsia="zh-CN"/>
                    </w:rPr>
                    <w:t>单位，约10人</w:t>
                  </w:r>
                </w:p>
              </w:tc>
              <w:tc>
                <w:tcPr>
                  <w:tcW w:w="487" w:type="pct"/>
                  <w:tcBorders>
                    <w:tl2br w:val="nil"/>
                    <w:tr2bl w:val="nil"/>
                  </w:tcBorders>
                  <w:vAlign w:val="center"/>
                </w:tcPr>
                <w:p w14:paraId="5F309952">
                  <w:pPr>
                    <w:spacing w:line="240" w:lineRule="auto"/>
                    <w:ind w:firstLine="0" w:firstLineChars="0"/>
                    <w:jc w:val="center"/>
                    <w:rPr>
                      <w:rFonts w:hint="default" w:cs="Times New Roman"/>
                      <w:b w:val="0"/>
                      <w:bCs w:val="0"/>
                      <w:color w:val="auto"/>
                      <w:sz w:val="21"/>
                      <w:szCs w:val="21"/>
                      <w:highlight w:val="none"/>
                      <w:u w:val="none" w:color="auto"/>
                      <w:lang w:val="en-US" w:eastAsia="zh-CN"/>
                    </w:rPr>
                  </w:pPr>
                  <w:r>
                    <w:rPr>
                      <w:rFonts w:hint="eastAsia" w:cs="Times New Roman"/>
                      <w:b w:val="0"/>
                      <w:bCs w:val="0"/>
                      <w:color w:val="auto"/>
                      <w:sz w:val="21"/>
                      <w:szCs w:val="21"/>
                      <w:highlight w:val="none"/>
                      <w:u w:val="none" w:color="auto"/>
                      <w:lang w:val="en-US" w:eastAsia="zh-CN"/>
                    </w:rPr>
                    <w:t>东南</w:t>
                  </w:r>
                </w:p>
              </w:tc>
              <w:tc>
                <w:tcPr>
                  <w:tcW w:w="655" w:type="pct"/>
                  <w:tcBorders>
                    <w:tl2br w:val="nil"/>
                    <w:tr2bl w:val="nil"/>
                  </w:tcBorders>
                  <w:vAlign w:val="center"/>
                </w:tcPr>
                <w:p w14:paraId="5E0D2B98">
                  <w:pPr>
                    <w:spacing w:line="240" w:lineRule="auto"/>
                    <w:ind w:firstLine="0" w:firstLineChars="0"/>
                    <w:jc w:val="center"/>
                    <w:rPr>
                      <w:rFonts w:hint="default" w:cs="Times New Roman"/>
                      <w:b w:val="0"/>
                      <w:bCs w:val="0"/>
                      <w:color w:val="auto"/>
                      <w:sz w:val="21"/>
                      <w:szCs w:val="21"/>
                      <w:highlight w:val="none"/>
                      <w:u w:val="none" w:color="auto"/>
                      <w:lang w:val="en-US" w:eastAsia="zh-CN"/>
                    </w:rPr>
                  </w:pPr>
                  <w:r>
                    <w:rPr>
                      <w:rFonts w:hint="eastAsia" w:cs="Times New Roman"/>
                      <w:b w:val="0"/>
                      <w:bCs w:val="0"/>
                      <w:color w:val="auto"/>
                      <w:sz w:val="21"/>
                      <w:szCs w:val="21"/>
                      <w:highlight w:val="none"/>
                      <w:u w:val="none" w:color="auto"/>
                      <w:lang w:val="en-US" w:eastAsia="zh-CN"/>
                    </w:rPr>
                    <w:t>15m</w:t>
                  </w:r>
                </w:p>
              </w:tc>
              <w:tc>
                <w:tcPr>
                  <w:tcW w:w="946" w:type="pct"/>
                  <w:tcBorders>
                    <w:tl2br w:val="nil"/>
                    <w:tr2bl w:val="nil"/>
                  </w:tcBorders>
                  <w:vAlign w:val="center"/>
                </w:tcPr>
                <w:p w14:paraId="62E460FA">
                  <w:pPr>
                    <w:spacing w:line="240" w:lineRule="auto"/>
                    <w:ind w:firstLine="0" w:firstLineChars="0"/>
                    <w:jc w:val="center"/>
                    <w:rPr>
                      <w:rFonts w:hint="default" w:ascii="Times New Roman" w:hAnsi="Times New Roman" w:eastAsia="宋体" w:cs="Times New Roman"/>
                      <w:color w:val="auto"/>
                      <w:sz w:val="21"/>
                      <w:szCs w:val="21"/>
                      <w:highlight w:val="none"/>
                      <w:u w:val="none" w:color="auto"/>
                      <w:lang w:bidi="ar"/>
                    </w:rPr>
                  </w:pPr>
                  <w:r>
                    <w:rPr>
                      <w:rFonts w:hint="default" w:ascii="Times New Roman" w:hAnsi="Times New Roman" w:eastAsia="宋体" w:cs="Times New Roman"/>
                      <w:color w:val="auto"/>
                      <w:sz w:val="21"/>
                      <w:szCs w:val="21"/>
                      <w:highlight w:val="none"/>
                      <w:u w:val="none" w:color="auto"/>
                      <w:lang w:bidi="ar"/>
                    </w:rPr>
                    <w:t>《声环境质量标准》（GB3096-2008）</w:t>
                  </w:r>
                </w:p>
              </w:tc>
            </w:tr>
            <w:tr w14:paraId="2E04AB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72" w:type="pct"/>
                  <w:vMerge w:val="restart"/>
                  <w:tcBorders>
                    <w:tl2br w:val="nil"/>
                    <w:tr2bl w:val="nil"/>
                  </w:tcBorders>
                  <w:vAlign w:val="center"/>
                </w:tcPr>
                <w:p w14:paraId="29704416">
                  <w:pPr>
                    <w:spacing w:line="240" w:lineRule="auto"/>
                    <w:ind w:firstLine="0" w:firstLineChars="0"/>
                    <w:jc w:val="center"/>
                    <w:rPr>
                      <w:rFonts w:hint="default" w:ascii="Times New Roman" w:hAnsi="Times New Roman" w:eastAsia="宋体" w:cs="Times New Roman"/>
                      <w:color w:val="auto"/>
                      <w:sz w:val="21"/>
                      <w:szCs w:val="21"/>
                      <w:highlight w:val="none"/>
                      <w:u w:val="none" w:color="auto"/>
                      <w:lang w:bidi="ar"/>
                    </w:rPr>
                  </w:pPr>
                  <w:r>
                    <w:rPr>
                      <w:rFonts w:hint="default" w:ascii="Times New Roman" w:hAnsi="Times New Roman" w:eastAsia="宋体" w:cs="Times New Roman"/>
                      <w:color w:val="auto"/>
                      <w:sz w:val="21"/>
                      <w:szCs w:val="21"/>
                      <w:highlight w:val="none"/>
                      <w:u w:val="none" w:color="auto"/>
                      <w:lang w:bidi="ar"/>
                    </w:rPr>
                    <w:t>环境空气</w:t>
                  </w:r>
                </w:p>
              </w:tc>
              <w:tc>
                <w:tcPr>
                  <w:tcW w:w="643" w:type="pct"/>
                  <w:tcBorders>
                    <w:tl2br w:val="nil"/>
                    <w:tr2bl w:val="nil"/>
                  </w:tcBorders>
                  <w:vAlign w:val="center"/>
                </w:tcPr>
                <w:p w14:paraId="55708718">
                  <w:pPr>
                    <w:spacing w:line="240" w:lineRule="auto"/>
                    <w:ind w:firstLine="0" w:firstLineChars="0"/>
                    <w:jc w:val="center"/>
                    <w:rPr>
                      <w:rFonts w:hint="default" w:ascii="Times New Roman" w:hAnsi="Times New Roman" w:eastAsia="宋体" w:cs="Times New Roman"/>
                      <w:b w:val="0"/>
                      <w:bCs w:val="0"/>
                      <w:color w:val="auto"/>
                      <w:sz w:val="21"/>
                      <w:szCs w:val="21"/>
                      <w:highlight w:val="none"/>
                      <w:u w:val="none" w:color="auto"/>
                      <w:lang w:val="en-US" w:eastAsia="zh-CN"/>
                    </w:rPr>
                  </w:pPr>
                  <w:r>
                    <w:rPr>
                      <w:rFonts w:hint="eastAsia" w:cs="Times New Roman"/>
                      <w:b w:val="0"/>
                      <w:bCs w:val="0"/>
                      <w:color w:val="auto"/>
                      <w:sz w:val="21"/>
                      <w:szCs w:val="21"/>
                      <w:highlight w:val="none"/>
                      <w:u w:val="none" w:color="auto"/>
                      <w:lang w:val="en-US" w:eastAsia="zh-CN"/>
                    </w:rPr>
                    <w:t>东北侧居民点</w:t>
                  </w:r>
                </w:p>
              </w:tc>
              <w:tc>
                <w:tcPr>
                  <w:tcW w:w="1033" w:type="pct"/>
                  <w:tcBorders>
                    <w:tl2br w:val="nil"/>
                    <w:tr2bl w:val="nil"/>
                  </w:tcBorders>
                  <w:vAlign w:val="center"/>
                </w:tcPr>
                <w:p w14:paraId="44905451">
                  <w:pPr>
                    <w:spacing w:line="240" w:lineRule="auto"/>
                    <w:ind w:firstLine="0" w:firstLineChars="0"/>
                    <w:jc w:val="center"/>
                    <w:rPr>
                      <w:rFonts w:hint="default" w:ascii="Times New Roman" w:hAnsi="Times New Roman" w:eastAsia="宋体" w:cs="Times New Roman"/>
                      <w:b w:val="0"/>
                      <w:bCs w:val="0"/>
                      <w:color w:val="auto"/>
                      <w:sz w:val="21"/>
                      <w:szCs w:val="21"/>
                      <w:highlight w:val="none"/>
                      <w:u w:val="none" w:color="auto"/>
                      <w:lang w:val="en-US" w:eastAsia="zh-CN"/>
                    </w:rPr>
                  </w:pPr>
                  <w:r>
                    <w:rPr>
                      <w:rFonts w:hint="eastAsia" w:cs="Times New Roman"/>
                      <w:b w:val="0"/>
                      <w:bCs w:val="0"/>
                      <w:color w:val="auto"/>
                      <w:sz w:val="21"/>
                      <w:szCs w:val="21"/>
                      <w:highlight w:val="none"/>
                      <w:u w:val="none" w:color="auto"/>
                      <w:lang w:val="en-US" w:eastAsia="zh-CN"/>
                    </w:rPr>
                    <w:t>113.310882°</w:t>
                  </w:r>
                  <w:bookmarkStart w:id="10" w:name="OLE_LINK5"/>
                  <w:r>
                    <w:rPr>
                      <w:rFonts w:hint="eastAsia" w:cs="Times New Roman"/>
                      <w:b w:val="0"/>
                      <w:bCs w:val="0"/>
                      <w:color w:val="auto"/>
                      <w:sz w:val="21"/>
                      <w:szCs w:val="21"/>
                      <w:highlight w:val="none"/>
                      <w:u w:val="none" w:color="auto"/>
                      <w:lang w:val="en-US" w:eastAsia="zh-CN"/>
                    </w:rPr>
                    <w:t>E</w:t>
                  </w:r>
                  <w:bookmarkEnd w:id="10"/>
                  <w:r>
                    <w:rPr>
                      <w:rFonts w:hint="eastAsia" w:cs="Times New Roman"/>
                      <w:b w:val="0"/>
                      <w:bCs w:val="0"/>
                      <w:color w:val="auto"/>
                      <w:sz w:val="21"/>
                      <w:szCs w:val="21"/>
                      <w:highlight w:val="none"/>
                      <w:u w:val="none" w:color="auto"/>
                      <w:lang w:val="en-US" w:eastAsia="zh-CN"/>
                    </w:rPr>
                    <w:t>，28.91920°N</w:t>
                  </w:r>
                </w:p>
              </w:tc>
              <w:tc>
                <w:tcPr>
                  <w:tcW w:w="861" w:type="pct"/>
                  <w:tcBorders>
                    <w:tl2br w:val="nil"/>
                    <w:tr2bl w:val="nil"/>
                  </w:tcBorders>
                  <w:vAlign w:val="center"/>
                </w:tcPr>
                <w:p w14:paraId="726676A0">
                  <w:pPr>
                    <w:spacing w:line="240" w:lineRule="auto"/>
                    <w:ind w:firstLine="0" w:firstLineChars="0"/>
                    <w:jc w:val="center"/>
                    <w:rPr>
                      <w:rFonts w:hint="default" w:ascii="Times New Roman" w:hAnsi="Times New Roman" w:eastAsia="宋体" w:cs="Times New Roman"/>
                      <w:b w:val="0"/>
                      <w:bCs w:val="0"/>
                      <w:color w:val="auto"/>
                      <w:sz w:val="21"/>
                      <w:szCs w:val="21"/>
                      <w:highlight w:val="none"/>
                      <w:u w:val="none" w:color="auto"/>
                      <w:lang w:val="en-US" w:eastAsia="zh-CN"/>
                    </w:rPr>
                  </w:pPr>
                  <w:r>
                    <w:rPr>
                      <w:rFonts w:hint="eastAsia" w:cs="Times New Roman"/>
                      <w:b w:val="0"/>
                      <w:bCs w:val="0"/>
                      <w:color w:val="auto"/>
                      <w:sz w:val="21"/>
                      <w:szCs w:val="21"/>
                      <w:highlight w:val="none"/>
                      <w:u w:val="none" w:color="auto"/>
                      <w:lang w:val="en-US" w:eastAsia="zh-CN"/>
                    </w:rPr>
                    <w:t>居民，6户，约25人</w:t>
                  </w:r>
                </w:p>
              </w:tc>
              <w:tc>
                <w:tcPr>
                  <w:tcW w:w="487" w:type="pct"/>
                  <w:tcBorders>
                    <w:tl2br w:val="nil"/>
                    <w:tr2bl w:val="nil"/>
                  </w:tcBorders>
                  <w:vAlign w:val="center"/>
                </w:tcPr>
                <w:p w14:paraId="1052EEB8">
                  <w:pPr>
                    <w:spacing w:line="240" w:lineRule="auto"/>
                    <w:ind w:firstLine="0" w:firstLineChars="0"/>
                    <w:jc w:val="center"/>
                    <w:rPr>
                      <w:rFonts w:hint="default" w:ascii="Times New Roman" w:hAnsi="Times New Roman" w:eastAsia="宋体" w:cs="Times New Roman"/>
                      <w:b w:val="0"/>
                      <w:bCs w:val="0"/>
                      <w:color w:val="auto"/>
                      <w:sz w:val="21"/>
                      <w:szCs w:val="21"/>
                      <w:highlight w:val="none"/>
                      <w:u w:val="none" w:color="auto"/>
                      <w:lang w:val="en-US" w:eastAsia="zh-CN"/>
                    </w:rPr>
                  </w:pPr>
                  <w:r>
                    <w:rPr>
                      <w:rFonts w:hint="eastAsia" w:cs="Times New Roman"/>
                      <w:b w:val="0"/>
                      <w:bCs w:val="0"/>
                      <w:color w:val="auto"/>
                      <w:sz w:val="21"/>
                      <w:szCs w:val="21"/>
                      <w:highlight w:val="none"/>
                      <w:u w:val="none" w:color="auto"/>
                      <w:lang w:val="en-US" w:eastAsia="zh-CN"/>
                    </w:rPr>
                    <w:t>东北</w:t>
                  </w:r>
                </w:p>
              </w:tc>
              <w:tc>
                <w:tcPr>
                  <w:tcW w:w="655" w:type="pct"/>
                  <w:tcBorders>
                    <w:tl2br w:val="nil"/>
                    <w:tr2bl w:val="nil"/>
                  </w:tcBorders>
                  <w:vAlign w:val="center"/>
                </w:tcPr>
                <w:p w14:paraId="7BD407C9">
                  <w:pPr>
                    <w:spacing w:line="240" w:lineRule="auto"/>
                    <w:ind w:firstLine="0" w:firstLineChars="0"/>
                    <w:jc w:val="center"/>
                    <w:rPr>
                      <w:rFonts w:hint="default" w:ascii="Times New Roman" w:hAnsi="Times New Roman" w:eastAsia="宋体" w:cs="Times New Roman"/>
                      <w:b w:val="0"/>
                      <w:bCs w:val="0"/>
                      <w:color w:val="auto"/>
                      <w:sz w:val="21"/>
                      <w:szCs w:val="21"/>
                      <w:highlight w:val="none"/>
                      <w:u w:val="none" w:color="auto"/>
                      <w:lang w:val="en-US" w:eastAsia="zh-CN"/>
                    </w:rPr>
                  </w:pPr>
                  <w:r>
                    <w:rPr>
                      <w:rFonts w:hint="eastAsia" w:cs="Times New Roman"/>
                      <w:b w:val="0"/>
                      <w:bCs w:val="0"/>
                      <w:color w:val="auto"/>
                      <w:sz w:val="21"/>
                      <w:szCs w:val="21"/>
                      <w:highlight w:val="none"/>
                      <w:u w:val="none" w:color="auto"/>
                      <w:lang w:val="en-US" w:eastAsia="zh-CN"/>
                    </w:rPr>
                    <w:t>90~180</w:t>
                  </w:r>
                </w:p>
              </w:tc>
              <w:tc>
                <w:tcPr>
                  <w:tcW w:w="946" w:type="pct"/>
                  <w:vMerge w:val="restart"/>
                  <w:tcBorders>
                    <w:tl2br w:val="nil"/>
                    <w:tr2bl w:val="nil"/>
                  </w:tcBorders>
                  <w:vAlign w:val="center"/>
                </w:tcPr>
                <w:p w14:paraId="3EA0C3E3">
                  <w:pPr>
                    <w:spacing w:line="240" w:lineRule="auto"/>
                    <w:ind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bidi="ar"/>
                    </w:rPr>
                    <w:t>《环境空气质量标准》（GB3095-2012）及其修改单二级标准</w:t>
                  </w:r>
                </w:p>
              </w:tc>
            </w:tr>
            <w:tr w14:paraId="4B366E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vAlign w:val="center"/>
                </w:tcPr>
                <w:p w14:paraId="7120CF10">
                  <w:pPr>
                    <w:spacing w:line="240" w:lineRule="auto"/>
                    <w:ind w:firstLine="0" w:firstLineChars="0"/>
                    <w:jc w:val="center"/>
                    <w:rPr>
                      <w:rFonts w:hint="default" w:ascii="Times New Roman" w:hAnsi="Times New Roman" w:eastAsia="宋体" w:cs="Times New Roman"/>
                      <w:color w:val="auto"/>
                      <w:sz w:val="21"/>
                      <w:szCs w:val="21"/>
                      <w:highlight w:val="none"/>
                      <w:u w:val="none" w:color="auto"/>
                      <w:lang w:bidi="ar"/>
                    </w:rPr>
                  </w:pPr>
                </w:p>
              </w:tc>
              <w:tc>
                <w:tcPr>
                  <w:tcW w:w="643" w:type="pct"/>
                  <w:tcBorders>
                    <w:tl2br w:val="nil"/>
                    <w:tr2bl w:val="nil"/>
                  </w:tcBorders>
                  <w:vAlign w:val="center"/>
                </w:tcPr>
                <w:p w14:paraId="5A367938">
                  <w:pPr>
                    <w:spacing w:line="240" w:lineRule="auto"/>
                    <w:ind w:firstLine="0" w:firstLineChars="0"/>
                    <w:jc w:val="center"/>
                    <w:rPr>
                      <w:rFonts w:hint="default" w:cs="Times New Roman"/>
                      <w:b w:val="0"/>
                      <w:bCs w:val="0"/>
                      <w:color w:val="auto"/>
                      <w:sz w:val="21"/>
                      <w:szCs w:val="21"/>
                      <w:highlight w:val="none"/>
                      <w:u w:val="none" w:color="auto"/>
                      <w:lang w:val="en-US" w:eastAsia="zh-CN"/>
                    </w:rPr>
                  </w:pPr>
                  <w:r>
                    <w:rPr>
                      <w:rFonts w:hint="eastAsia" w:cs="Times New Roman"/>
                      <w:b w:val="0"/>
                      <w:bCs w:val="0"/>
                      <w:color w:val="auto"/>
                      <w:sz w:val="21"/>
                      <w:szCs w:val="21"/>
                      <w:highlight w:val="none"/>
                      <w:u w:val="none" w:color="auto"/>
                      <w:lang w:val="en-US" w:eastAsia="zh-CN"/>
                    </w:rPr>
                    <w:t>黄道村十八组</w:t>
                  </w:r>
                </w:p>
              </w:tc>
              <w:tc>
                <w:tcPr>
                  <w:tcW w:w="1033" w:type="pct"/>
                  <w:tcBorders>
                    <w:tl2br w:val="nil"/>
                    <w:tr2bl w:val="nil"/>
                  </w:tcBorders>
                  <w:vAlign w:val="center"/>
                </w:tcPr>
                <w:p w14:paraId="4DD52A62">
                  <w:pPr>
                    <w:spacing w:line="240" w:lineRule="auto"/>
                    <w:ind w:firstLine="0" w:firstLineChars="0"/>
                    <w:jc w:val="center"/>
                    <w:rPr>
                      <w:rFonts w:hint="default" w:cs="Times New Roman"/>
                      <w:b w:val="0"/>
                      <w:bCs w:val="0"/>
                      <w:color w:val="auto"/>
                      <w:sz w:val="21"/>
                      <w:szCs w:val="21"/>
                      <w:highlight w:val="none"/>
                      <w:u w:val="none" w:color="auto"/>
                      <w:lang w:val="en-US" w:eastAsia="zh-CN"/>
                    </w:rPr>
                  </w:pPr>
                  <w:r>
                    <w:rPr>
                      <w:rFonts w:hint="eastAsia" w:cs="Times New Roman"/>
                      <w:b w:val="0"/>
                      <w:bCs w:val="0"/>
                      <w:color w:val="auto"/>
                      <w:sz w:val="21"/>
                      <w:szCs w:val="21"/>
                      <w:highlight w:val="none"/>
                      <w:u w:val="none" w:color="auto"/>
                      <w:lang w:val="en-US" w:eastAsia="zh-CN"/>
                    </w:rPr>
                    <w:t>113.311269°E，28.920551°N</w:t>
                  </w:r>
                </w:p>
              </w:tc>
              <w:tc>
                <w:tcPr>
                  <w:tcW w:w="861" w:type="pct"/>
                  <w:tcBorders>
                    <w:tl2br w:val="nil"/>
                    <w:tr2bl w:val="nil"/>
                  </w:tcBorders>
                  <w:vAlign w:val="center"/>
                </w:tcPr>
                <w:p w14:paraId="53C98741">
                  <w:pPr>
                    <w:spacing w:line="240" w:lineRule="auto"/>
                    <w:ind w:firstLine="0" w:firstLineChars="0"/>
                    <w:jc w:val="center"/>
                    <w:rPr>
                      <w:rFonts w:hint="default" w:cs="Times New Roman"/>
                      <w:b w:val="0"/>
                      <w:bCs w:val="0"/>
                      <w:color w:val="auto"/>
                      <w:sz w:val="21"/>
                      <w:szCs w:val="21"/>
                      <w:highlight w:val="none"/>
                      <w:u w:val="none" w:color="auto"/>
                      <w:lang w:val="en-US" w:eastAsia="zh-CN"/>
                    </w:rPr>
                  </w:pPr>
                  <w:r>
                    <w:rPr>
                      <w:rFonts w:hint="eastAsia" w:cs="Times New Roman"/>
                      <w:b w:val="0"/>
                      <w:bCs w:val="0"/>
                      <w:color w:val="auto"/>
                      <w:sz w:val="21"/>
                      <w:szCs w:val="21"/>
                      <w:highlight w:val="none"/>
                      <w:u w:val="none" w:color="auto"/>
                      <w:lang w:val="en-US" w:eastAsia="zh-CN"/>
                    </w:rPr>
                    <w:t>居民，15户，约60人</w:t>
                  </w:r>
                </w:p>
              </w:tc>
              <w:tc>
                <w:tcPr>
                  <w:tcW w:w="487" w:type="pct"/>
                  <w:tcBorders>
                    <w:tl2br w:val="nil"/>
                    <w:tr2bl w:val="nil"/>
                  </w:tcBorders>
                  <w:vAlign w:val="center"/>
                </w:tcPr>
                <w:p w14:paraId="369B05F3">
                  <w:pPr>
                    <w:spacing w:line="240" w:lineRule="auto"/>
                    <w:ind w:firstLine="0" w:firstLineChars="0"/>
                    <w:jc w:val="center"/>
                    <w:rPr>
                      <w:rFonts w:hint="default" w:cs="Times New Roman"/>
                      <w:b w:val="0"/>
                      <w:bCs w:val="0"/>
                      <w:color w:val="auto"/>
                      <w:sz w:val="21"/>
                      <w:szCs w:val="21"/>
                      <w:highlight w:val="none"/>
                      <w:u w:val="none" w:color="auto"/>
                      <w:lang w:val="en-US" w:eastAsia="zh-CN"/>
                    </w:rPr>
                  </w:pPr>
                  <w:r>
                    <w:rPr>
                      <w:rFonts w:hint="eastAsia" w:cs="Times New Roman"/>
                      <w:b w:val="0"/>
                      <w:bCs w:val="0"/>
                      <w:color w:val="auto"/>
                      <w:sz w:val="21"/>
                      <w:szCs w:val="21"/>
                      <w:highlight w:val="none"/>
                      <w:u w:val="none" w:color="auto"/>
                      <w:lang w:val="en-US" w:eastAsia="zh-CN"/>
                    </w:rPr>
                    <w:t>东北</w:t>
                  </w:r>
                </w:p>
              </w:tc>
              <w:tc>
                <w:tcPr>
                  <w:tcW w:w="655" w:type="pct"/>
                  <w:tcBorders>
                    <w:tl2br w:val="nil"/>
                    <w:tr2bl w:val="nil"/>
                  </w:tcBorders>
                  <w:vAlign w:val="center"/>
                </w:tcPr>
                <w:p w14:paraId="289C4BCB">
                  <w:pPr>
                    <w:spacing w:line="240" w:lineRule="auto"/>
                    <w:ind w:firstLine="0" w:firstLineChars="0"/>
                    <w:jc w:val="center"/>
                    <w:rPr>
                      <w:rFonts w:hint="default" w:cs="Times New Roman"/>
                      <w:b w:val="0"/>
                      <w:bCs w:val="0"/>
                      <w:color w:val="auto"/>
                      <w:sz w:val="21"/>
                      <w:szCs w:val="21"/>
                      <w:highlight w:val="none"/>
                      <w:u w:val="none" w:color="auto"/>
                      <w:lang w:val="en-US" w:eastAsia="zh-CN"/>
                    </w:rPr>
                  </w:pPr>
                  <w:r>
                    <w:rPr>
                      <w:rFonts w:hint="eastAsia" w:cs="Times New Roman"/>
                      <w:b w:val="0"/>
                      <w:bCs w:val="0"/>
                      <w:color w:val="auto"/>
                      <w:sz w:val="21"/>
                      <w:szCs w:val="21"/>
                      <w:highlight w:val="none"/>
                      <w:u w:val="none" w:color="auto"/>
                      <w:lang w:val="en-US" w:eastAsia="zh-CN"/>
                    </w:rPr>
                    <w:t>245~500</w:t>
                  </w:r>
                </w:p>
              </w:tc>
              <w:tc>
                <w:tcPr>
                  <w:tcW w:w="946" w:type="pct"/>
                  <w:vMerge w:val="continue"/>
                  <w:tcBorders>
                    <w:tl2br w:val="nil"/>
                    <w:tr2bl w:val="nil"/>
                  </w:tcBorders>
                  <w:vAlign w:val="center"/>
                </w:tcPr>
                <w:p w14:paraId="6176298B">
                  <w:pPr>
                    <w:spacing w:line="240" w:lineRule="auto"/>
                    <w:ind w:firstLine="0" w:firstLineChars="0"/>
                    <w:jc w:val="center"/>
                    <w:rPr>
                      <w:rFonts w:hint="default" w:ascii="Times New Roman" w:hAnsi="Times New Roman" w:eastAsia="宋体" w:cs="Times New Roman"/>
                      <w:color w:val="auto"/>
                      <w:sz w:val="21"/>
                      <w:szCs w:val="21"/>
                      <w:highlight w:val="none"/>
                      <w:u w:val="none" w:color="auto"/>
                      <w:lang w:bidi="ar"/>
                    </w:rPr>
                  </w:pPr>
                </w:p>
              </w:tc>
            </w:tr>
            <w:tr w14:paraId="78C3462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vAlign w:val="center"/>
                </w:tcPr>
                <w:p w14:paraId="383328DD">
                  <w:pPr>
                    <w:spacing w:line="240" w:lineRule="auto"/>
                    <w:ind w:firstLine="0" w:firstLineChars="0"/>
                    <w:jc w:val="center"/>
                    <w:rPr>
                      <w:rFonts w:hint="default" w:ascii="Times New Roman" w:hAnsi="Times New Roman" w:eastAsia="宋体" w:cs="Times New Roman"/>
                      <w:color w:val="auto"/>
                      <w:sz w:val="21"/>
                      <w:szCs w:val="21"/>
                      <w:highlight w:val="none"/>
                      <w:u w:val="none" w:color="auto"/>
                      <w:lang w:bidi="ar"/>
                    </w:rPr>
                  </w:pPr>
                </w:p>
              </w:tc>
              <w:tc>
                <w:tcPr>
                  <w:tcW w:w="643" w:type="pct"/>
                  <w:tcBorders>
                    <w:tl2br w:val="nil"/>
                    <w:tr2bl w:val="nil"/>
                  </w:tcBorders>
                  <w:vAlign w:val="center"/>
                </w:tcPr>
                <w:p w14:paraId="3FB791AC">
                  <w:pPr>
                    <w:spacing w:line="240" w:lineRule="auto"/>
                    <w:ind w:firstLine="0" w:firstLineChars="0"/>
                    <w:jc w:val="center"/>
                    <w:rPr>
                      <w:rFonts w:hint="default" w:cs="Times New Roman"/>
                      <w:b w:val="0"/>
                      <w:bCs w:val="0"/>
                      <w:color w:val="auto"/>
                      <w:sz w:val="21"/>
                      <w:szCs w:val="21"/>
                      <w:highlight w:val="none"/>
                      <w:u w:val="none" w:color="auto"/>
                      <w:lang w:val="en-US" w:eastAsia="zh-CN"/>
                    </w:rPr>
                  </w:pPr>
                  <w:r>
                    <w:rPr>
                      <w:rFonts w:hint="eastAsia" w:cs="Times New Roman"/>
                      <w:b w:val="0"/>
                      <w:bCs w:val="0"/>
                      <w:color w:val="auto"/>
                      <w:sz w:val="21"/>
                      <w:szCs w:val="21"/>
                      <w:highlight w:val="none"/>
                      <w:u w:val="none" w:color="auto"/>
                      <w:lang w:val="en-US" w:eastAsia="zh-CN"/>
                    </w:rPr>
                    <w:t>黄道村五组</w:t>
                  </w:r>
                </w:p>
              </w:tc>
              <w:tc>
                <w:tcPr>
                  <w:tcW w:w="1033" w:type="pct"/>
                  <w:tcBorders>
                    <w:tl2br w:val="nil"/>
                    <w:tr2bl w:val="nil"/>
                  </w:tcBorders>
                  <w:vAlign w:val="center"/>
                </w:tcPr>
                <w:p w14:paraId="556DF8A9">
                  <w:pPr>
                    <w:spacing w:line="240" w:lineRule="auto"/>
                    <w:ind w:firstLine="0" w:firstLineChars="0"/>
                    <w:jc w:val="center"/>
                    <w:rPr>
                      <w:rFonts w:hint="default" w:cs="Times New Roman"/>
                      <w:b w:val="0"/>
                      <w:bCs w:val="0"/>
                      <w:color w:val="auto"/>
                      <w:sz w:val="21"/>
                      <w:szCs w:val="21"/>
                      <w:highlight w:val="none"/>
                      <w:u w:val="none" w:color="auto"/>
                      <w:lang w:val="en-US" w:eastAsia="zh-CN"/>
                    </w:rPr>
                  </w:pPr>
                  <w:r>
                    <w:rPr>
                      <w:rFonts w:hint="eastAsia" w:cs="Times New Roman"/>
                      <w:b w:val="0"/>
                      <w:bCs w:val="0"/>
                      <w:color w:val="auto"/>
                      <w:sz w:val="21"/>
                      <w:szCs w:val="21"/>
                      <w:highlight w:val="none"/>
                      <w:u w:val="none" w:color="auto"/>
                      <w:lang w:val="en-US" w:eastAsia="zh-CN"/>
                    </w:rPr>
                    <w:t>113.313109°E，28.919237°N</w:t>
                  </w:r>
                </w:p>
              </w:tc>
              <w:tc>
                <w:tcPr>
                  <w:tcW w:w="861" w:type="pct"/>
                  <w:tcBorders>
                    <w:tl2br w:val="nil"/>
                    <w:tr2bl w:val="nil"/>
                  </w:tcBorders>
                  <w:vAlign w:val="center"/>
                </w:tcPr>
                <w:p w14:paraId="3A7AECA0">
                  <w:pPr>
                    <w:spacing w:line="240" w:lineRule="auto"/>
                    <w:ind w:firstLine="0" w:firstLineChars="0"/>
                    <w:jc w:val="center"/>
                    <w:rPr>
                      <w:rFonts w:hint="default" w:cs="Times New Roman"/>
                      <w:b w:val="0"/>
                      <w:bCs w:val="0"/>
                      <w:color w:val="auto"/>
                      <w:sz w:val="21"/>
                      <w:szCs w:val="21"/>
                      <w:highlight w:val="none"/>
                      <w:u w:val="none" w:color="auto"/>
                      <w:lang w:val="en-US" w:eastAsia="zh-CN"/>
                    </w:rPr>
                  </w:pPr>
                  <w:r>
                    <w:rPr>
                      <w:rFonts w:hint="eastAsia" w:cs="Times New Roman"/>
                      <w:b w:val="0"/>
                      <w:bCs w:val="0"/>
                      <w:color w:val="auto"/>
                      <w:sz w:val="21"/>
                      <w:szCs w:val="21"/>
                      <w:highlight w:val="none"/>
                      <w:u w:val="none" w:color="auto"/>
                      <w:lang w:val="en-US" w:eastAsia="zh-CN"/>
                    </w:rPr>
                    <w:t>居民，16户，约65人</w:t>
                  </w:r>
                </w:p>
              </w:tc>
              <w:tc>
                <w:tcPr>
                  <w:tcW w:w="487" w:type="pct"/>
                  <w:tcBorders>
                    <w:tl2br w:val="nil"/>
                    <w:tr2bl w:val="nil"/>
                  </w:tcBorders>
                  <w:vAlign w:val="center"/>
                </w:tcPr>
                <w:p w14:paraId="2B0EE1A9">
                  <w:pPr>
                    <w:spacing w:line="240" w:lineRule="auto"/>
                    <w:ind w:firstLine="0" w:firstLineChars="0"/>
                    <w:jc w:val="center"/>
                    <w:rPr>
                      <w:rFonts w:hint="default" w:cs="Times New Roman"/>
                      <w:b w:val="0"/>
                      <w:bCs w:val="0"/>
                      <w:color w:val="auto"/>
                      <w:sz w:val="21"/>
                      <w:szCs w:val="21"/>
                      <w:highlight w:val="none"/>
                      <w:u w:val="none" w:color="auto"/>
                      <w:lang w:val="en-US" w:eastAsia="zh-CN"/>
                    </w:rPr>
                  </w:pPr>
                  <w:r>
                    <w:rPr>
                      <w:rFonts w:hint="eastAsia" w:cs="Times New Roman"/>
                      <w:b w:val="0"/>
                      <w:bCs w:val="0"/>
                      <w:color w:val="auto"/>
                      <w:sz w:val="21"/>
                      <w:szCs w:val="21"/>
                      <w:highlight w:val="none"/>
                      <w:u w:val="none" w:color="auto"/>
                      <w:lang w:val="en-US" w:eastAsia="zh-CN"/>
                    </w:rPr>
                    <w:t>东北</w:t>
                  </w:r>
                </w:p>
              </w:tc>
              <w:tc>
                <w:tcPr>
                  <w:tcW w:w="655" w:type="pct"/>
                  <w:tcBorders>
                    <w:tl2br w:val="nil"/>
                    <w:tr2bl w:val="nil"/>
                  </w:tcBorders>
                  <w:vAlign w:val="center"/>
                </w:tcPr>
                <w:p w14:paraId="113330A5">
                  <w:pPr>
                    <w:spacing w:line="240" w:lineRule="auto"/>
                    <w:ind w:firstLine="0" w:firstLineChars="0"/>
                    <w:jc w:val="center"/>
                    <w:rPr>
                      <w:rFonts w:hint="default" w:cs="Times New Roman"/>
                      <w:b w:val="0"/>
                      <w:bCs w:val="0"/>
                      <w:color w:val="auto"/>
                      <w:sz w:val="21"/>
                      <w:szCs w:val="21"/>
                      <w:highlight w:val="none"/>
                      <w:u w:val="none" w:color="auto"/>
                      <w:lang w:val="en-US" w:eastAsia="zh-CN"/>
                    </w:rPr>
                  </w:pPr>
                  <w:r>
                    <w:rPr>
                      <w:rFonts w:hint="eastAsia" w:cs="Times New Roman"/>
                      <w:b w:val="0"/>
                      <w:bCs w:val="0"/>
                      <w:color w:val="auto"/>
                      <w:sz w:val="21"/>
                      <w:szCs w:val="21"/>
                      <w:highlight w:val="none"/>
                      <w:u w:val="none" w:color="auto"/>
                      <w:lang w:val="en-US" w:eastAsia="zh-CN"/>
                    </w:rPr>
                    <w:t>330~500</w:t>
                  </w:r>
                </w:p>
              </w:tc>
              <w:tc>
                <w:tcPr>
                  <w:tcW w:w="946" w:type="pct"/>
                  <w:vMerge w:val="continue"/>
                  <w:tcBorders>
                    <w:tl2br w:val="nil"/>
                    <w:tr2bl w:val="nil"/>
                  </w:tcBorders>
                  <w:vAlign w:val="center"/>
                </w:tcPr>
                <w:p w14:paraId="67A9C22A">
                  <w:pPr>
                    <w:spacing w:line="240" w:lineRule="auto"/>
                    <w:ind w:firstLine="0" w:firstLineChars="0"/>
                    <w:jc w:val="center"/>
                    <w:rPr>
                      <w:rFonts w:hint="default" w:ascii="Times New Roman" w:hAnsi="Times New Roman" w:eastAsia="宋体" w:cs="Times New Roman"/>
                      <w:color w:val="auto"/>
                      <w:sz w:val="21"/>
                      <w:szCs w:val="21"/>
                      <w:highlight w:val="none"/>
                      <w:u w:val="none" w:color="auto"/>
                      <w:lang w:bidi="ar"/>
                    </w:rPr>
                  </w:pPr>
                </w:p>
              </w:tc>
            </w:tr>
            <w:tr w14:paraId="62889AD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vAlign w:val="center"/>
                </w:tcPr>
                <w:p w14:paraId="7A732E96">
                  <w:pPr>
                    <w:spacing w:line="240" w:lineRule="auto"/>
                    <w:ind w:firstLine="0" w:firstLineChars="0"/>
                    <w:jc w:val="center"/>
                    <w:rPr>
                      <w:rFonts w:hint="default" w:ascii="Times New Roman" w:hAnsi="Times New Roman" w:eastAsia="宋体" w:cs="Times New Roman"/>
                      <w:color w:val="auto"/>
                      <w:sz w:val="21"/>
                      <w:szCs w:val="21"/>
                      <w:highlight w:val="none"/>
                      <w:u w:val="none" w:color="auto"/>
                      <w:lang w:bidi="ar"/>
                    </w:rPr>
                  </w:pPr>
                </w:p>
              </w:tc>
              <w:tc>
                <w:tcPr>
                  <w:tcW w:w="643" w:type="pct"/>
                  <w:tcBorders>
                    <w:tl2br w:val="nil"/>
                    <w:tr2bl w:val="nil"/>
                  </w:tcBorders>
                  <w:vAlign w:val="center"/>
                </w:tcPr>
                <w:p w14:paraId="7FE87590">
                  <w:pPr>
                    <w:spacing w:line="240" w:lineRule="auto"/>
                    <w:ind w:firstLine="0" w:firstLineChars="0"/>
                    <w:jc w:val="center"/>
                    <w:rPr>
                      <w:rFonts w:hint="default" w:cs="Times New Roman"/>
                      <w:b w:val="0"/>
                      <w:bCs w:val="0"/>
                      <w:color w:val="auto"/>
                      <w:sz w:val="21"/>
                      <w:szCs w:val="21"/>
                      <w:highlight w:val="none"/>
                      <w:u w:val="none" w:color="auto"/>
                      <w:lang w:val="en-US" w:eastAsia="zh-CN"/>
                    </w:rPr>
                  </w:pPr>
                  <w:r>
                    <w:rPr>
                      <w:rFonts w:hint="eastAsia" w:cs="Times New Roman"/>
                      <w:b w:val="0"/>
                      <w:bCs w:val="0"/>
                      <w:color w:val="auto"/>
                      <w:sz w:val="21"/>
                      <w:szCs w:val="21"/>
                      <w:highlight w:val="none"/>
                      <w:u w:val="none" w:color="auto"/>
                      <w:lang w:val="en-US" w:eastAsia="zh-CN"/>
                    </w:rPr>
                    <w:t>黄道村四组</w:t>
                  </w:r>
                </w:p>
              </w:tc>
              <w:tc>
                <w:tcPr>
                  <w:tcW w:w="1033" w:type="pct"/>
                  <w:tcBorders>
                    <w:tl2br w:val="nil"/>
                    <w:tr2bl w:val="nil"/>
                  </w:tcBorders>
                  <w:vAlign w:val="center"/>
                </w:tcPr>
                <w:p w14:paraId="0C314AF7">
                  <w:pPr>
                    <w:spacing w:line="240" w:lineRule="auto"/>
                    <w:ind w:firstLine="0" w:firstLineChars="0"/>
                    <w:jc w:val="center"/>
                    <w:rPr>
                      <w:rFonts w:hint="default" w:cs="Times New Roman"/>
                      <w:b w:val="0"/>
                      <w:bCs w:val="0"/>
                      <w:color w:val="auto"/>
                      <w:sz w:val="21"/>
                      <w:szCs w:val="21"/>
                      <w:highlight w:val="none"/>
                      <w:u w:val="none" w:color="auto"/>
                      <w:lang w:val="en-US" w:eastAsia="zh-CN"/>
                    </w:rPr>
                  </w:pPr>
                  <w:r>
                    <w:rPr>
                      <w:rFonts w:hint="eastAsia" w:cs="Times New Roman"/>
                      <w:b w:val="0"/>
                      <w:bCs w:val="0"/>
                      <w:color w:val="auto"/>
                      <w:sz w:val="21"/>
                      <w:szCs w:val="21"/>
                      <w:highlight w:val="none"/>
                      <w:u w:val="none" w:color="auto"/>
                      <w:lang w:val="en-US" w:eastAsia="zh-CN"/>
                    </w:rPr>
                    <w:t>113.310357°E，28.921972°N</w:t>
                  </w:r>
                </w:p>
              </w:tc>
              <w:tc>
                <w:tcPr>
                  <w:tcW w:w="861" w:type="pct"/>
                  <w:tcBorders>
                    <w:tl2br w:val="nil"/>
                    <w:tr2bl w:val="nil"/>
                  </w:tcBorders>
                  <w:vAlign w:val="center"/>
                </w:tcPr>
                <w:p w14:paraId="132267EC">
                  <w:pPr>
                    <w:spacing w:line="240" w:lineRule="auto"/>
                    <w:ind w:firstLine="0" w:firstLineChars="0"/>
                    <w:jc w:val="center"/>
                    <w:rPr>
                      <w:rFonts w:hint="default" w:cs="Times New Roman"/>
                      <w:b w:val="0"/>
                      <w:bCs w:val="0"/>
                      <w:color w:val="auto"/>
                      <w:sz w:val="21"/>
                      <w:szCs w:val="21"/>
                      <w:highlight w:val="none"/>
                      <w:u w:val="none" w:color="auto"/>
                      <w:lang w:val="en-US" w:eastAsia="zh-CN"/>
                    </w:rPr>
                  </w:pPr>
                  <w:r>
                    <w:rPr>
                      <w:rFonts w:hint="eastAsia" w:cs="Times New Roman"/>
                      <w:b w:val="0"/>
                      <w:bCs w:val="0"/>
                      <w:color w:val="auto"/>
                      <w:sz w:val="21"/>
                      <w:szCs w:val="21"/>
                      <w:highlight w:val="none"/>
                      <w:u w:val="none" w:color="auto"/>
                      <w:lang w:val="en-US" w:eastAsia="zh-CN"/>
                    </w:rPr>
                    <w:t>居民，25户，约100人</w:t>
                  </w:r>
                </w:p>
              </w:tc>
              <w:tc>
                <w:tcPr>
                  <w:tcW w:w="487" w:type="pct"/>
                  <w:tcBorders>
                    <w:tl2br w:val="nil"/>
                    <w:tr2bl w:val="nil"/>
                  </w:tcBorders>
                  <w:vAlign w:val="center"/>
                </w:tcPr>
                <w:p w14:paraId="3F0C2EE1">
                  <w:pPr>
                    <w:spacing w:line="240" w:lineRule="auto"/>
                    <w:ind w:firstLine="0" w:firstLineChars="0"/>
                    <w:jc w:val="center"/>
                    <w:rPr>
                      <w:rFonts w:hint="default" w:cs="Times New Roman"/>
                      <w:b w:val="0"/>
                      <w:bCs w:val="0"/>
                      <w:color w:val="auto"/>
                      <w:sz w:val="21"/>
                      <w:szCs w:val="21"/>
                      <w:highlight w:val="none"/>
                      <w:u w:val="none" w:color="auto"/>
                      <w:lang w:val="en-US" w:eastAsia="zh-CN"/>
                    </w:rPr>
                  </w:pPr>
                  <w:r>
                    <w:rPr>
                      <w:rFonts w:hint="eastAsia" w:cs="Times New Roman"/>
                      <w:b w:val="0"/>
                      <w:bCs w:val="0"/>
                      <w:color w:val="auto"/>
                      <w:sz w:val="21"/>
                      <w:szCs w:val="21"/>
                      <w:highlight w:val="none"/>
                      <w:u w:val="none" w:color="auto"/>
                      <w:lang w:val="en-US" w:eastAsia="zh-CN"/>
                    </w:rPr>
                    <w:t>北</w:t>
                  </w:r>
                </w:p>
              </w:tc>
              <w:tc>
                <w:tcPr>
                  <w:tcW w:w="655" w:type="pct"/>
                  <w:tcBorders>
                    <w:tl2br w:val="nil"/>
                    <w:tr2bl w:val="nil"/>
                  </w:tcBorders>
                  <w:vAlign w:val="center"/>
                </w:tcPr>
                <w:p w14:paraId="662162BA">
                  <w:pPr>
                    <w:spacing w:line="240" w:lineRule="auto"/>
                    <w:ind w:firstLine="0" w:firstLineChars="0"/>
                    <w:jc w:val="center"/>
                    <w:rPr>
                      <w:rFonts w:hint="default" w:cs="Times New Roman"/>
                      <w:b w:val="0"/>
                      <w:bCs w:val="0"/>
                      <w:color w:val="auto"/>
                      <w:sz w:val="21"/>
                      <w:szCs w:val="21"/>
                      <w:highlight w:val="none"/>
                      <w:u w:val="none" w:color="auto"/>
                      <w:lang w:val="en-US" w:eastAsia="zh-CN"/>
                    </w:rPr>
                  </w:pPr>
                  <w:r>
                    <w:rPr>
                      <w:rFonts w:hint="eastAsia" w:cs="Times New Roman"/>
                      <w:b w:val="0"/>
                      <w:bCs w:val="0"/>
                      <w:color w:val="auto"/>
                      <w:sz w:val="21"/>
                      <w:szCs w:val="21"/>
                      <w:highlight w:val="none"/>
                      <w:u w:val="none" w:color="auto"/>
                      <w:lang w:val="en-US" w:eastAsia="zh-CN"/>
                    </w:rPr>
                    <w:t>340~500</w:t>
                  </w:r>
                </w:p>
              </w:tc>
              <w:tc>
                <w:tcPr>
                  <w:tcW w:w="946" w:type="pct"/>
                  <w:vMerge w:val="continue"/>
                  <w:tcBorders>
                    <w:tl2br w:val="nil"/>
                    <w:tr2bl w:val="nil"/>
                  </w:tcBorders>
                  <w:vAlign w:val="center"/>
                </w:tcPr>
                <w:p w14:paraId="09A919E2">
                  <w:pPr>
                    <w:spacing w:line="240" w:lineRule="auto"/>
                    <w:ind w:firstLine="0" w:firstLineChars="0"/>
                    <w:jc w:val="center"/>
                    <w:rPr>
                      <w:rFonts w:hint="default" w:ascii="Times New Roman" w:hAnsi="Times New Roman" w:eastAsia="宋体" w:cs="Times New Roman"/>
                      <w:color w:val="auto"/>
                      <w:sz w:val="21"/>
                      <w:szCs w:val="21"/>
                      <w:highlight w:val="none"/>
                      <w:u w:val="none" w:color="auto"/>
                      <w:lang w:bidi="ar"/>
                    </w:rPr>
                  </w:pPr>
                </w:p>
              </w:tc>
            </w:tr>
            <w:tr w14:paraId="1E72870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vAlign w:val="center"/>
                </w:tcPr>
                <w:p w14:paraId="6F7EDF57">
                  <w:pPr>
                    <w:spacing w:line="240" w:lineRule="auto"/>
                    <w:ind w:firstLine="0" w:firstLineChars="0"/>
                    <w:jc w:val="center"/>
                    <w:rPr>
                      <w:rFonts w:hint="default" w:ascii="Times New Roman" w:hAnsi="Times New Roman" w:eastAsia="宋体" w:cs="Times New Roman"/>
                      <w:color w:val="auto"/>
                      <w:sz w:val="21"/>
                      <w:szCs w:val="21"/>
                      <w:highlight w:val="none"/>
                      <w:u w:val="none" w:color="auto"/>
                      <w:lang w:bidi="ar"/>
                    </w:rPr>
                  </w:pPr>
                </w:p>
              </w:tc>
              <w:tc>
                <w:tcPr>
                  <w:tcW w:w="643" w:type="pct"/>
                  <w:tcBorders>
                    <w:tl2br w:val="nil"/>
                    <w:tr2bl w:val="nil"/>
                  </w:tcBorders>
                  <w:vAlign w:val="center"/>
                </w:tcPr>
                <w:p w14:paraId="15DD49FD">
                  <w:pPr>
                    <w:spacing w:line="240" w:lineRule="auto"/>
                    <w:ind w:firstLine="0" w:firstLineChars="0"/>
                    <w:jc w:val="center"/>
                    <w:rPr>
                      <w:rFonts w:hint="default" w:cs="Times New Roman"/>
                      <w:b w:val="0"/>
                      <w:bCs w:val="0"/>
                      <w:color w:val="auto"/>
                      <w:sz w:val="21"/>
                      <w:szCs w:val="21"/>
                      <w:highlight w:val="none"/>
                      <w:u w:val="none" w:color="auto"/>
                      <w:lang w:val="en-US" w:eastAsia="zh-CN"/>
                    </w:rPr>
                  </w:pPr>
                  <w:r>
                    <w:rPr>
                      <w:rFonts w:hint="eastAsia" w:cs="Times New Roman"/>
                      <w:b w:val="0"/>
                      <w:bCs w:val="0"/>
                      <w:color w:val="auto"/>
                      <w:sz w:val="21"/>
                      <w:szCs w:val="21"/>
                      <w:highlight w:val="none"/>
                      <w:u w:val="none" w:color="auto"/>
                      <w:lang w:val="en-US" w:eastAsia="zh-CN"/>
                    </w:rPr>
                    <w:t>东侧居民点</w:t>
                  </w:r>
                </w:p>
              </w:tc>
              <w:tc>
                <w:tcPr>
                  <w:tcW w:w="1033" w:type="pct"/>
                  <w:tcBorders>
                    <w:tl2br w:val="nil"/>
                    <w:tr2bl w:val="nil"/>
                  </w:tcBorders>
                  <w:vAlign w:val="center"/>
                </w:tcPr>
                <w:p w14:paraId="76B63FDC">
                  <w:pPr>
                    <w:spacing w:line="240" w:lineRule="auto"/>
                    <w:ind w:firstLine="0" w:firstLineChars="0"/>
                    <w:jc w:val="center"/>
                    <w:rPr>
                      <w:rFonts w:hint="default" w:cs="Times New Roman"/>
                      <w:b w:val="0"/>
                      <w:bCs w:val="0"/>
                      <w:color w:val="auto"/>
                      <w:sz w:val="21"/>
                      <w:szCs w:val="21"/>
                      <w:highlight w:val="none"/>
                      <w:u w:val="none" w:color="auto"/>
                      <w:lang w:val="en-US" w:eastAsia="zh-CN"/>
                    </w:rPr>
                  </w:pPr>
                  <w:r>
                    <w:rPr>
                      <w:rFonts w:hint="eastAsia" w:cs="Times New Roman"/>
                      <w:b w:val="0"/>
                      <w:bCs w:val="0"/>
                      <w:color w:val="auto"/>
                      <w:sz w:val="21"/>
                      <w:szCs w:val="21"/>
                      <w:highlight w:val="none"/>
                      <w:u w:val="none" w:color="auto"/>
                      <w:lang w:val="en-US" w:eastAsia="zh-CN"/>
                    </w:rPr>
                    <w:t>113.310488°E，28.917787°N</w:t>
                  </w:r>
                </w:p>
              </w:tc>
              <w:tc>
                <w:tcPr>
                  <w:tcW w:w="861" w:type="pct"/>
                  <w:tcBorders>
                    <w:tl2br w:val="nil"/>
                    <w:tr2bl w:val="nil"/>
                  </w:tcBorders>
                  <w:vAlign w:val="center"/>
                </w:tcPr>
                <w:p w14:paraId="53599A34">
                  <w:pPr>
                    <w:spacing w:line="240" w:lineRule="auto"/>
                    <w:ind w:firstLine="0" w:firstLineChars="0"/>
                    <w:jc w:val="center"/>
                    <w:rPr>
                      <w:rFonts w:hint="default" w:cs="Times New Roman"/>
                      <w:b w:val="0"/>
                      <w:bCs w:val="0"/>
                      <w:color w:val="auto"/>
                      <w:sz w:val="21"/>
                      <w:szCs w:val="21"/>
                      <w:highlight w:val="none"/>
                      <w:u w:val="none" w:color="auto"/>
                      <w:lang w:val="en-US" w:eastAsia="zh-CN"/>
                    </w:rPr>
                  </w:pPr>
                  <w:r>
                    <w:rPr>
                      <w:rFonts w:hint="eastAsia" w:cs="Times New Roman"/>
                      <w:b w:val="0"/>
                      <w:bCs w:val="0"/>
                      <w:color w:val="auto"/>
                      <w:sz w:val="21"/>
                      <w:szCs w:val="21"/>
                      <w:highlight w:val="none"/>
                      <w:u w:val="none" w:color="auto"/>
                      <w:lang w:val="en-US" w:eastAsia="zh-CN"/>
                    </w:rPr>
                    <w:t>居民，3户，10人</w:t>
                  </w:r>
                </w:p>
              </w:tc>
              <w:tc>
                <w:tcPr>
                  <w:tcW w:w="487" w:type="pct"/>
                  <w:tcBorders>
                    <w:tl2br w:val="nil"/>
                    <w:tr2bl w:val="nil"/>
                  </w:tcBorders>
                  <w:vAlign w:val="center"/>
                </w:tcPr>
                <w:p w14:paraId="692CAD8F">
                  <w:pPr>
                    <w:spacing w:line="240" w:lineRule="auto"/>
                    <w:ind w:firstLine="0" w:firstLineChars="0"/>
                    <w:jc w:val="center"/>
                    <w:rPr>
                      <w:rFonts w:hint="default" w:cs="Times New Roman"/>
                      <w:b w:val="0"/>
                      <w:bCs w:val="0"/>
                      <w:color w:val="auto"/>
                      <w:sz w:val="21"/>
                      <w:szCs w:val="21"/>
                      <w:highlight w:val="none"/>
                      <w:u w:val="none" w:color="auto"/>
                      <w:lang w:val="en-US" w:eastAsia="zh-CN"/>
                    </w:rPr>
                  </w:pPr>
                  <w:r>
                    <w:rPr>
                      <w:rFonts w:hint="eastAsia" w:cs="Times New Roman"/>
                      <w:b w:val="0"/>
                      <w:bCs w:val="0"/>
                      <w:color w:val="auto"/>
                      <w:sz w:val="21"/>
                      <w:szCs w:val="21"/>
                      <w:highlight w:val="none"/>
                      <w:u w:val="none" w:color="auto"/>
                      <w:lang w:val="en-US" w:eastAsia="zh-CN"/>
                    </w:rPr>
                    <w:t>东</w:t>
                  </w:r>
                </w:p>
              </w:tc>
              <w:tc>
                <w:tcPr>
                  <w:tcW w:w="655" w:type="pct"/>
                  <w:tcBorders>
                    <w:tl2br w:val="nil"/>
                    <w:tr2bl w:val="nil"/>
                  </w:tcBorders>
                  <w:vAlign w:val="center"/>
                </w:tcPr>
                <w:p w14:paraId="68F7D46A">
                  <w:pPr>
                    <w:spacing w:line="240" w:lineRule="auto"/>
                    <w:ind w:firstLine="0" w:firstLineChars="0"/>
                    <w:jc w:val="center"/>
                    <w:rPr>
                      <w:rFonts w:hint="default" w:cs="Times New Roman"/>
                      <w:b w:val="0"/>
                      <w:bCs w:val="0"/>
                      <w:color w:val="auto"/>
                      <w:sz w:val="21"/>
                      <w:szCs w:val="21"/>
                      <w:highlight w:val="none"/>
                      <w:u w:val="none" w:color="auto"/>
                      <w:lang w:val="en-US" w:eastAsia="zh-CN"/>
                    </w:rPr>
                  </w:pPr>
                  <w:r>
                    <w:rPr>
                      <w:rFonts w:hint="eastAsia" w:cs="Times New Roman"/>
                      <w:b w:val="0"/>
                      <w:bCs w:val="0"/>
                      <w:color w:val="auto"/>
                      <w:sz w:val="21"/>
                      <w:szCs w:val="21"/>
                      <w:highlight w:val="none"/>
                      <w:u w:val="none" w:color="auto"/>
                      <w:lang w:val="en-US" w:eastAsia="zh-CN"/>
                    </w:rPr>
                    <w:t>70~140</w:t>
                  </w:r>
                </w:p>
              </w:tc>
              <w:tc>
                <w:tcPr>
                  <w:tcW w:w="946" w:type="pct"/>
                  <w:vMerge w:val="continue"/>
                  <w:tcBorders>
                    <w:tl2br w:val="nil"/>
                    <w:tr2bl w:val="nil"/>
                  </w:tcBorders>
                  <w:vAlign w:val="center"/>
                </w:tcPr>
                <w:p w14:paraId="5540ADF2">
                  <w:pPr>
                    <w:spacing w:line="240" w:lineRule="auto"/>
                    <w:ind w:firstLine="0" w:firstLineChars="0"/>
                    <w:jc w:val="center"/>
                    <w:rPr>
                      <w:rFonts w:hint="default" w:ascii="Times New Roman" w:hAnsi="Times New Roman" w:eastAsia="宋体" w:cs="Times New Roman"/>
                      <w:color w:val="auto"/>
                      <w:sz w:val="21"/>
                      <w:szCs w:val="21"/>
                      <w:highlight w:val="none"/>
                      <w:u w:val="none" w:color="auto"/>
                      <w:lang w:bidi="ar"/>
                    </w:rPr>
                  </w:pPr>
                </w:p>
              </w:tc>
            </w:tr>
            <w:tr w14:paraId="319103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vAlign w:val="center"/>
                </w:tcPr>
                <w:p w14:paraId="33FEAF14">
                  <w:pPr>
                    <w:spacing w:line="240" w:lineRule="auto"/>
                    <w:ind w:firstLine="0" w:firstLineChars="0"/>
                    <w:jc w:val="center"/>
                    <w:rPr>
                      <w:rFonts w:hint="default" w:ascii="Times New Roman" w:hAnsi="Times New Roman" w:eastAsia="宋体" w:cs="Times New Roman"/>
                      <w:color w:val="auto"/>
                      <w:sz w:val="21"/>
                      <w:szCs w:val="21"/>
                      <w:highlight w:val="none"/>
                      <w:u w:val="none" w:color="auto"/>
                      <w:lang w:bidi="ar"/>
                    </w:rPr>
                  </w:pPr>
                </w:p>
              </w:tc>
              <w:tc>
                <w:tcPr>
                  <w:tcW w:w="643" w:type="pct"/>
                  <w:tcBorders>
                    <w:tl2br w:val="nil"/>
                    <w:tr2bl w:val="nil"/>
                  </w:tcBorders>
                  <w:vAlign w:val="center"/>
                </w:tcPr>
                <w:p w14:paraId="579658D7">
                  <w:pPr>
                    <w:spacing w:line="240" w:lineRule="auto"/>
                    <w:ind w:firstLine="0" w:firstLineChars="0"/>
                    <w:jc w:val="center"/>
                    <w:rPr>
                      <w:rFonts w:hint="default" w:cs="Times New Roman"/>
                      <w:b w:val="0"/>
                      <w:bCs w:val="0"/>
                      <w:color w:val="auto"/>
                      <w:sz w:val="21"/>
                      <w:szCs w:val="21"/>
                      <w:highlight w:val="none"/>
                      <w:u w:val="none" w:color="auto"/>
                      <w:lang w:val="en-US" w:eastAsia="zh-CN"/>
                    </w:rPr>
                  </w:pPr>
                  <w:r>
                    <w:rPr>
                      <w:rFonts w:hint="eastAsia" w:cs="Times New Roman"/>
                      <w:b w:val="0"/>
                      <w:bCs w:val="0"/>
                      <w:color w:val="auto"/>
                      <w:sz w:val="21"/>
                      <w:szCs w:val="21"/>
                      <w:highlight w:val="none"/>
                      <w:u w:val="none" w:color="auto"/>
                      <w:lang w:val="en-US" w:eastAsia="zh-CN"/>
                    </w:rPr>
                    <w:t>东南侧居民点</w:t>
                  </w:r>
                </w:p>
              </w:tc>
              <w:tc>
                <w:tcPr>
                  <w:tcW w:w="1033" w:type="pct"/>
                  <w:tcBorders>
                    <w:tl2br w:val="nil"/>
                    <w:tr2bl w:val="nil"/>
                  </w:tcBorders>
                  <w:vAlign w:val="center"/>
                </w:tcPr>
                <w:p w14:paraId="35D89B83">
                  <w:pPr>
                    <w:spacing w:line="240" w:lineRule="auto"/>
                    <w:ind w:firstLine="0" w:firstLineChars="0"/>
                    <w:jc w:val="center"/>
                    <w:rPr>
                      <w:rFonts w:hint="default" w:cs="Times New Roman"/>
                      <w:b w:val="0"/>
                      <w:bCs w:val="0"/>
                      <w:color w:val="auto"/>
                      <w:sz w:val="21"/>
                      <w:szCs w:val="21"/>
                      <w:highlight w:val="none"/>
                      <w:u w:val="none" w:color="auto"/>
                      <w:lang w:val="en-US" w:eastAsia="zh-CN"/>
                    </w:rPr>
                  </w:pPr>
                  <w:r>
                    <w:rPr>
                      <w:rFonts w:hint="eastAsia" w:cs="Times New Roman"/>
                      <w:b w:val="0"/>
                      <w:bCs w:val="0"/>
                      <w:color w:val="auto"/>
                      <w:sz w:val="21"/>
                      <w:szCs w:val="21"/>
                      <w:highlight w:val="none"/>
                      <w:u w:val="none" w:color="auto"/>
                      <w:lang w:val="en-US" w:eastAsia="zh-CN"/>
                    </w:rPr>
                    <w:t>113.309644°E，28.915430°N</w:t>
                  </w:r>
                </w:p>
              </w:tc>
              <w:tc>
                <w:tcPr>
                  <w:tcW w:w="861" w:type="pct"/>
                  <w:tcBorders>
                    <w:tl2br w:val="nil"/>
                    <w:tr2bl w:val="nil"/>
                  </w:tcBorders>
                  <w:vAlign w:val="center"/>
                </w:tcPr>
                <w:p w14:paraId="124CF238">
                  <w:pPr>
                    <w:spacing w:line="240" w:lineRule="auto"/>
                    <w:ind w:firstLine="0" w:firstLineChars="0"/>
                    <w:jc w:val="center"/>
                    <w:rPr>
                      <w:rFonts w:hint="default" w:cs="Times New Roman"/>
                      <w:b w:val="0"/>
                      <w:bCs w:val="0"/>
                      <w:color w:val="auto"/>
                      <w:sz w:val="21"/>
                      <w:szCs w:val="21"/>
                      <w:highlight w:val="none"/>
                      <w:u w:val="none" w:color="auto"/>
                      <w:lang w:val="en-US" w:eastAsia="zh-CN"/>
                    </w:rPr>
                  </w:pPr>
                  <w:r>
                    <w:rPr>
                      <w:rFonts w:hint="eastAsia" w:cs="Times New Roman"/>
                      <w:b w:val="0"/>
                      <w:bCs w:val="0"/>
                      <w:color w:val="auto"/>
                      <w:sz w:val="21"/>
                      <w:szCs w:val="21"/>
                      <w:highlight w:val="none"/>
                      <w:u w:val="none" w:color="auto"/>
                      <w:lang w:val="en-US" w:eastAsia="zh-CN"/>
                    </w:rPr>
                    <w:t>居民，5户，20人</w:t>
                  </w:r>
                </w:p>
              </w:tc>
              <w:tc>
                <w:tcPr>
                  <w:tcW w:w="487" w:type="pct"/>
                  <w:tcBorders>
                    <w:tl2br w:val="nil"/>
                    <w:tr2bl w:val="nil"/>
                  </w:tcBorders>
                  <w:vAlign w:val="center"/>
                </w:tcPr>
                <w:p w14:paraId="5D66D277">
                  <w:pPr>
                    <w:spacing w:line="240" w:lineRule="auto"/>
                    <w:ind w:firstLine="0" w:firstLineChars="0"/>
                    <w:jc w:val="center"/>
                    <w:rPr>
                      <w:rFonts w:hint="default" w:cs="Times New Roman"/>
                      <w:b w:val="0"/>
                      <w:bCs w:val="0"/>
                      <w:color w:val="auto"/>
                      <w:sz w:val="21"/>
                      <w:szCs w:val="21"/>
                      <w:highlight w:val="none"/>
                      <w:u w:val="none" w:color="auto"/>
                      <w:lang w:val="en-US" w:eastAsia="zh-CN"/>
                    </w:rPr>
                  </w:pPr>
                  <w:r>
                    <w:rPr>
                      <w:rFonts w:hint="eastAsia" w:cs="Times New Roman"/>
                      <w:b w:val="0"/>
                      <w:bCs w:val="0"/>
                      <w:color w:val="auto"/>
                      <w:sz w:val="21"/>
                      <w:szCs w:val="21"/>
                      <w:highlight w:val="none"/>
                      <w:u w:val="none" w:color="auto"/>
                      <w:lang w:val="en-US" w:eastAsia="zh-CN"/>
                    </w:rPr>
                    <w:t>东南</w:t>
                  </w:r>
                </w:p>
              </w:tc>
              <w:tc>
                <w:tcPr>
                  <w:tcW w:w="655" w:type="pct"/>
                  <w:tcBorders>
                    <w:tl2br w:val="nil"/>
                    <w:tr2bl w:val="nil"/>
                  </w:tcBorders>
                  <w:vAlign w:val="center"/>
                </w:tcPr>
                <w:p w14:paraId="164F4021">
                  <w:pPr>
                    <w:spacing w:line="240" w:lineRule="auto"/>
                    <w:ind w:firstLine="0" w:firstLineChars="0"/>
                    <w:jc w:val="center"/>
                    <w:rPr>
                      <w:rFonts w:hint="default" w:cs="Times New Roman"/>
                      <w:b w:val="0"/>
                      <w:bCs w:val="0"/>
                      <w:color w:val="auto"/>
                      <w:sz w:val="21"/>
                      <w:szCs w:val="21"/>
                      <w:highlight w:val="none"/>
                      <w:u w:val="none" w:color="auto"/>
                      <w:lang w:val="en-US" w:eastAsia="zh-CN"/>
                    </w:rPr>
                  </w:pPr>
                  <w:r>
                    <w:rPr>
                      <w:rFonts w:hint="eastAsia" w:cs="Times New Roman"/>
                      <w:b w:val="0"/>
                      <w:bCs w:val="0"/>
                      <w:color w:val="auto"/>
                      <w:sz w:val="21"/>
                      <w:szCs w:val="21"/>
                      <w:highlight w:val="none"/>
                      <w:u w:val="none" w:color="auto"/>
                      <w:lang w:val="en-US" w:eastAsia="zh-CN"/>
                    </w:rPr>
                    <w:t>230~290</w:t>
                  </w:r>
                </w:p>
              </w:tc>
              <w:tc>
                <w:tcPr>
                  <w:tcW w:w="946" w:type="pct"/>
                  <w:vMerge w:val="continue"/>
                  <w:tcBorders>
                    <w:tl2br w:val="nil"/>
                    <w:tr2bl w:val="nil"/>
                  </w:tcBorders>
                  <w:vAlign w:val="center"/>
                </w:tcPr>
                <w:p w14:paraId="49C97864">
                  <w:pPr>
                    <w:spacing w:line="240" w:lineRule="auto"/>
                    <w:ind w:firstLine="0" w:firstLineChars="0"/>
                    <w:jc w:val="center"/>
                    <w:rPr>
                      <w:rFonts w:hint="default" w:ascii="Times New Roman" w:hAnsi="Times New Roman" w:eastAsia="宋体" w:cs="Times New Roman"/>
                      <w:color w:val="auto"/>
                      <w:sz w:val="21"/>
                      <w:szCs w:val="21"/>
                      <w:highlight w:val="none"/>
                      <w:u w:val="none" w:color="auto"/>
                      <w:lang w:bidi="ar"/>
                    </w:rPr>
                  </w:pPr>
                </w:p>
              </w:tc>
            </w:tr>
            <w:tr w14:paraId="77B6892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vAlign w:val="center"/>
                </w:tcPr>
                <w:p w14:paraId="6CBF4705">
                  <w:pPr>
                    <w:spacing w:line="240" w:lineRule="auto"/>
                    <w:ind w:firstLine="0" w:firstLineChars="0"/>
                    <w:jc w:val="center"/>
                    <w:rPr>
                      <w:rFonts w:hint="default" w:ascii="Times New Roman" w:hAnsi="Times New Roman" w:eastAsia="宋体" w:cs="Times New Roman"/>
                      <w:color w:val="auto"/>
                      <w:sz w:val="21"/>
                      <w:szCs w:val="21"/>
                      <w:highlight w:val="none"/>
                      <w:u w:val="none" w:color="auto"/>
                      <w:lang w:bidi="ar"/>
                    </w:rPr>
                  </w:pPr>
                </w:p>
              </w:tc>
              <w:tc>
                <w:tcPr>
                  <w:tcW w:w="643" w:type="pct"/>
                  <w:tcBorders>
                    <w:tl2br w:val="nil"/>
                    <w:tr2bl w:val="nil"/>
                  </w:tcBorders>
                  <w:vAlign w:val="center"/>
                </w:tcPr>
                <w:p w14:paraId="4AC1EE3E">
                  <w:pPr>
                    <w:spacing w:line="240" w:lineRule="auto"/>
                    <w:ind w:firstLine="0" w:firstLineChars="0"/>
                    <w:jc w:val="center"/>
                    <w:rPr>
                      <w:rFonts w:hint="default" w:cs="Times New Roman"/>
                      <w:b w:val="0"/>
                      <w:bCs w:val="0"/>
                      <w:color w:val="auto"/>
                      <w:sz w:val="21"/>
                      <w:szCs w:val="21"/>
                      <w:highlight w:val="none"/>
                      <w:u w:val="none" w:color="auto"/>
                      <w:lang w:val="en-US" w:eastAsia="zh-CN"/>
                    </w:rPr>
                  </w:pPr>
                  <w:r>
                    <w:rPr>
                      <w:rFonts w:hint="eastAsia" w:cs="Times New Roman"/>
                      <w:b w:val="0"/>
                      <w:bCs w:val="0"/>
                      <w:color w:val="auto"/>
                      <w:sz w:val="21"/>
                      <w:szCs w:val="21"/>
                      <w:highlight w:val="none"/>
                      <w:u w:val="none" w:color="auto"/>
                      <w:lang w:val="en-US" w:eastAsia="zh-CN"/>
                    </w:rPr>
                    <w:t>大斗冲</w:t>
                  </w:r>
                </w:p>
              </w:tc>
              <w:tc>
                <w:tcPr>
                  <w:tcW w:w="1033" w:type="pct"/>
                  <w:tcBorders>
                    <w:tl2br w:val="nil"/>
                    <w:tr2bl w:val="nil"/>
                  </w:tcBorders>
                  <w:vAlign w:val="center"/>
                </w:tcPr>
                <w:p w14:paraId="55A6BC4C">
                  <w:pPr>
                    <w:spacing w:line="240" w:lineRule="auto"/>
                    <w:ind w:firstLine="0" w:firstLineChars="0"/>
                    <w:jc w:val="center"/>
                    <w:rPr>
                      <w:rFonts w:hint="default" w:cs="Times New Roman"/>
                      <w:b w:val="0"/>
                      <w:bCs w:val="0"/>
                      <w:color w:val="auto"/>
                      <w:sz w:val="21"/>
                      <w:szCs w:val="21"/>
                      <w:highlight w:val="none"/>
                      <w:u w:val="none" w:color="auto"/>
                      <w:lang w:val="en-US" w:eastAsia="zh-CN"/>
                    </w:rPr>
                  </w:pPr>
                  <w:r>
                    <w:rPr>
                      <w:rFonts w:hint="eastAsia" w:cs="Times New Roman"/>
                      <w:b w:val="0"/>
                      <w:bCs w:val="0"/>
                      <w:color w:val="auto"/>
                      <w:sz w:val="21"/>
                      <w:szCs w:val="21"/>
                      <w:highlight w:val="none"/>
                      <w:u w:val="none" w:color="auto"/>
                      <w:lang w:val="en-US" w:eastAsia="zh-CN"/>
                    </w:rPr>
                    <w:t>113.306951°E，28.914482°N</w:t>
                  </w:r>
                </w:p>
              </w:tc>
              <w:tc>
                <w:tcPr>
                  <w:tcW w:w="861" w:type="pct"/>
                  <w:tcBorders>
                    <w:tl2br w:val="nil"/>
                    <w:tr2bl w:val="nil"/>
                  </w:tcBorders>
                  <w:vAlign w:val="center"/>
                </w:tcPr>
                <w:p w14:paraId="525CB4F3">
                  <w:pPr>
                    <w:spacing w:line="240" w:lineRule="auto"/>
                    <w:ind w:firstLine="0" w:firstLineChars="0"/>
                    <w:jc w:val="center"/>
                    <w:rPr>
                      <w:rFonts w:hint="default" w:cs="Times New Roman"/>
                      <w:b w:val="0"/>
                      <w:bCs w:val="0"/>
                      <w:color w:val="auto"/>
                      <w:sz w:val="21"/>
                      <w:szCs w:val="21"/>
                      <w:highlight w:val="none"/>
                      <w:u w:val="none" w:color="auto"/>
                      <w:lang w:val="en-US" w:eastAsia="zh-CN"/>
                    </w:rPr>
                  </w:pPr>
                  <w:r>
                    <w:rPr>
                      <w:rFonts w:hint="eastAsia" w:cs="Times New Roman"/>
                      <w:b w:val="0"/>
                      <w:bCs w:val="0"/>
                      <w:color w:val="auto"/>
                      <w:sz w:val="21"/>
                      <w:szCs w:val="21"/>
                      <w:highlight w:val="none"/>
                      <w:u w:val="none" w:color="auto"/>
                      <w:lang w:val="en-US" w:eastAsia="zh-CN"/>
                    </w:rPr>
                    <w:t>居民，5户，20人</w:t>
                  </w:r>
                </w:p>
              </w:tc>
              <w:tc>
                <w:tcPr>
                  <w:tcW w:w="487" w:type="pct"/>
                  <w:tcBorders>
                    <w:tl2br w:val="nil"/>
                    <w:tr2bl w:val="nil"/>
                  </w:tcBorders>
                  <w:vAlign w:val="center"/>
                </w:tcPr>
                <w:p w14:paraId="21F0A431">
                  <w:pPr>
                    <w:spacing w:line="240" w:lineRule="auto"/>
                    <w:ind w:firstLine="0" w:firstLineChars="0"/>
                    <w:jc w:val="center"/>
                    <w:rPr>
                      <w:rFonts w:hint="default" w:cs="Times New Roman"/>
                      <w:b w:val="0"/>
                      <w:bCs w:val="0"/>
                      <w:color w:val="auto"/>
                      <w:sz w:val="21"/>
                      <w:szCs w:val="21"/>
                      <w:highlight w:val="none"/>
                      <w:u w:val="none" w:color="auto"/>
                      <w:lang w:val="en-US" w:eastAsia="zh-CN"/>
                    </w:rPr>
                  </w:pPr>
                  <w:r>
                    <w:rPr>
                      <w:rFonts w:hint="eastAsia" w:cs="Times New Roman"/>
                      <w:b w:val="0"/>
                      <w:bCs w:val="0"/>
                      <w:color w:val="auto"/>
                      <w:sz w:val="21"/>
                      <w:szCs w:val="21"/>
                      <w:highlight w:val="none"/>
                      <w:u w:val="none" w:color="auto"/>
                      <w:lang w:val="en-US" w:eastAsia="zh-CN"/>
                    </w:rPr>
                    <w:t>西南</w:t>
                  </w:r>
                </w:p>
              </w:tc>
              <w:tc>
                <w:tcPr>
                  <w:tcW w:w="655" w:type="pct"/>
                  <w:tcBorders>
                    <w:tl2br w:val="nil"/>
                    <w:tr2bl w:val="nil"/>
                  </w:tcBorders>
                  <w:vAlign w:val="center"/>
                </w:tcPr>
                <w:p w14:paraId="5E626B45">
                  <w:pPr>
                    <w:spacing w:line="240" w:lineRule="auto"/>
                    <w:ind w:firstLine="0" w:firstLineChars="0"/>
                    <w:jc w:val="center"/>
                    <w:rPr>
                      <w:rFonts w:hint="default" w:cs="Times New Roman"/>
                      <w:b w:val="0"/>
                      <w:bCs w:val="0"/>
                      <w:color w:val="auto"/>
                      <w:sz w:val="21"/>
                      <w:szCs w:val="21"/>
                      <w:highlight w:val="none"/>
                      <w:u w:val="none" w:color="auto"/>
                      <w:lang w:val="en-US" w:eastAsia="zh-CN"/>
                    </w:rPr>
                  </w:pPr>
                  <w:r>
                    <w:rPr>
                      <w:rFonts w:hint="eastAsia" w:cs="Times New Roman"/>
                      <w:b w:val="0"/>
                      <w:bCs w:val="0"/>
                      <w:color w:val="auto"/>
                      <w:sz w:val="21"/>
                      <w:szCs w:val="21"/>
                      <w:highlight w:val="none"/>
                      <w:u w:val="none" w:color="auto"/>
                      <w:lang w:val="en-US" w:eastAsia="zh-CN"/>
                    </w:rPr>
                    <w:t>390~480</w:t>
                  </w:r>
                </w:p>
              </w:tc>
              <w:tc>
                <w:tcPr>
                  <w:tcW w:w="946" w:type="pct"/>
                  <w:vMerge w:val="continue"/>
                  <w:tcBorders>
                    <w:tl2br w:val="nil"/>
                    <w:tr2bl w:val="nil"/>
                  </w:tcBorders>
                  <w:vAlign w:val="center"/>
                </w:tcPr>
                <w:p w14:paraId="2CD690ED">
                  <w:pPr>
                    <w:spacing w:line="240" w:lineRule="auto"/>
                    <w:ind w:firstLine="0" w:firstLineChars="0"/>
                    <w:jc w:val="center"/>
                    <w:rPr>
                      <w:rFonts w:hint="default" w:ascii="Times New Roman" w:hAnsi="Times New Roman" w:eastAsia="宋体" w:cs="Times New Roman"/>
                      <w:color w:val="auto"/>
                      <w:sz w:val="21"/>
                      <w:szCs w:val="21"/>
                      <w:highlight w:val="none"/>
                      <w:u w:val="none" w:color="auto"/>
                      <w:lang w:bidi="ar"/>
                    </w:rPr>
                  </w:pPr>
                </w:p>
              </w:tc>
            </w:tr>
            <w:tr w14:paraId="5E7C126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vAlign w:val="center"/>
                </w:tcPr>
                <w:p w14:paraId="183A2BFC">
                  <w:pPr>
                    <w:spacing w:line="240" w:lineRule="auto"/>
                    <w:ind w:firstLine="0" w:firstLineChars="0"/>
                    <w:jc w:val="center"/>
                    <w:rPr>
                      <w:rFonts w:hint="default" w:ascii="Times New Roman" w:hAnsi="Times New Roman" w:eastAsia="宋体" w:cs="Times New Roman"/>
                      <w:color w:val="auto"/>
                      <w:sz w:val="21"/>
                      <w:szCs w:val="21"/>
                      <w:highlight w:val="none"/>
                      <w:u w:val="none" w:color="auto"/>
                      <w:lang w:bidi="ar"/>
                    </w:rPr>
                  </w:pPr>
                </w:p>
              </w:tc>
              <w:tc>
                <w:tcPr>
                  <w:tcW w:w="643" w:type="pct"/>
                  <w:tcBorders>
                    <w:tl2br w:val="nil"/>
                    <w:tr2bl w:val="nil"/>
                  </w:tcBorders>
                  <w:vAlign w:val="center"/>
                </w:tcPr>
                <w:p w14:paraId="6D3EF5B2">
                  <w:pPr>
                    <w:spacing w:line="240" w:lineRule="auto"/>
                    <w:ind w:firstLine="0" w:firstLineChars="0"/>
                    <w:jc w:val="center"/>
                    <w:rPr>
                      <w:rFonts w:hint="default" w:cs="Times New Roman"/>
                      <w:b w:val="0"/>
                      <w:bCs w:val="0"/>
                      <w:color w:val="auto"/>
                      <w:sz w:val="21"/>
                      <w:szCs w:val="21"/>
                      <w:highlight w:val="none"/>
                      <w:u w:val="none" w:color="auto"/>
                      <w:lang w:val="en-US" w:eastAsia="zh-CN"/>
                    </w:rPr>
                  </w:pPr>
                  <w:r>
                    <w:rPr>
                      <w:rFonts w:hint="eastAsia" w:cs="Times New Roman"/>
                      <w:b w:val="0"/>
                      <w:bCs w:val="0"/>
                      <w:color w:val="auto"/>
                      <w:sz w:val="21"/>
                      <w:szCs w:val="21"/>
                      <w:highlight w:val="none"/>
                      <w:u w:val="none" w:color="auto"/>
                      <w:lang w:val="en-US" w:eastAsia="zh-CN"/>
                    </w:rPr>
                    <w:t>古仑村</w:t>
                  </w:r>
                </w:p>
              </w:tc>
              <w:tc>
                <w:tcPr>
                  <w:tcW w:w="1033" w:type="pct"/>
                  <w:tcBorders>
                    <w:tl2br w:val="nil"/>
                    <w:tr2bl w:val="nil"/>
                  </w:tcBorders>
                  <w:vAlign w:val="center"/>
                </w:tcPr>
                <w:p w14:paraId="6B2EFAAE">
                  <w:pPr>
                    <w:spacing w:line="240" w:lineRule="auto"/>
                    <w:ind w:firstLine="0" w:firstLineChars="0"/>
                    <w:jc w:val="center"/>
                    <w:rPr>
                      <w:rFonts w:hint="default" w:cs="Times New Roman"/>
                      <w:b w:val="0"/>
                      <w:bCs w:val="0"/>
                      <w:color w:val="auto"/>
                      <w:sz w:val="21"/>
                      <w:szCs w:val="21"/>
                      <w:highlight w:val="none"/>
                      <w:u w:val="none" w:color="auto"/>
                      <w:lang w:val="en-US" w:eastAsia="zh-CN"/>
                    </w:rPr>
                  </w:pPr>
                  <w:r>
                    <w:rPr>
                      <w:rFonts w:hint="eastAsia" w:cs="Times New Roman"/>
                      <w:b w:val="0"/>
                      <w:bCs w:val="0"/>
                      <w:color w:val="auto"/>
                      <w:sz w:val="21"/>
                      <w:szCs w:val="21"/>
                      <w:highlight w:val="none"/>
                      <w:u w:val="none" w:color="auto"/>
                      <w:lang w:val="en-US" w:eastAsia="zh-CN"/>
                    </w:rPr>
                    <w:t>113.305482°E，28.916081°N</w:t>
                  </w:r>
                </w:p>
              </w:tc>
              <w:tc>
                <w:tcPr>
                  <w:tcW w:w="861" w:type="pct"/>
                  <w:tcBorders>
                    <w:tl2br w:val="nil"/>
                    <w:tr2bl w:val="nil"/>
                  </w:tcBorders>
                  <w:vAlign w:val="center"/>
                </w:tcPr>
                <w:p w14:paraId="33F277CB">
                  <w:pPr>
                    <w:spacing w:line="240" w:lineRule="auto"/>
                    <w:ind w:firstLine="0" w:firstLineChars="0"/>
                    <w:jc w:val="center"/>
                    <w:rPr>
                      <w:rFonts w:hint="default" w:cs="Times New Roman"/>
                      <w:b w:val="0"/>
                      <w:bCs w:val="0"/>
                      <w:color w:val="auto"/>
                      <w:sz w:val="21"/>
                      <w:szCs w:val="21"/>
                      <w:highlight w:val="none"/>
                      <w:u w:val="none" w:color="auto"/>
                      <w:lang w:val="en-US" w:eastAsia="zh-CN"/>
                    </w:rPr>
                  </w:pPr>
                  <w:r>
                    <w:rPr>
                      <w:rFonts w:hint="eastAsia" w:cs="Times New Roman"/>
                      <w:b w:val="0"/>
                      <w:bCs w:val="0"/>
                      <w:color w:val="auto"/>
                      <w:sz w:val="21"/>
                      <w:szCs w:val="21"/>
                      <w:highlight w:val="none"/>
                      <w:u w:val="none" w:color="auto"/>
                      <w:lang w:val="en-US" w:eastAsia="zh-CN"/>
                    </w:rPr>
                    <w:t>居民，25户，约100人</w:t>
                  </w:r>
                </w:p>
              </w:tc>
              <w:tc>
                <w:tcPr>
                  <w:tcW w:w="487" w:type="pct"/>
                  <w:tcBorders>
                    <w:tl2br w:val="nil"/>
                    <w:tr2bl w:val="nil"/>
                  </w:tcBorders>
                  <w:vAlign w:val="center"/>
                </w:tcPr>
                <w:p w14:paraId="6B8548BB">
                  <w:pPr>
                    <w:spacing w:line="240" w:lineRule="auto"/>
                    <w:ind w:firstLine="0" w:firstLineChars="0"/>
                    <w:jc w:val="center"/>
                    <w:rPr>
                      <w:rFonts w:hint="default" w:cs="Times New Roman"/>
                      <w:b w:val="0"/>
                      <w:bCs w:val="0"/>
                      <w:color w:val="auto"/>
                      <w:sz w:val="21"/>
                      <w:szCs w:val="21"/>
                      <w:highlight w:val="none"/>
                      <w:u w:val="none" w:color="auto"/>
                      <w:lang w:val="en-US" w:eastAsia="zh-CN"/>
                    </w:rPr>
                  </w:pPr>
                  <w:r>
                    <w:rPr>
                      <w:rFonts w:hint="eastAsia" w:cs="Times New Roman"/>
                      <w:b w:val="0"/>
                      <w:bCs w:val="0"/>
                      <w:color w:val="auto"/>
                      <w:sz w:val="21"/>
                      <w:szCs w:val="21"/>
                      <w:highlight w:val="none"/>
                      <w:u w:val="none" w:color="auto"/>
                      <w:lang w:val="en-US" w:eastAsia="zh-CN"/>
                    </w:rPr>
                    <w:t>西南</w:t>
                  </w:r>
                </w:p>
              </w:tc>
              <w:tc>
                <w:tcPr>
                  <w:tcW w:w="655" w:type="pct"/>
                  <w:tcBorders>
                    <w:tl2br w:val="nil"/>
                    <w:tr2bl w:val="nil"/>
                  </w:tcBorders>
                  <w:vAlign w:val="center"/>
                </w:tcPr>
                <w:p w14:paraId="7348C918">
                  <w:pPr>
                    <w:spacing w:line="240" w:lineRule="auto"/>
                    <w:ind w:firstLine="0" w:firstLineChars="0"/>
                    <w:jc w:val="center"/>
                    <w:rPr>
                      <w:rFonts w:hint="default" w:cs="Times New Roman"/>
                      <w:b w:val="0"/>
                      <w:bCs w:val="0"/>
                      <w:color w:val="auto"/>
                      <w:sz w:val="21"/>
                      <w:szCs w:val="21"/>
                      <w:highlight w:val="none"/>
                      <w:u w:val="none" w:color="auto"/>
                      <w:lang w:val="en-US" w:eastAsia="zh-CN"/>
                    </w:rPr>
                  </w:pPr>
                  <w:r>
                    <w:rPr>
                      <w:rFonts w:hint="eastAsia" w:cs="Times New Roman"/>
                      <w:b w:val="0"/>
                      <w:bCs w:val="0"/>
                      <w:color w:val="auto"/>
                      <w:sz w:val="21"/>
                      <w:szCs w:val="21"/>
                      <w:highlight w:val="none"/>
                      <w:u w:val="none" w:color="auto"/>
                      <w:lang w:val="en-US" w:eastAsia="zh-CN"/>
                    </w:rPr>
                    <w:t>300~500</w:t>
                  </w:r>
                </w:p>
              </w:tc>
              <w:tc>
                <w:tcPr>
                  <w:tcW w:w="946" w:type="pct"/>
                  <w:vMerge w:val="continue"/>
                  <w:tcBorders>
                    <w:tl2br w:val="nil"/>
                    <w:tr2bl w:val="nil"/>
                  </w:tcBorders>
                  <w:vAlign w:val="center"/>
                </w:tcPr>
                <w:p w14:paraId="6D6FEC16">
                  <w:pPr>
                    <w:spacing w:line="240" w:lineRule="auto"/>
                    <w:ind w:firstLine="0" w:firstLineChars="0"/>
                    <w:jc w:val="center"/>
                    <w:rPr>
                      <w:rFonts w:hint="default" w:ascii="Times New Roman" w:hAnsi="Times New Roman" w:eastAsia="宋体" w:cs="Times New Roman"/>
                      <w:color w:val="auto"/>
                      <w:sz w:val="21"/>
                      <w:szCs w:val="21"/>
                      <w:highlight w:val="none"/>
                      <w:u w:val="none" w:color="auto"/>
                      <w:lang w:bidi="ar"/>
                    </w:rPr>
                  </w:pPr>
                </w:p>
              </w:tc>
            </w:tr>
            <w:tr w14:paraId="62BFF50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vAlign w:val="center"/>
                </w:tcPr>
                <w:p w14:paraId="51BA90C8">
                  <w:pPr>
                    <w:spacing w:line="240" w:lineRule="auto"/>
                    <w:ind w:firstLine="0" w:firstLineChars="0"/>
                    <w:jc w:val="center"/>
                    <w:rPr>
                      <w:rFonts w:hint="default" w:ascii="Times New Roman" w:hAnsi="Times New Roman" w:eastAsia="宋体" w:cs="Times New Roman"/>
                      <w:color w:val="auto"/>
                      <w:sz w:val="21"/>
                      <w:szCs w:val="21"/>
                      <w:highlight w:val="none"/>
                      <w:u w:val="none" w:color="auto"/>
                      <w:lang w:bidi="ar"/>
                    </w:rPr>
                  </w:pPr>
                </w:p>
              </w:tc>
              <w:tc>
                <w:tcPr>
                  <w:tcW w:w="643" w:type="pct"/>
                  <w:tcBorders>
                    <w:tl2br w:val="nil"/>
                    <w:tr2bl w:val="nil"/>
                  </w:tcBorders>
                  <w:vAlign w:val="center"/>
                </w:tcPr>
                <w:p w14:paraId="1D0F34B8">
                  <w:pPr>
                    <w:spacing w:line="240" w:lineRule="auto"/>
                    <w:ind w:firstLine="0" w:firstLineChars="0"/>
                    <w:jc w:val="center"/>
                    <w:rPr>
                      <w:rFonts w:hint="default" w:cs="Times New Roman"/>
                      <w:b w:val="0"/>
                      <w:bCs w:val="0"/>
                      <w:color w:val="auto"/>
                      <w:sz w:val="21"/>
                      <w:szCs w:val="21"/>
                      <w:highlight w:val="none"/>
                      <w:u w:val="none" w:color="auto"/>
                      <w:lang w:val="en-US" w:eastAsia="zh-CN"/>
                    </w:rPr>
                  </w:pPr>
                  <w:r>
                    <w:rPr>
                      <w:rFonts w:hint="eastAsia" w:cs="Times New Roman"/>
                      <w:b w:val="0"/>
                      <w:bCs w:val="0"/>
                      <w:color w:val="auto"/>
                      <w:sz w:val="21"/>
                      <w:szCs w:val="21"/>
                      <w:highlight w:val="none"/>
                      <w:u w:val="none" w:color="auto"/>
                      <w:lang w:val="en-US" w:eastAsia="zh-CN"/>
                    </w:rPr>
                    <w:t>古仑村三组</w:t>
                  </w:r>
                </w:p>
              </w:tc>
              <w:tc>
                <w:tcPr>
                  <w:tcW w:w="1033" w:type="pct"/>
                  <w:tcBorders>
                    <w:tl2br w:val="nil"/>
                    <w:tr2bl w:val="nil"/>
                  </w:tcBorders>
                  <w:vAlign w:val="center"/>
                </w:tcPr>
                <w:p w14:paraId="2103D71A">
                  <w:pPr>
                    <w:spacing w:line="240" w:lineRule="auto"/>
                    <w:ind w:firstLine="0" w:firstLineChars="0"/>
                    <w:jc w:val="center"/>
                    <w:rPr>
                      <w:rFonts w:hint="default" w:cs="Times New Roman"/>
                      <w:b w:val="0"/>
                      <w:bCs w:val="0"/>
                      <w:color w:val="auto"/>
                      <w:sz w:val="21"/>
                      <w:szCs w:val="21"/>
                      <w:highlight w:val="none"/>
                      <w:u w:val="none" w:color="auto"/>
                      <w:lang w:val="en-US" w:eastAsia="zh-CN"/>
                    </w:rPr>
                  </w:pPr>
                  <w:r>
                    <w:rPr>
                      <w:rFonts w:hint="eastAsia" w:cs="Times New Roman"/>
                      <w:b w:val="0"/>
                      <w:bCs w:val="0"/>
                      <w:color w:val="auto"/>
                      <w:sz w:val="21"/>
                      <w:szCs w:val="21"/>
                      <w:highlight w:val="none"/>
                      <w:u w:val="none" w:color="auto"/>
                      <w:lang w:val="en-US" w:eastAsia="zh-CN"/>
                    </w:rPr>
                    <w:t>113.303188°E，28.917784°N</w:t>
                  </w:r>
                </w:p>
              </w:tc>
              <w:tc>
                <w:tcPr>
                  <w:tcW w:w="861" w:type="pct"/>
                  <w:tcBorders>
                    <w:tl2br w:val="nil"/>
                    <w:tr2bl w:val="nil"/>
                  </w:tcBorders>
                  <w:vAlign w:val="center"/>
                </w:tcPr>
                <w:p w14:paraId="41AA1EF0">
                  <w:pPr>
                    <w:spacing w:line="240" w:lineRule="auto"/>
                    <w:ind w:firstLine="0" w:firstLineChars="0"/>
                    <w:jc w:val="center"/>
                    <w:rPr>
                      <w:rFonts w:hint="default" w:cs="Times New Roman"/>
                      <w:b w:val="0"/>
                      <w:bCs w:val="0"/>
                      <w:color w:val="auto"/>
                      <w:sz w:val="21"/>
                      <w:szCs w:val="21"/>
                      <w:highlight w:val="none"/>
                      <w:u w:val="none" w:color="auto"/>
                      <w:lang w:val="en-US" w:eastAsia="zh-CN"/>
                    </w:rPr>
                  </w:pPr>
                  <w:r>
                    <w:rPr>
                      <w:rFonts w:hint="eastAsia" w:cs="Times New Roman"/>
                      <w:b w:val="0"/>
                      <w:bCs w:val="0"/>
                      <w:color w:val="auto"/>
                      <w:sz w:val="21"/>
                      <w:szCs w:val="21"/>
                      <w:highlight w:val="none"/>
                      <w:u w:val="none" w:color="auto"/>
                      <w:lang w:val="en-US" w:eastAsia="zh-CN"/>
                    </w:rPr>
                    <w:t>居民，12户，50人</w:t>
                  </w:r>
                </w:p>
              </w:tc>
              <w:tc>
                <w:tcPr>
                  <w:tcW w:w="487" w:type="pct"/>
                  <w:tcBorders>
                    <w:tl2br w:val="nil"/>
                    <w:tr2bl w:val="nil"/>
                  </w:tcBorders>
                  <w:vAlign w:val="center"/>
                </w:tcPr>
                <w:p w14:paraId="11BF5AF4">
                  <w:pPr>
                    <w:spacing w:line="240" w:lineRule="auto"/>
                    <w:ind w:firstLine="0" w:firstLineChars="0"/>
                    <w:jc w:val="center"/>
                    <w:rPr>
                      <w:rFonts w:hint="default" w:cs="Times New Roman"/>
                      <w:b w:val="0"/>
                      <w:bCs w:val="0"/>
                      <w:color w:val="auto"/>
                      <w:sz w:val="21"/>
                      <w:szCs w:val="21"/>
                      <w:highlight w:val="none"/>
                      <w:u w:val="none" w:color="auto"/>
                      <w:lang w:val="en-US" w:eastAsia="zh-CN"/>
                    </w:rPr>
                  </w:pPr>
                  <w:r>
                    <w:rPr>
                      <w:rFonts w:hint="eastAsia" w:cs="Times New Roman"/>
                      <w:b w:val="0"/>
                      <w:bCs w:val="0"/>
                      <w:color w:val="auto"/>
                      <w:sz w:val="21"/>
                      <w:szCs w:val="21"/>
                      <w:highlight w:val="none"/>
                      <w:u w:val="none" w:color="auto"/>
                      <w:lang w:val="en-US" w:eastAsia="zh-CN"/>
                    </w:rPr>
                    <w:t>西南</w:t>
                  </w:r>
                </w:p>
              </w:tc>
              <w:tc>
                <w:tcPr>
                  <w:tcW w:w="655" w:type="pct"/>
                  <w:tcBorders>
                    <w:tl2br w:val="nil"/>
                    <w:tr2bl w:val="nil"/>
                  </w:tcBorders>
                  <w:vAlign w:val="center"/>
                </w:tcPr>
                <w:p w14:paraId="3EB2C3F8">
                  <w:pPr>
                    <w:spacing w:line="240" w:lineRule="auto"/>
                    <w:ind w:firstLine="0" w:firstLineChars="0"/>
                    <w:jc w:val="center"/>
                    <w:rPr>
                      <w:rFonts w:hint="default" w:cs="Times New Roman"/>
                      <w:b w:val="0"/>
                      <w:bCs w:val="0"/>
                      <w:color w:val="auto"/>
                      <w:sz w:val="21"/>
                      <w:szCs w:val="21"/>
                      <w:highlight w:val="none"/>
                      <w:u w:val="none" w:color="auto"/>
                      <w:lang w:val="en-US" w:eastAsia="zh-CN"/>
                    </w:rPr>
                  </w:pPr>
                  <w:r>
                    <w:rPr>
                      <w:rFonts w:hint="eastAsia" w:cs="Times New Roman"/>
                      <w:b w:val="0"/>
                      <w:bCs w:val="0"/>
                      <w:color w:val="auto"/>
                      <w:sz w:val="21"/>
                      <w:szCs w:val="21"/>
                      <w:highlight w:val="none"/>
                      <w:u w:val="none" w:color="auto"/>
                      <w:lang w:val="en-US" w:eastAsia="zh-CN"/>
                    </w:rPr>
                    <w:t>450~500</w:t>
                  </w:r>
                </w:p>
              </w:tc>
              <w:tc>
                <w:tcPr>
                  <w:tcW w:w="946" w:type="pct"/>
                  <w:vMerge w:val="continue"/>
                  <w:tcBorders>
                    <w:tl2br w:val="nil"/>
                    <w:tr2bl w:val="nil"/>
                  </w:tcBorders>
                  <w:vAlign w:val="center"/>
                </w:tcPr>
                <w:p w14:paraId="765907BC">
                  <w:pPr>
                    <w:spacing w:line="240" w:lineRule="auto"/>
                    <w:ind w:firstLine="0" w:firstLineChars="0"/>
                    <w:jc w:val="center"/>
                    <w:rPr>
                      <w:rFonts w:hint="default" w:ascii="Times New Roman" w:hAnsi="Times New Roman" w:eastAsia="宋体" w:cs="Times New Roman"/>
                      <w:color w:val="auto"/>
                      <w:sz w:val="21"/>
                      <w:szCs w:val="21"/>
                      <w:highlight w:val="none"/>
                      <w:u w:val="none" w:color="auto"/>
                      <w:lang w:bidi="ar"/>
                    </w:rPr>
                  </w:pPr>
                </w:p>
              </w:tc>
            </w:tr>
            <w:tr w14:paraId="359181D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72" w:type="pct"/>
                  <w:vMerge w:val="continue"/>
                  <w:tcBorders>
                    <w:tl2br w:val="nil"/>
                    <w:tr2bl w:val="nil"/>
                  </w:tcBorders>
                  <w:vAlign w:val="center"/>
                </w:tcPr>
                <w:p w14:paraId="7EDF80B5">
                  <w:pPr>
                    <w:spacing w:line="240" w:lineRule="auto"/>
                    <w:ind w:firstLine="0" w:firstLineChars="0"/>
                    <w:jc w:val="center"/>
                    <w:rPr>
                      <w:rFonts w:hint="default" w:ascii="Times New Roman" w:hAnsi="Times New Roman" w:eastAsia="宋体" w:cs="Times New Roman"/>
                      <w:color w:val="auto"/>
                      <w:sz w:val="21"/>
                      <w:szCs w:val="21"/>
                      <w:highlight w:val="none"/>
                      <w:u w:val="none" w:color="auto"/>
                      <w:lang w:bidi="ar"/>
                    </w:rPr>
                  </w:pPr>
                </w:p>
              </w:tc>
              <w:tc>
                <w:tcPr>
                  <w:tcW w:w="643" w:type="pct"/>
                  <w:tcBorders>
                    <w:tl2br w:val="nil"/>
                    <w:tr2bl w:val="nil"/>
                  </w:tcBorders>
                  <w:vAlign w:val="center"/>
                </w:tcPr>
                <w:p w14:paraId="4ADC3E37">
                  <w:pPr>
                    <w:spacing w:line="240" w:lineRule="auto"/>
                    <w:ind w:firstLine="0" w:firstLineChars="0"/>
                    <w:jc w:val="center"/>
                    <w:rPr>
                      <w:rFonts w:hint="default" w:cs="Times New Roman"/>
                      <w:b w:val="0"/>
                      <w:bCs w:val="0"/>
                      <w:color w:val="auto"/>
                      <w:sz w:val="21"/>
                      <w:szCs w:val="21"/>
                      <w:highlight w:val="none"/>
                      <w:u w:val="none" w:color="auto"/>
                      <w:lang w:val="en-US" w:eastAsia="zh-CN"/>
                    </w:rPr>
                  </w:pPr>
                  <w:r>
                    <w:rPr>
                      <w:rFonts w:hint="eastAsia" w:cs="Times New Roman"/>
                      <w:b w:val="0"/>
                      <w:bCs w:val="0"/>
                      <w:color w:val="auto"/>
                      <w:sz w:val="21"/>
                      <w:szCs w:val="21"/>
                      <w:highlight w:val="none"/>
                      <w:u w:val="none" w:color="auto"/>
                      <w:lang w:val="en-US" w:eastAsia="zh-CN"/>
                    </w:rPr>
                    <w:t>古仑村五组</w:t>
                  </w:r>
                </w:p>
              </w:tc>
              <w:tc>
                <w:tcPr>
                  <w:tcW w:w="1033" w:type="pct"/>
                  <w:tcBorders>
                    <w:tl2br w:val="nil"/>
                    <w:tr2bl w:val="nil"/>
                  </w:tcBorders>
                  <w:vAlign w:val="center"/>
                </w:tcPr>
                <w:p w14:paraId="01C89413">
                  <w:pPr>
                    <w:spacing w:line="240" w:lineRule="auto"/>
                    <w:ind w:firstLine="0" w:firstLineChars="0"/>
                    <w:jc w:val="center"/>
                    <w:rPr>
                      <w:rFonts w:hint="default" w:cs="Times New Roman"/>
                      <w:b w:val="0"/>
                      <w:bCs w:val="0"/>
                      <w:color w:val="auto"/>
                      <w:sz w:val="21"/>
                      <w:szCs w:val="21"/>
                      <w:highlight w:val="none"/>
                      <w:u w:val="none" w:color="auto"/>
                      <w:lang w:val="en-US" w:eastAsia="zh-CN"/>
                    </w:rPr>
                  </w:pPr>
                  <w:r>
                    <w:rPr>
                      <w:rFonts w:hint="eastAsia" w:cs="Times New Roman"/>
                      <w:b w:val="0"/>
                      <w:bCs w:val="0"/>
                      <w:color w:val="auto"/>
                      <w:sz w:val="21"/>
                      <w:szCs w:val="21"/>
                      <w:highlight w:val="none"/>
                      <w:u w:val="none" w:color="auto"/>
                      <w:lang w:val="en-US" w:eastAsia="zh-CN"/>
                    </w:rPr>
                    <w:t>113.303296°E，28.919262°N</w:t>
                  </w:r>
                </w:p>
              </w:tc>
              <w:tc>
                <w:tcPr>
                  <w:tcW w:w="861" w:type="pct"/>
                  <w:tcBorders>
                    <w:tl2br w:val="nil"/>
                    <w:tr2bl w:val="nil"/>
                  </w:tcBorders>
                  <w:vAlign w:val="center"/>
                </w:tcPr>
                <w:p w14:paraId="54FEC07E">
                  <w:pPr>
                    <w:spacing w:line="240" w:lineRule="auto"/>
                    <w:ind w:firstLine="0" w:firstLineChars="0"/>
                    <w:jc w:val="center"/>
                    <w:rPr>
                      <w:rFonts w:hint="default" w:cs="Times New Roman"/>
                      <w:b w:val="0"/>
                      <w:bCs w:val="0"/>
                      <w:color w:val="auto"/>
                      <w:sz w:val="21"/>
                      <w:szCs w:val="21"/>
                      <w:highlight w:val="none"/>
                      <w:u w:val="none" w:color="auto"/>
                      <w:lang w:val="en-US" w:eastAsia="zh-CN"/>
                    </w:rPr>
                  </w:pPr>
                  <w:r>
                    <w:rPr>
                      <w:rFonts w:hint="eastAsia" w:cs="Times New Roman"/>
                      <w:b w:val="0"/>
                      <w:bCs w:val="0"/>
                      <w:color w:val="auto"/>
                      <w:sz w:val="21"/>
                      <w:szCs w:val="21"/>
                      <w:highlight w:val="none"/>
                      <w:u w:val="none" w:color="auto"/>
                      <w:lang w:val="en-US" w:eastAsia="zh-CN"/>
                    </w:rPr>
                    <w:t>居民，30户，120人</w:t>
                  </w:r>
                </w:p>
              </w:tc>
              <w:tc>
                <w:tcPr>
                  <w:tcW w:w="487" w:type="pct"/>
                  <w:tcBorders>
                    <w:tl2br w:val="nil"/>
                    <w:tr2bl w:val="nil"/>
                  </w:tcBorders>
                  <w:vAlign w:val="center"/>
                </w:tcPr>
                <w:p w14:paraId="64E0D84F">
                  <w:pPr>
                    <w:spacing w:line="240" w:lineRule="auto"/>
                    <w:ind w:firstLine="0" w:firstLineChars="0"/>
                    <w:jc w:val="center"/>
                    <w:rPr>
                      <w:rFonts w:hint="default" w:cs="Times New Roman"/>
                      <w:b w:val="0"/>
                      <w:bCs w:val="0"/>
                      <w:color w:val="auto"/>
                      <w:sz w:val="21"/>
                      <w:szCs w:val="21"/>
                      <w:highlight w:val="none"/>
                      <w:u w:val="none" w:color="auto"/>
                      <w:lang w:val="en-US" w:eastAsia="zh-CN"/>
                    </w:rPr>
                  </w:pPr>
                  <w:r>
                    <w:rPr>
                      <w:rFonts w:hint="eastAsia" w:cs="Times New Roman"/>
                      <w:b w:val="0"/>
                      <w:bCs w:val="0"/>
                      <w:color w:val="auto"/>
                      <w:sz w:val="21"/>
                      <w:szCs w:val="21"/>
                      <w:highlight w:val="none"/>
                      <w:u w:val="none" w:color="auto"/>
                      <w:lang w:val="en-US" w:eastAsia="zh-CN"/>
                    </w:rPr>
                    <w:t>西南</w:t>
                  </w:r>
                </w:p>
              </w:tc>
              <w:tc>
                <w:tcPr>
                  <w:tcW w:w="655" w:type="pct"/>
                  <w:tcBorders>
                    <w:tl2br w:val="nil"/>
                    <w:tr2bl w:val="nil"/>
                  </w:tcBorders>
                  <w:vAlign w:val="center"/>
                </w:tcPr>
                <w:p w14:paraId="0CDBDC6C">
                  <w:pPr>
                    <w:spacing w:line="240" w:lineRule="auto"/>
                    <w:ind w:firstLine="0" w:firstLineChars="0"/>
                    <w:jc w:val="center"/>
                    <w:rPr>
                      <w:rFonts w:hint="default" w:cs="Times New Roman"/>
                      <w:b w:val="0"/>
                      <w:bCs w:val="0"/>
                      <w:color w:val="auto"/>
                      <w:sz w:val="21"/>
                      <w:szCs w:val="21"/>
                      <w:highlight w:val="none"/>
                      <w:u w:val="none" w:color="auto"/>
                      <w:lang w:val="en-US" w:eastAsia="zh-CN"/>
                    </w:rPr>
                  </w:pPr>
                  <w:r>
                    <w:rPr>
                      <w:rFonts w:hint="eastAsia" w:cs="Times New Roman"/>
                      <w:b w:val="0"/>
                      <w:bCs w:val="0"/>
                      <w:color w:val="auto"/>
                      <w:sz w:val="21"/>
                      <w:szCs w:val="21"/>
                      <w:highlight w:val="none"/>
                      <w:u w:val="none" w:color="auto"/>
                      <w:lang w:val="en-US" w:eastAsia="zh-CN"/>
                    </w:rPr>
                    <w:t>450~500</w:t>
                  </w:r>
                </w:p>
              </w:tc>
              <w:tc>
                <w:tcPr>
                  <w:tcW w:w="946" w:type="pct"/>
                  <w:vMerge w:val="continue"/>
                  <w:tcBorders>
                    <w:tl2br w:val="nil"/>
                    <w:tr2bl w:val="nil"/>
                  </w:tcBorders>
                  <w:vAlign w:val="center"/>
                </w:tcPr>
                <w:p w14:paraId="2096EB3F">
                  <w:pPr>
                    <w:spacing w:line="240" w:lineRule="auto"/>
                    <w:ind w:firstLine="0" w:firstLineChars="0"/>
                    <w:jc w:val="center"/>
                    <w:rPr>
                      <w:rFonts w:hint="default" w:ascii="Times New Roman" w:hAnsi="Times New Roman" w:eastAsia="宋体" w:cs="Times New Roman"/>
                      <w:color w:val="auto"/>
                      <w:sz w:val="21"/>
                      <w:szCs w:val="21"/>
                      <w:highlight w:val="none"/>
                      <w:u w:val="none" w:color="auto"/>
                      <w:lang w:bidi="ar"/>
                    </w:rPr>
                  </w:pPr>
                </w:p>
              </w:tc>
            </w:tr>
            <w:tr w14:paraId="0501DBF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72" w:type="pct"/>
                  <w:tcBorders>
                    <w:tl2br w:val="nil"/>
                    <w:tr2bl w:val="nil"/>
                  </w:tcBorders>
                  <w:vAlign w:val="center"/>
                </w:tcPr>
                <w:p w14:paraId="38169876">
                  <w:pPr>
                    <w:spacing w:line="240" w:lineRule="auto"/>
                    <w:ind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val="en-US" w:eastAsia="zh-CN" w:bidi="ar"/>
                    </w:rPr>
                    <w:t>地表</w:t>
                  </w:r>
                  <w:r>
                    <w:rPr>
                      <w:rFonts w:hint="default" w:ascii="Times New Roman" w:hAnsi="Times New Roman" w:eastAsia="宋体" w:cs="Times New Roman"/>
                      <w:color w:val="auto"/>
                      <w:sz w:val="21"/>
                      <w:szCs w:val="21"/>
                      <w:highlight w:val="none"/>
                      <w:u w:val="none" w:color="auto"/>
                      <w:lang w:bidi="ar"/>
                    </w:rPr>
                    <w:t>水环境</w:t>
                  </w:r>
                </w:p>
              </w:tc>
              <w:tc>
                <w:tcPr>
                  <w:tcW w:w="643" w:type="pct"/>
                  <w:tcBorders>
                    <w:tl2br w:val="nil"/>
                    <w:tr2bl w:val="nil"/>
                  </w:tcBorders>
                  <w:vAlign w:val="center"/>
                </w:tcPr>
                <w:p w14:paraId="3DDC49F3">
                  <w:pPr>
                    <w:pStyle w:val="103"/>
                    <w:rPr>
                      <w:rFonts w:hint="eastAsia" w:ascii="Times New Roman" w:hAnsi="Times New Roman" w:eastAsia="宋体" w:cs="Times New Roman"/>
                      <w:color w:val="auto"/>
                      <w:kern w:val="0"/>
                      <w:sz w:val="21"/>
                      <w:szCs w:val="21"/>
                      <w:highlight w:val="none"/>
                      <w:u w:val="none" w:color="auto"/>
                      <w:lang w:val="en-US" w:eastAsia="zh-CN" w:bidi="ar-SA"/>
                    </w:rPr>
                  </w:pPr>
                  <w:r>
                    <w:rPr>
                      <w:rFonts w:hint="eastAsia" w:cs="Times New Roman"/>
                      <w:color w:val="auto"/>
                      <w:sz w:val="21"/>
                      <w:szCs w:val="21"/>
                      <w:highlight w:val="none"/>
                      <w:u w:val="none" w:color="auto"/>
                      <w:lang w:eastAsia="zh-CN"/>
                    </w:rPr>
                    <w:t>兰家洞主干渠</w:t>
                  </w:r>
                </w:p>
              </w:tc>
              <w:tc>
                <w:tcPr>
                  <w:tcW w:w="1033" w:type="pct"/>
                  <w:tcBorders>
                    <w:tl2br w:val="nil"/>
                    <w:tr2bl w:val="nil"/>
                  </w:tcBorders>
                  <w:vAlign w:val="center"/>
                </w:tcPr>
                <w:p w14:paraId="18A60157">
                  <w:pPr>
                    <w:spacing w:line="240" w:lineRule="auto"/>
                    <w:ind w:firstLine="0" w:firstLineChars="0"/>
                    <w:jc w:val="center"/>
                    <w:rPr>
                      <w:rFonts w:hint="eastAsia"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113.</w:t>
                  </w:r>
                  <w:r>
                    <w:rPr>
                      <w:rFonts w:hint="eastAsia" w:cs="Times New Roman"/>
                      <w:color w:val="auto"/>
                      <w:sz w:val="21"/>
                      <w:szCs w:val="21"/>
                      <w:highlight w:val="none"/>
                      <w:u w:val="none" w:color="auto"/>
                      <w:lang w:val="en-US" w:eastAsia="zh-CN"/>
                    </w:rPr>
                    <w:t>311662</w:t>
                  </w:r>
                  <w:r>
                    <w:rPr>
                      <w:rFonts w:hint="default" w:ascii="Times New Roman" w:hAnsi="Times New Roman" w:eastAsia="宋体" w:cs="Times New Roman"/>
                      <w:color w:val="auto"/>
                      <w:sz w:val="21"/>
                      <w:szCs w:val="21"/>
                      <w:highlight w:val="none"/>
                      <w:u w:val="none" w:color="auto"/>
                    </w:rPr>
                    <w:t>°</w:t>
                  </w:r>
                  <w:r>
                    <w:rPr>
                      <w:rFonts w:hint="eastAsia" w:cs="Times New Roman"/>
                      <w:b w:val="0"/>
                      <w:bCs w:val="0"/>
                      <w:color w:val="auto"/>
                      <w:sz w:val="21"/>
                      <w:szCs w:val="21"/>
                      <w:highlight w:val="none"/>
                      <w:u w:val="none" w:color="auto"/>
                      <w:lang w:val="en-US" w:eastAsia="zh-CN"/>
                    </w:rPr>
                    <w:t>E</w:t>
                  </w:r>
                  <w:r>
                    <w:rPr>
                      <w:rFonts w:hint="default" w:ascii="Times New Roman" w:hAnsi="Times New Roman" w:eastAsia="宋体" w:cs="Times New Roman"/>
                      <w:color w:val="auto"/>
                      <w:sz w:val="21"/>
                      <w:szCs w:val="21"/>
                      <w:highlight w:val="none"/>
                      <w:u w:val="none" w:color="auto"/>
                    </w:rPr>
                    <w:t>，28.</w:t>
                  </w:r>
                  <w:r>
                    <w:rPr>
                      <w:rFonts w:hint="eastAsia" w:cs="Times New Roman"/>
                      <w:color w:val="auto"/>
                      <w:sz w:val="21"/>
                      <w:szCs w:val="21"/>
                      <w:highlight w:val="none"/>
                      <w:u w:val="none" w:color="auto"/>
                      <w:lang w:val="en-US" w:eastAsia="zh-CN"/>
                    </w:rPr>
                    <w:t>922255</w:t>
                  </w:r>
                  <w:r>
                    <w:rPr>
                      <w:rFonts w:hint="default" w:ascii="Times New Roman" w:hAnsi="Times New Roman" w:eastAsia="宋体" w:cs="Times New Roman"/>
                      <w:color w:val="auto"/>
                      <w:sz w:val="21"/>
                      <w:szCs w:val="21"/>
                      <w:highlight w:val="none"/>
                      <w:u w:val="none" w:color="auto"/>
                    </w:rPr>
                    <w:t>°</w:t>
                  </w:r>
                  <w:r>
                    <w:rPr>
                      <w:rFonts w:hint="eastAsia" w:cs="Times New Roman"/>
                      <w:color w:val="auto"/>
                      <w:sz w:val="21"/>
                      <w:szCs w:val="21"/>
                      <w:highlight w:val="none"/>
                      <w:u w:val="none" w:color="auto"/>
                      <w:lang w:val="en-US" w:eastAsia="zh-CN"/>
                    </w:rPr>
                    <w:t>N</w:t>
                  </w:r>
                </w:p>
              </w:tc>
              <w:tc>
                <w:tcPr>
                  <w:tcW w:w="861" w:type="pct"/>
                  <w:tcBorders>
                    <w:tl2br w:val="nil"/>
                    <w:tr2bl w:val="nil"/>
                  </w:tcBorders>
                  <w:vAlign w:val="center"/>
                </w:tcPr>
                <w:p w14:paraId="5D42591F">
                  <w:pPr>
                    <w:pStyle w:val="103"/>
                    <w:rPr>
                      <w:rFonts w:hint="default" w:ascii="Times New Roman" w:hAnsi="Times New Roman" w:eastAsia="宋体" w:cs="Times New Roman"/>
                      <w:color w:val="auto"/>
                      <w:sz w:val="21"/>
                      <w:szCs w:val="21"/>
                      <w:highlight w:val="none"/>
                      <w:u w:val="none" w:color="auto"/>
                    </w:rPr>
                  </w:pPr>
                  <w:r>
                    <w:rPr>
                      <w:rFonts w:hint="eastAsia" w:cs="Times New Roman"/>
                      <w:color w:val="auto"/>
                      <w:sz w:val="21"/>
                      <w:szCs w:val="21"/>
                      <w:highlight w:val="none"/>
                      <w:u w:val="none" w:color="auto"/>
                      <w:lang w:eastAsia="zh-CN"/>
                    </w:rPr>
                    <w:t>农</w:t>
                  </w:r>
                  <w:r>
                    <w:rPr>
                      <w:rFonts w:hint="default" w:ascii="Times New Roman" w:hAnsi="Times New Roman" w:eastAsia="宋体" w:cs="Times New Roman"/>
                      <w:color w:val="auto"/>
                      <w:sz w:val="21"/>
                      <w:szCs w:val="21"/>
                      <w:highlight w:val="none"/>
                      <w:u w:val="none" w:color="auto"/>
                    </w:rPr>
                    <w:t>业用水</w:t>
                  </w:r>
                </w:p>
              </w:tc>
              <w:tc>
                <w:tcPr>
                  <w:tcW w:w="487" w:type="pct"/>
                  <w:tcBorders>
                    <w:tl2br w:val="nil"/>
                    <w:tr2bl w:val="nil"/>
                  </w:tcBorders>
                  <w:vAlign w:val="center"/>
                </w:tcPr>
                <w:p w14:paraId="7B193CD7">
                  <w:pPr>
                    <w:spacing w:line="240" w:lineRule="auto"/>
                    <w:ind w:firstLine="0" w:firstLineChars="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val="en-US" w:eastAsia="zh-CN" w:bidi="ar"/>
                    </w:rPr>
                    <w:t>北</w:t>
                  </w:r>
                  <w:r>
                    <w:rPr>
                      <w:rFonts w:hint="default" w:ascii="Times New Roman" w:hAnsi="Times New Roman" w:eastAsia="宋体" w:cs="Times New Roman"/>
                      <w:color w:val="auto"/>
                      <w:sz w:val="21"/>
                      <w:szCs w:val="21"/>
                      <w:highlight w:val="none"/>
                      <w:u w:val="none" w:color="auto"/>
                      <w:lang w:bidi="ar"/>
                    </w:rPr>
                    <w:t>侧</w:t>
                  </w:r>
                </w:p>
              </w:tc>
              <w:tc>
                <w:tcPr>
                  <w:tcW w:w="655" w:type="pct"/>
                  <w:tcBorders>
                    <w:tl2br w:val="nil"/>
                    <w:tr2bl w:val="nil"/>
                  </w:tcBorders>
                  <w:vAlign w:val="center"/>
                </w:tcPr>
                <w:p w14:paraId="10BC4700">
                  <w:pPr>
                    <w:spacing w:line="240" w:lineRule="auto"/>
                    <w:ind w:firstLine="0" w:firstLineChars="0"/>
                    <w:jc w:val="center"/>
                    <w:rPr>
                      <w:rFonts w:hint="default" w:ascii="Times New Roman" w:hAnsi="Times New Roman" w:eastAsia="宋体" w:cs="Times New Roman"/>
                      <w:color w:val="auto"/>
                      <w:sz w:val="21"/>
                      <w:szCs w:val="21"/>
                      <w:highlight w:val="none"/>
                      <w:u w:val="none" w:color="auto"/>
                    </w:rPr>
                  </w:pPr>
                  <w:r>
                    <w:rPr>
                      <w:rFonts w:hint="eastAsia" w:cs="Times New Roman"/>
                      <w:color w:val="auto"/>
                      <w:sz w:val="21"/>
                      <w:szCs w:val="21"/>
                      <w:highlight w:val="none"/>
                      <w:u w:val="none" w:color="auto"/>
                      <w:lang w:val="en-US" w:eastAsia="zh-CN" w:bidi="ar"/>
                    </w:rPr>
                    <w:t>365</w:t>
                  </w:r>
                  <w:r>
                    <w:rPr>
                      <w:rFonts w:hint="default" w:ascii="Times New Roman" w:hAnsi="Times New Roman" w:eastAsia="宋体" w:cs="Times New Roman"/>
                      <w:color w:val="auto"/>
                      <w:sz w:val="21"/>
                      <w:szCs w:val="21"/>
                      <w:highlight w:val="none"/>
                      <w:u w:val="none" w:color="auto"/>
                      <w:lang w:bidi="ar"/>
                    </w:rPr>
                    <w:t>m</w:t>
                  </w:r>
                </w:p>
              </w:tc>
              <w:tc>
                <w:tcPr>
                  <w:tcW w:w="946" w:type="pct"/>
                  <w:tcBorders>
                    <w:tl2br w:val="nil"/>
                    <w:tr2bl w:val="nil"/>
                  </w:tcBorders>
                  <w:vAlign w:val="center"/>
                </w:tcPr>
                <w:p w14:paraId="05C6C39C">
                  <w:pPr>
                    <w:spacing w:line="240" w:lineRule="auto"/>
                    <w:ind w:firstLine="0" w:firstLineChars="0"/>
                    <w:jc w:val="center"/>
                    <w:rPr>
                      <w:rFonts w:hint="default" w:ascii="Times New Roman" w:hAnsi="Times New Roman" w:eastAsia="宋体" w:cs="Times New Roman"/>
                      <w:color w:val="auto"/>
                      <w:sz w:val="21"/>
                      <w:szCs w:val="21"/>
                      <w:highlight w:val="none"/>
                      <w:u w:val="none" w:color="auto"/>
                      <w:lang w:bidi="ar"/>
                    </w:rPr>
                  </w:pPr>
                  <w:r>
                    <w:rPr>
                      <w:rFonts w:hint="default" w:ascii="Times New Roman" w:hAnsi="Times New Roman" w:eastAsia="宋体" w:cs="Times New Roman"/>
                      <w:color w:val="auto"/>
                      <w:sz w:val="21"/>
                      <w:szCs w:val="21"/>
                      <w:highlight w:val="none"/>
                      <w:u w:val="none" w:color="auto"/>
                      <w:lang w:bidi="ar"/>
                    </w:rPr>
                    <w:t>《地表水环境质量标准》（GB3838-2002）Ⅲ类水质标准</w:t>
                  </w:r>
                </w:p>
              </w:tc>
            </w:tr>
            <w:tr w14:paraId="3E800CA4">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72" w:type="pct"/>
                  <w:tcBorders>
                    <w:tl2br w:val="nil"/>
                    <w:tr2bl w:val="nil"/>
                  </w:tcBorders>
                  <w:vAlign w:val="center"/>
                </w:tcPr>
                <w:p w14:paraId="02244348">
                  <w:pPr>
                    <w:spacing w:line="240" w:lineRule="auto"/>
                    <w:ind w:firstLine="0" w:firstLineChars="0"/>
                    <w:jc w:val="center"/>
                    <w:rPr>
                      <w:rFonts w:hint="default" w:ascii="Times New Roman" w:hAnsi="Times New Roman" w:eastAsia="宋体" w:cs="Times New Roman"/>
                      <w:color w:val="auto"/>
                      <w:sz w:val="21"/>
                      <w:szCs w:val="21"/>
                      <w:highlight w:val="none"/>
                      <w:u w:val="none" w:color="auto"/>
                      <w:lang w:val="en-US" w:eastAsia="zh-CN" w:bidi="ar"/>
                    </w:rPr>
                  </w:pPr>
                  <w:r>
                    <w:rPr>
                      <w:rFonts w:hint="default" w:ascii="Times New Roman" w:hAnsi="Times New Roman" w:eastAsia="宋体" w:cs="Times New Roman"/>
                      <w:color w:val="auto"/>
                      <w:sz w:val="21"/>
                      <w:szCs w:val="21"/>
                      <w:highlight w:val="none"/>
                      <w:u w:val="none" w:color="auto"/>
                      <w:lang w:val="en-US" w:eastAsia="zh-CN" w:bidi="ar"/>
                    </w:rPr>
                    <w:t>地下水环境</w:t>
                  </w:r>
                </w:p>
              </w:tc>
              <w:tc>
                <w:tcPr>
                  <w:tcW w:w="3680" w:type="pct"/>
                  <w:gridSpan w:val="5"/>
                  <w:tcBorders>
                    <w:tl2br w:val="nil"/>
                    <w:tr2bl w:val="nil"/>
                  </w:tcBorders>
                  <w:vAlign w:val="center"/>
                </w:tcPr>
                <w:p w14:paraId="58CC281B">
                  <w:pPr>
                    <w:spacing w:line="240" w:lineRule="auto"/>
                    <w:ind w:firstLine="0" w:firstLineChars="0"/>
                    <w:jc w:val="center"/>
                    <w:rPr>
                      <w:rFonts w:hint="default" w:ascii="Times New Roman" w:hAnsi="Times New Roman" w:eastAsia="宋体" w:cs="Times New Roman"/>
                      <w:color w:val="auto"/>
                      <w:sz w:val="21"/>
                      <w:szCs w:val="21"/>
                      <w:highlight w:val="none"/>
                      <w:u w:val="none" w:color="auto"/>
                      <w:lang w:val="en-US" w:eastAsia="zh-CN" w:bidi="ar"/>
                    </w:rPr>
                  </w:pPr>
                  <w:r>
                    <w:rPr>
                      <w:rFonts w:hint="default" w:ascii="Times New Roman" w:hAnsi="Times New Roman" w:eastAsia="宋体" w:cs="Times New Roman"/>
                      <w:color w:val="auto"/>
                      <w:sz w:val="21"/>
                      <w:szCs w:val="21"/>
                      <w:highlight w:val="none"/>
                      <w:u w:val="none" w:color="auto"/>
                      <w:lang w:val="en-US" w:eastAsia="zh-CN" w:bidi="ar"/>
                    </w:rPr>
                    <w:t>本项目厂界外500m范围内无地下水集中式饮用水水源和热水、矿泉水、温泉等特殊地下水资源。</w:t>
                  </w:r>
                </w:p>
              </w:tc>
              <w:tc>
                <w:tcPr>
                  <w:tcW w:w="946" w:type="pct"/>
                  <w:tcBorders>
                    <w:tl2br w:val="nil"/>
                    <w:tr2bl w:val="nil"/>
                  </w:tcBorders>
                  <w:vAlign w:val="center"/>
                </w:tcPr>
                <w:p w14:paraId="3E2F743B">
                  <w:pPr>
                    <w:spacing w:line="240" w:lineRule="auto"/>
                    <w:ind w:firstLine="0" w:firstLineChars="0"/>
                    <w:jc w:val="center"/>
                    <w:rPr>
                      <w:rFonts w:hint="default" w:ascii="Times New Roman" w:hAnsi="Times New Roman" w:eastAsia="宋体" w:cs="Times New Roman"/>
                      <w:color w:val="auto"/>
                      <w:sz w:val="21"/>
                      <w:szCs w:val="21"/>
                      <w:highlight w:val="none"/>
                      <w:u w:val="none" w:color="auto"/>
                      <w:lang w:bidi="ar"/>
                    </w:rPr>
                  </w:pPr>
                  <w:r>
                    <w:rPr>
                      <w:rFonts w:hint="default" w:ascii="Times New Roman" w:hAnsi="Times New Roman" w:eastAsia="宋体" w:cs="Times New Roman"/>
                      <w:color w:val="auto"/>
                      <w:sz w:val="21"/>
                      <w:szCs w:val="21"/>
                      <w:highlight w:val="none"/>
                      <w:u w:val="none" w:color="auto"/>
                      <w:lang w:val="en-US" w:bidi="ar"/>
                    </w:rPr>
                    <w:t>《地下水质量标准》（GB/T14848-2017）中Ⅲ类标准要求</w:t>
                  </w:r>
                </w:p>
              </w:tc>
            </w:tr>
            <w:tr w14:paraId="00CD499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108" w:type="dxa"/>
                  <w:bottom w:w="0" w:type="dxa"/>
                  <w:right w:w="108" w:type="dxa"/>
                </w:tblCellMar>
              </w:tblPrEx>
              <w:trPr>
                <w:trHeight w:val="397" w:hRule="atLeast"/>
                <w:jc w:val="center"/>
              </w:trPr>
              <w:tc>
                <w:tcPr>
                  <w:tcW w:w="372" w:type="pct"/>
                  <w:tcBorders>
                    <w:tl2br w:val="nil"/>
                    <w:tr2bl w:val="nil"/>
                  </w:tcBorders>
                  <w:vAlign w:val="center"/>
                </w:tcPr>
                <w:p w14:paraId="61CACB61">
                  <w:pPr>
                    <w:spacing w:line="240" w:lineRule="auto"/>
                    <w:ind w:firstLine="0" w:firstLineChars="0"/>
                    <w:jc w:val="center"/>
                    <w:rPr>
                      <w:rFonts w:hint="default" w:ascii="Times New Roman" w:hAnsi="Times New Roman" w:eastAsia="宋体" w:cs="Times New Roman"/>
                      <w:color w:val="auto"/>
                      <w:sz w:val="21"/>
                      <w:szCs w:val="21"/>
                      <w:highlight w:val="none"/>
                      <w:u w:val="none" w:color="auto"/>
                      <w:lang w:val="en-US" w:eastAsia="zh-CN" w:bidi="ar"/>
                    </w:rPr>
                  </w:pPr>
                  <w:r>
                    <w:rPr>
                      <w:rFonts w:hint="default" w:ascii="Times New Roman" w:hAnsi="Times New Roman" w:eastAsia="宋体" w:cs="Times New Roman"/>
                      <w:color w:val="auto"/>
                      <w:sz w:val="21"/>
                      <w:szCs w:val="21"/>
                      <w:highlight w:val="none"/>
                      <w:u w:val="none" w:color="auto"/>
                      <w:lang w:val="en-US" w:eastAsia="zh-CN" w:bidi="ar"/>
                    </w:rPr>
                    <w:t>生态环境</w:t>
                  </w:r>
                </w:p>
              </w:tc>
              <w:tc>
                <w:tcPr>
                  <w:tcW w:w="4627" w:type="pct"/>
                  <w:gridSpan w:val="6"/>
                  <w:tcBorders>
                    <w:tl2br w:val="nil"/>
                    <w:tr2bl w:val="nil"/>
                  </w:tcBorders>
                  <w:vAlign w:val="center"/>
                </w:tcPr>
                <w:p w14:paraId="5E109DD0">
                  <w:pPr>
                    <w:spacing w:line="240" w:lineRule="auto"/>
                    <w:ind w:firstLine="0" w:firstLineChars="0"/>
                    <w:jc w:val="center"/>
                    <w:rPr>
                      <w:rFonts w:hint="default" w:ascii="Times New Roman" w:hAnsi="Times New Roman" w:eastAsia="宋体" w:cs="Times New Roman"/>
                      <w:color w:val="auto"/>
                      <w:sz w:val="21"/>
                      <w:szCs w:val="21"/>
                      <w:highlight w:val="none"/>
                      <w:u w:val="none" w:color="auto"/>
                      <w:lang w:val="en-US" w:bidi="ar"/>
                    </w:rPr>
                  </w:pPr>
                  <w:r>
                    <w:rPr>
                      <w:rFonts w:hint="default" w:ascii="Times New Roman" w:hAnsi="Times New Roman" w:eastAsia="宋体" w:cs="Times New Roman"/>
                      <w:color w:val="auto"/>
                      <w:sz w:val="21"/>
                      <w:szCs w:val="21"/>
                      <w:highlight w:val="none"/>
                      <w:u w:val="none" w:color="auto"/>
                      <w:lang w:val="en-US" w:eastAsia="zh-CN" w:bidi="ar"/>
                    </w:rPr>
                    <w:t>项目周边300m范围内无自然保护区、国家公园、风景名胜区、湿地公园、森林公园等特殊及重要生态保护目标。</w:t>
                  </w:r>
                </w:p>
              </w:tc>
            </w:tr>
          </w:tbl>
          <w:p w14:paraId="5BF0F992">
            <w:pPr>
              <w:spacing w:before="120" w:beforeLines="50"/>
              <w:jc w:val="center"/>
              <w:rPr>
                <w:rFonts w:hint="default" w:ascii="Times New Roman" w:hAnsi="Times New Roman" w:eastAsia="宋体" w:cs="Times New Roman"/>
                <w:b/>
                <w:color w:val="auto"/>
                <w:sz w:val="21"/>
                <w:szCs w:val="21"/>
                <w:highlight w:val="none"/>
                <w:u w:val="none" w:color="auto"/>
              </w:rPr>
            </w:pPr>
          </w:p>
          <w:p w14:paraId="3718111D">
            <w:pPr>
              <w:spacing w:line="500" w:lineRule="exact"/>
              <w:ind w:firstLine="480" w:firstLineChars="200"/>
              <w:rPr>
                <w:rFonts w:hint="default" w:ascii="Times New Roman" w:hAnsi="Times New Roman" w:eastAsia="宋体" w:cs="Times New Roman"/>
                <w:color w:val="auto"/>
                <w:kern w:val="0"/>
                <w:highlight w:val="none"/>
                <w:u w:val="none" w:color="auto"/>
              </w:rPr>
            </w:pPr>
          </w:p>
        </w:tc>
      </w:tr>
      <w:tr w14:paraId="0C7372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tcMar>
              <w:left w:w="28" w:type="dxa"/>
              <w:right w:w="28" w:type="dxa"/>
            </w:tcMar>
            <w:vAlign w:val="center"/>
          </w:tcPr>
          <w:p w14:paraId="1305017E">
            <w:pPr>
              <w:adjustRightInd w:val="0"/>
              <w:snapToGrid w:val="0"/>
              <w:jc w:val="center"/>
              <w:rPr>
                <w:rFonts w:hint="default" w:ascii="Times New Roman" w:hAnsi="Times New Roman" w:eastAsia="宋体" w:cs="Times New Roman"/>
                <w:color w:val="auto"/>
                <w:kern w:val="0"/>
                <w:szCs w:val="21"/>
                <w:highlight w:val="none"/>
                <w:u w:val="none" w:color="auto"/>
              </w:rPr>
            </w:pPr>
            <w:r>
              <w:rPr>
                <w:rFonts w:hint="default" w:ascii="Times New Roman" w:hAnsi="Times New Roman" w:eastAsia="宋体" w:cs="Times New Roman"/>
                <w:color w:val="auto"/>
                <w:kern w:val="0"/>
                <w:szCs w:val="21"/>
                <w:highlight w:val="none"/>
                <w:u w:val="none" w:color="auto"/>
              </w:rPr>
              <w:t>污染</w:t>
            </w:r>
          </w:p>
          <w:p w14:paraId="66619C2E">
            <w:pPr>
              <w:adjustRightInd w:val="0"/>
              <w:snapToGrid w:val="0"/>
              <w:jc w:val="center"/>
              <w:rPr>
                <w:rFonts w:hint="default" w:ascii="Times New Roman" w:hAnsi="Times New Roman" w:eastAsia="宋体" w:cs="Times New Roman"/>
                <w:color w:val="auto"/>
                <w:kern w:val="0"/>
                <w:szCs w:val="21"/>
                <w:highlight w:val="none"/>
                <w:u w:val="none" w:color="auto"/>
              </w:rPr>
            </w:pPr>
            <w:r>
              <w:rPr>
                <w:rFonts w:hint="default" w:ascii="Times New Roman" w:hAnsi="Times New Roman" w:eastAsia="宋体" w:cs="Times New Roman"/>
                <w:color w:val="auto"/>
                <w:kern w:val="0"/>
                <w:szCs w:val="21"/>
                <w:highlight w:val="none"/>
                <w:u w:val="none" w:color="auto"/>
              </w:rPr>
              <w:t>物排</w:t>
            </w:r>
          </w:p>
          <w:p w14:paraId="29975FB8">
            <w:pPr>
              <w:adjustRightInd w:val="0"/>
              <w:snapToGrid w:val="0"/>
              <w:jc w:val="center"/>
              <w:rPr>
                <w:rFonts w:hint="default" w:ascii="Times New Roman" w:hAnsi="Times New Roman" w:eastAsia="宋体" w:cs="Times New Roman"/>
                <w:color w:val="auto"/>
                <w:kern w:val="0"/>
                <w:szCs w:val="21"/>
                <w:highlight w:val="none"/>
                <w:u w:val="none" w:color="auto"/>
              </w:rPr>
            </w:pPr>
            <w:r>
              <w:rPr>
                <w:rFonts w:hint="default" w:ascii="Times New Roman" w:hAnsi="Times New Roman" w:eastAsia="宋体" w:cs="Times New Roman"/>
                <w:color w:val="auto"/>
                <w:kern w:val="0"/>
                <w:szCs w:val="21"/>
                <w:highlight w:val="none"/>
                <w:u w:val="none" w:color="auto"/>
              </w:rPr>
              <w:t>放控</w:t>
            </w:r>
          </w:p>
          <w:p w14:paraId="6E2162C8">
            <w:pPr>
              <w:adjustRightInd w:val="0"/>
              <w:snapToGrid w:val="0"/>
              <w:jc w:val="center"/>
              <w:rPr>
                <w:rFonts w:hint="default" w:ascii="Times New Roman" w:hAnsi="Times New Roman" w:eastAsia="宋体" w:cs="Times New Roman"/>
                <w:color w:val="auto"/>
                <w:kern w:val="0"/>
                <w:szCs w:val="21"/>
                <w:highlight w:val="none"/>
                <w:u w:val="none" w:color="auto"/>
              </w:rPr>
            </w:pPr>
            <w:r>
              <w:rPr>
                <w:rFonts w:hint="default" w:ascii="Times New Roman" w:hAnsi="Times New Roman" w:eastAsia="宋体" w:cs="Times New Roman"/>
                <w:color w:val="auto"/>
                <w:kern w:val="0"/>
                <w:szCs w:val="21"/>
                <w:highlight w:val="none"/>
                <w:u w:val="none" w:color="auto"/>
              </w:rPr>
              <w:t>制标</w:t>
            </w:r>
          </w:p>
          <w:p w14:paraId="651D583B">
            <w:pPr>
              <w:adjustRightInd w:val="0"/>
              <w:snapToGrid w:val="0"/>
              <w:jc w:val="center"/>
              <w:rPr>
                <w:rFonts w:hint="default" w:ascii="Times New Roman" w:hAnsi="Times New Roman" w:eastAsia="宋体" w:cs="Times New Roman"/>
                <w:color w:val="auto"/>
                <w:kern w:val="0"/>
                <w:szCs w:val="21"/>
                <w:highlight w:val="none"/>
                <w:u w:val="none" w:color="auto"/>
              </w:rPr>
            </w:pPr>
            <w:r>
              <w:rPr>
                <w:rFonts w:hint="default" w:ascii="Times New Roman" w:hAnsi="Times New Roman" w:eastAsia="宋体" w:cs="Times New Roman"/>
                <w:color w:val="auto"/>
                <w:kern w:val="0"/>
                <w:szCs w:val="21"/>
                <w:highlight w:val="none"/>
                <w:u w:val="none" w:color="auto"/>
              </w:rPr>
              <w:t>准</w:t>
            </w:r>
          </w:p>
        </w:tc>
        <w:tc>
          <w:tcPr>
            <w:tcW w:w="4555" w:type="pct"/>
          </w:tcPr>
          <w:p w14:paraId="3853A33D">
            <w:pPr>
              <w:spacing w:line="500" w:lineRule="exact"/>
              <w:ind w:firstLine="482" w:firstLineChars="200"/>
              <w:jc w:val="left"/>
              <w:rPr>
                <w:rStyle w:val="70"/>
                <w:rFonts w:hint="default" w:ascii="Times New Roman" w:hAnsi="Times New Roman" w:eastAsia="宋体" w:cs="Times New Roman"/>
                <w:bCs w:val="0"/>
                <w:color w:val="auto"/>
                <w:sz w:val="24"/>
                <w:szCs w:val="24"/>
                <w:highlight w:val="none"/>
                <w:u w:val="none" w:color="auto"/>
              </w:rPr>
            </w:pPr>
            <w:r>
              <w:rPr>
                <w:rStyle w:val="70"/>
                <w:rFonts w:hint="default" w:ascii="Times New Roman" w:hAnsi="Times New Roman" w:eastAsia="宋体" w:cs="Times New Roman"/>
                <w:bCs w:val="0"/>
                <w:color w:val="auto"/>
                <w:sz w:val="24"/>
                <w:szCs w:val="24"/>
                <w:highlight w:val="none"/>
                <w:u w:val="none" w:color="auto"/>
              </w:rPr>
              <w:t>一、大气污染物排放标准</w:t>
            </w:r>
          </w:p>
          <w:p w14:paraId="50DAE72E">
            <w:pPr>
              <w:spacing w:line="500" w:lineRule="exact"/>
              <w:ind w:firstLine="480" w:firstLineChars="200"/>
              <w:rPr>
                <w:rFonts w:hint="default" w:ascii="Times New Roman" w:hAnsi="Times New Roman" w:eastAsia="宋体" w:cs="Times New Roman"/>
                <w:color w:val="auto"/>
                <w:highlight w:val="none"/>
                <w:u w:val="none" w:color="auto"/>
                <w:lang w:val="en-US" w:eastAsia="zh-CN"/>
              </w:rPr>
            </w:pPr>
            <w:r>
              <w:rPr>
                <w:rFonts w:hint="eastAsia" w:cs="Times New Roman"/>
                <w:color w:val="auto"/>
                <w:highlight w:val="none"/>
                <w:u w:val="none" w:color="auto"/>
                <w:lang w:val="en-US" w:eastAsia="zh-CN"/>
              </w:rPr>
              <w:t>根据《锅炉大气污染物排放标准》（GB13271-2014），生物质锅炉参照燃煤锅炉排放控制要求。本项目蒸汽发生器燃烧废气执行《锅炉大气污染物排放标准》（GB13271-2014）表3燃煤锅炉特别排放限值。油烟执行《饮食业油烟排放标准》（GB18483-2001）。厂区异味执行《恶臭污染物排放标准》（GB14554-93）中表1新改扩建二级标准要求。无组织排放的颗粒物执行《大气污染物综合排放标准》（GB16297-1996）表2无组织排放监控浓度限值。</w:t>
            </w:r>
          </w:p>
          <w:p w14:paraId="6609E959">
            <w:pPr>
              <w:keepNext w:val="0"/>
              <w:keepLines w:val="0"/>
              <w:pageBreakBefore w:val="0"/>
              <w:widowControl w:val="0"/>
              <w:kinsoku/>
              <w:wordWrap/>
              <w:overflowPunct/>
              <w:topLinePunct w:val="0"/>
              <w:autoSpaceDE/>
              <w:autoSpaceDN/>
              <w:bidi w:val="0"/>
              <w:adjustRightInd/>
              <w:snapToGrid/>
              <w:spacing w:line="500" w:lineRule="exact"/>
              <w:ind w:firstLine="0" w:firstLineChars="0"/>
              <w:jc w:val="center"/>
              <w:textAlignment w:val="auto"/>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b/>
                <w:color w:val="auto"/>
                <w:sz w:val="21"/>
                <w:szCs w:val="21"/>
                <w:highlight w:val="none"/>
                <w:u w:val="none" w:color="auto"/>
              </w:rPr>
              <w:t>表3-</w:t>
            </w:r>
            <w:r>
              <w:rPr>
                <w:rFonts w:hint="eastAsia" w:cs="Times New Roman"/>
                <w:b/>
                <w:color w:val="auto"/>
                <w:sz w:val="21"/>
                <w:szCs w:val="21"/>
                <w:highlight w:val="none"/>
                <w:u w:val="none" w:color="auto"/>
                <w:lang w:val="en-US" w:eastAsia="zh-CN"/>
              </w:rPr>
              <w:t>10</w:t>
            </w:r>
            <w:r>
              <w:rPr>
                <w:rFonts w:hint="default" w:ascii="Times New Roman" w:hAnsi="Times New Roman" w:eastAsia="宋体" w:cs="Times New Roman"/>
                <w:b/>
                <w:color w:val="auto"/>
                <w:sz w:val="21"/>
                <w:szCs w:val="21"/>
                <w:highlight w:val="none"/>
                <w:u w:val="none" w:color="auto"/>
              </w:rPr>
              <w:t xml:space="preserve"> </w:t>
            </w:r>
            <w:r>
              <w:rPr>
                <w:rFonts w:hint="eastAsia" w:cs="Times New Roman"/>
                <w:b/>
                <w:color w:val="auto"/>
                <w:sz w:val="21"/>
                <w:szCs w:val="21"/>
                <w:highlight w:val="none"/>
                <w:u w:val="none" w:color="auto"/>
                <w:lang w:val="en-US" w:eastAsia="zh-CN"/>
              </w:rPr>
              <w:t>锅炉大气污染物排放标准</w:t>
            </w:r>
          </w:p>
          <w:tbl>
            <w:tblPr>
              <w:tblStyle w:val="43"/>
              <w:tblW w:w="808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939"/>
              <w:gridCol w:w="2310"/>
              <w:gridCol w:w="2835"/>
            </w:tblGrid>
            <w:tr w14:paraId="587789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9" w:type="dxa"/>
                  <w:tcBorders>
                    <w:top w:val="single" w:color="auto" w:sz="12" w:space="0"/>
                  </w:tcBorders>
                  <w:vAlign w:val="center"/>
                </w:tcPr>
                <w:p w14:paraId="5468807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cs="Times New Roman"/>
                      <w:color w:val="auto"/>
                      <w:sz w:val="21"/>
                      <w:szCs w:val="21"/>
                      <w:highlight w:val="none"/>
                      <w:u w:val="none" w:color="auto"/>
                      <w:vertAlign w:val="baseline"/>
                      <w:lang w:val="en-US" w:eastAsia="zh-CN"/>
                    </w:rPr>
                    <w:t>污染物种类</w:t>
                  </w:r>
                </w:p>
              </w:tc>
              <w:tc>
                <w:tcPr>
                  <w:tcW w:w="2310" w:type="dxa"/>
                  <w:tcBorders>
                    <w:top w:val="single" w:color="auto" w:sz="12" w:space="0"/>
                  </w:tcBorders>
                  <w:vAlign w:val="center"/>
                </w:tcPr>
                <w:p w14:paraId="6EBBA3E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cs="Times New Roman"/>
                      <w:color w:val="auto"/>
                      <w:sz w:val="21"/>
                      <w:szCs w:val="21"/>
                      <w:highlight w:val="none"/>
                      <w:u w:val="none" w:color="auto"/>
                      <w:vertAlign w:val="baseline"/>
                      <w:lang w:val="en-US" w:eastAsia="zh-CN"/>
                    </w:rPr>
                    <w:t>浓度限值</w:t>
                  </w:r>
                </w:p>
              </w:tc>
              <w:tc>
                <w:tcPr>
                  <w:tcW w:w="2835" w:type="dxa"/>
                  <w:tcBorders>
                    <w:top w:val="single" w:color="auto" w:sz="12" w:space="0"/>
                    <w:right w:val="single" w:color="auto" w:sz="12" w:space="0"/>
                  </w:tcBorders>
                  <w:vAlign w:val="center"/>
                </w:tcPr>
                <w:p w14:paraId="4B68E25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cs="Times New Roman"/>
                      <w:color w:val="auto"/>
                      <w:sz w:val="21"/>
                      <w:szCs w:val="21"/>
                      <w:highlight w:val="none"/>
                      <w:u w:val="none" w:color="auto"/>
                      <w:vertAlign w:val="baseline"/>
                      <w:lang w:val="en-US" w:eastAsia="zh-CN"/>
                    </w:rPr>
                    <w:t>单位</w:t>
                  </w:r>
                </w:p>
              </w:tc>
            </w:tr>
            <w:tr w14:paraId="5D271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9" w:type="dxa"/>
                  <w:tcBorders>
                    <w:left w:val="single" w:color="auto" w:sz="4" w:space="0"/>
                  </w:tcBorders>
                  <w:vAlign w:val="center"/>
                </w:tcPr>
                <w:p w14:paraId="14A8DA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cs="Times New Roman"/>
                      <w:color w:val="auto"/>
                      <w:sz w:val="21"/>
                      <w:szCs w:val="21"/>
                      <w:highlight w:val="none"/>
                      <w:u w:val="none" w:color="auto"/>
                      <w:vertAlign w:val="baseline"/>
                      <w:lang w:val="en-US" w:eastAsia="zh-CN"/>
                    </w:rPr>
                    <w:t>颗粒物</w:t>
                  </w:r>
                </w:p>
              </w:tc>
              <w:tc>
                <w:tcPr>
                  <w:tcW w:w="2310" w:type="dxa"/>
                  <w:vAlign w:val="center"/>
                </w:tcPr>
                <w:p w14:paraId="0E47ED6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cs="Times New Roman"/>
                      <w:color w:val="auto"/>
                      <w:sz w:val="21"/>
                      <w:szCs w:val="21"/>
                      <w:highlight w:val="none"/>
                      <w:u w:val="none" w:color="auto"/>
                      <w:vertAlign w:val="baseline"/>
                      <w:lang w:val="en-US" w:eastAsia="zh-CN"/>
                    </w:rPr>
                    <w:t>30</w:t>
                  </w:r>
                </w:p>
              </w:tc>
              <w:tc>
                <w:tcPr>
                  <w:tcW w:w="2835" w:type="dxa"/>
                  <w:vMerge w:val="restart"/>
                  <w:tcBorders>
                    <w:right w:val="single" w:color="auto" w:sz="12" w:space="0"/>
                  </w:tcBorders>
                  <w:vAlign w:val="center"/>
                </w:tcPr>
                <w:p w14:paraId="0B22BE2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cs="Times New Roman"/>
                      <w:color w:val="auto"/>
                      <w:sz w:val="21"/>
                      <w:szCs w:val="21"/>
                      <w:highlight w:val="none"/>
                      <w:u w:val="none" w:color="auto"/>
                      <w:vertAlign w:val="baseline"/>
                      <w:lang w:val="en-US" w:eastAsia="zh-CN"/>
                    </w:rPr>
                    <w:t>mg/m</w:t>
                  </w:r>
                  <w:r>
                    <w:rPr>
                      <w:rFonts w:hint="eastAsia" w:cs="Times New Roman"/>
                      <w:color w:val="auto"/>
                      <w:sz w:val="21"/>
                      <w:szCs w:val="21"/>
                      <w:highlight w:val="none"/>
                      <w:u w:val="none" w:color="auto"/>
                      <w:vertAlign w:val="superscript"/>
                      <w:lang w:val="en-US" w:eastAsia="zh-CN"/>
                    </w:rPr>
                    <w:t>3</w:t>
                  </w:r>
                </w:p>
              </w:tc>
            </w:tr>
            <w:tr w14:paraId="27BBE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9" w:type="dxa"/>
                  <w:tcBorders>
                    <w:left w:val="single" w:color="auto" w:sz="4" w:space="0"/>
                  </w:tcBorders>
                  <w:vAlign w:val="center"/>
                </w:tcPr>
                <w:p w14:paraId="554860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cs="Times New Roman"/>
                      <w:color w:val="auto"/>
                      <w:sz w:val="21"/>
                      <w:szCs w:val="21"/>
                      <w:highlight w:val="none"/>
                      <w:u w:val="none" w:color="auto"/>
                      <w:vertAlign w:val="baseline"/>
                      <w:lang w:val="en-US" w:eastAsia="zh-CN"/>
                    </w:rPr>
                    <w:t>SO</w:t>
                  </w:r>
                  <w:r>
                    <w:rPr>
                      <w:rFonts w:hint="eastAsia" w:cs="Times New Roman"/>
                      <w:color w:val="auto"/>
                      <w:sz w:val="21"/>
                      <w:szCs w:val="21"/>
                      <w:highlight w:val="none"/>
                      <w:u w:val="none" w:color="auto"/>
                      <w:vertAlign w:val="subscript"/>
                      <w:lang w:val="en-US" w:eastAsia="zh-CN"/>
                    </w:rPr>
                    <w:t>2</w:t>
                  </w:r>
                </w:p>
              </w:tc>
              <w:tc>
                <w:tcPr>
                  <w:tcW w:w="2310" w:type="dxa"/>
                  <w:vAlign w:val="center"/>
                </w:tcPr>
                <w:p w14:paraId="35E04E3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cs="Times New Roman"/>
                      <w:color w:val="auto"/>
                      <w:sz w:val="21"/>
                      <w:szCs w:val="21"/>
                      <w:highlight w:val="none"/>
                      <w:u w:val="none" w:color="auto"/>
                      <w:vertAlign w:val="baseline"/>
                      <w:lang w:val="en-US" w:eastAsia="zh-CN"/>
                    </w:rPr>
                    <w:t>200</w:t>
                  </w:r>
                </w:p>
              </w:tc>
              <w:tc>
                <w:tcPr>
                  <w:tcW w:w="2835" w:type="dxa"/>
                  <w:vMerge w:val="continue"/>
                  <w:tcBorders>
                    <w:right w:val="single" w:color="auto" w:sz="12" w:space="0"/>
                  </w:tcBorders>
                  <w:vAlign w:val="center"/>
                </w:tcPr>
                <w:p w14:paraId="2B32D74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r>
            <w:tr w14:paraId="14C3C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9" w:type="dxa"/>
                  <w:tcBorders>
                    <w:left w:val="single" w:color="auto" w:sz="4" w:space="0"/>
                  </w:tcBorders>
                  <w:vAlign w:val="center"/>
                </w:tcPr>
                <w:p w14:paraId="49241D5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cs="Times New Roman"/>
                      <w:color w:val="auto"/>
                      <w:sz w:val="21"/>
                      <w:szCs w:val="21"/>
                      <w:highlight w:val="none"/>
                      <w:u w:val="none" w:color="auto"/>
                      <w:vertAlign w:val="baseline"/>
                      <w:lang w:val="en-US" w:eastAsia="zh-CN"/>
                    </w:rPr>
                    <w:t>NO</w:t>
                  </w:r>
                  <w:r>
                    <w:rPr>
                      <w:rFonts w:hint="eastAsia" w:cs="Times New Roman"/>
                      <w:color w:val="auto"/>
                      <w:sz w:val="21"/>
                      <w:szCs w:val="21"/>
                      <w:highlight w:val="none"/>
                      <w:u w:val="none" w:color="auto"/>
                      <w:vertAlign w:val="subscript"/>
                      <w:lang w:val="en-US" w:eastAsia="zh-CN"/>
                    </w:rPr>
                    <w:t>x</w:t>
                  </w:r>
                </w:p>
              </w:tc>
              <w:tc>
                <w:tcPr>
                  <w:tcW w:w="2310" w:type="dxa"/>
                  <w:vAlign w:val="center"/>
                </w:tcPr>
                <w:p w14:paraId="342F38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cs="Times New Roman"/>
                      <w:color w:val="auto"/>
                      <w:sz w:val="21"/>
                      <w:szCs w:val="21"/>
                      <w:highlight w:val="none"/>
                      <w:u w:val="none" w:color="auto"/>
                      <w:vertAlign w:val="baseline"/>
                      <w:lang w:val="en-US" w:eastAsia="zh-CN"/>
                    </w:rPr>
                    <w:t>200</w:t>
                  </w:r>
                </w:p>
              </w:tc>
              <w:tc>
                <w:tcPr>
                  <w:tcW w:w="2835" w:type="dxa"/>
                  <w:vMerge w:val="continue"/>
                  <w:tcBorders>
                    <w:right w:val="single" w:color="auto" w:sz="12" w:space="0"/>
                  </w:tcBorders>
                  <w:vAlign w:val="center"/>
                </w:tcPr>
                <w:p w14:paraId="031FE60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r>
            <w:tr w14:paraId="4238C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39" w:type="dxa"/>
                  <w:tcBorders>
                    <w:left w:val="single" w:color="auto" w:sz="4" w:space="0"/>
                    <w:bottom w:val="single" w:color="auto" w:sz="12" w:space="0"/>
                  </w:tcBorders>
                  <w:vAlign w:val="center"/>
                </w:tcPr>
                <w:p w14:paraId="580950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highlight w:val="none"/>
                      <w:u w:val="none" w:color="auto"/>
                      <w:vertAlign w:val="baseline"/>
                      <w:lang w:val="en-US" w:eastAsia="zh-CN"/>
                    </w:rPr>
                  </w:pPr>
                  <w:r>
                    <w:rPr>
                      <w:rFonts w:hint="eastAsia" w:cs="Times New Roman"/>
                      <w:color w:val="auto"/>
                      <w:sz w:val="21"/>
                      <w:szCs w:val="21"/>
                      <w:highlight w:val="none"/>
                      <w:u w:val="none" w:color="auto"/>
                      <w:vertAlign w:val="baseline"/>
                      <w:lang w:val="en-US" w:eastAsia="zh-CN"/>
                    </w:rPr>
                    <w:t>烟气黑度（林格曼黑度，级）</w:t>
                  </w:r>
                </w:p>
              </w:tc>
              <w:tc>
                <w:tcPr>
                  <w:tcW w:w="2310" w:type="dxa"/>
                  <w:tcBorders>
                    <w:bottom w:val="single" w:color="auto" w:sz="12" w:space="0"/>
                  </w:tcBorders>
                  <w:vAlign w:val="center"/>
                </w:tcPr>
                <w:p w14:paraId="6351612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highlight w:val="none"/>
                      <w:u w:val="none" w:color="auto"/>
                      <w:vertAlign w:val="baseline"/>
                      <w:lang w:val="en-US" w:eastAsia="zh-CN"/>
                    </w:rPr>
                  </w:pPr>
                  <w:r>
                    <w:rPr>
                      <w:rFonts w:hint="eastAsia" w:cs="Times New Roman"/>
                      <w:color w:val="auto"/>
                      <w:sz w:val="21"/>
                      <w:szCs w:val="21"/>
                      <w:highlight w:val="none"/>
                      <w:u w:val="none" w:color="auto"/>
                      <w:vertAlign w:val="baseline"/>
                      <w:lang w:val="en-US" w:eastAsia="zh-CN"/>
                    </w:rPr>
                    <w:t>≤1</w:t>
                  </w:r>
                </w:p>
              </w:tc>
              <w:tc>
                <w:tcPr>
                  <w:tcW w:w="2835" w:type="dxa"/>
                  <w:tcBorders>
                    <w:bottom w:val="single" w:color="auto" w:sz="12" w:space="0"/>
                    <w:right w:val="single" w:color="auto" w:sz="12" w:space="0"/>
                  </w:tcBorders>
                  <w:vAlign w:val="center"/>
                </w:tcPr>
                <w:p w14:paraId="01F4F1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cs="Times New Roman"/>
                      <w:color w:val="auto"/>
                      <w:sz w:val="21"/>
                      <w:szCs w:val="21"/>
                      <w:highlight w:val="none"/>
                      <w:u w:val="none" w:color="auto"/>
                      <w:vertAlign w:val="baseline"/>
                      <w:lang w:val="en-US" w:eastAsia="zh-CN"/>
                    </w:rPr>
                    <w:t>/</w:t>
                  </w:r>
                </w:p>
              </w:tc>
            </w:tr>
          </w:tbl>
          <w:p w14:paraId="4DD1C2BB">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b/>
                <w:color w:val="auto"/>
                <w:sz w:val="21"/>
                <w:szCs w:val="21"/>
                <w:highlight w:val="none"/>
                <w:u w:val="none" w:color="auto"/>
              </w:rPr>
              <w:t>表3-</w:t>
            </w:r>
            <w:r>
              <w:rPr>
                <w:rFonts w:hint="eastAsia" w:cs="Times New Roman"/>
                <w:b/>
                <w:color w:val="auto"/>
                <w:sz w:val="21"/>
                <w:szCs w:val="21"/>
                <w:highlight w:val="none"/>
                <w:u w:val="none" w:color="auto"/>
                <w:lang w:val="en-US" w:eastAsia="zh-CN"/>
              </w:rPr>
              <w:t xml:space="preserve">11 </w:t>
            </w:r>
            <w:r>
              <w:rPr>
                <w:rFonts w:hint="default" w:ascii="Times New Roman" w:hAnsi="Times New Roman" w:eastAsia="宋体" w:cs="Times New Roman"/>
                <w:b/>
                <w:color w:val="auto"/>
                <w:sz w:val="21"/>
                <w:szCs w:val="21"/>
                <w:highlight w:val="none"/>
                <w:u w:val="none" w:color="auto"/>
              </w:rPr>
              <w:t xml:space="preserve"> 饮食业油烟排放标准</w:t>
            </w:r>
          </w:p>
          <w:tbl>
            <w:tblPr>
              <w:tblStyle w:val="43"/>
              <w:tblW w:w="80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59"/>
              <w:gridCol w:w="1660"/>
              <w:gridCol w:w="1660"/>
              <w:gridCol w:w="1661"/>
            </w:tblGrid>
            <w:tr w14:paraId="1770F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59" w:type="dxa"/>
                  <w:tcBorders>
                    <w:top w:val="single" w:color="auto" w:sz="12" w:space="0"/>
                    <w:bottom w:val="single" w:color="auto" w:sz="4" w:space="0"/>
                  </w:tcBorders>
                  <w:vAlign w:val="center"/>
                </w:tcPr>
                <w:p w14:paraId="222255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cs="Times New Roman"/>
                      <w:color w:val="auto"/>
                      <w:sz w:val="21"/>
                      <w:szCs w:val="21"/>
                      <w:highlight w:val="none"/>
                      <w:u w:val="none" w:color="auto"/>
                      <w:vertAlign w:val="baseline"/>
                      <w:lang w:val="en-US" w:eastAsia="zh-CN"/>
                    </w:rPr>
                    <w:t>规模</w:t>
                  </w:r>
                </w:p>
              </w:tc>
              <w:tc>
                <w:tcPr>
                  <w:tcW w:w="1660" w:type="dxa"/>
                  <w:tcBorders>
                    <w:top w:val="single" w:color="auto" w:sz="12" w:space="0"/>
                    <w:bottom w:val="single" w:color="auto" w:sz="4" w:space="0"/>
                  </w:tcBorders>
                  <w:vAlign w:val="center"/>
                </w:tcPr>
                <w:p w14:paraId="66FA106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cs="Times New Roman"/>
                      <w:color w:val="auto"/>
                      <w:sz w:val="21"/>
                      <w:szCs w:val="21"/>
                      <w:highlight w:val="none"/>
                      <w:u w:val="none" w:color="auto"/>
                      <w:vertAlign w:val="baseline"/>
                      <w:lang w:val="en-US" w:eastAsia="zh-CN"/>
                    </w:rPr>
                    <w:t>小型</w:t>
                  </w:r>
                </w:p>
              </w:tc>
              <w:tc>
                <w:tcPr>
                  <w:tcW w:w="1660" w:type="dxa"/>
                  <w:tcBorders>
                    <w:top w:val="single" w:color="auto" w:sz="12" w:space="0"/>
                    <w:bottom w:val="single" w:color="auto" w:sz="4" w:space="0"/>
                  </w:tcBorders>
                  <w:vAlign w:val="center"/>
                </w:tcPr>
                <w:p w14:paraId="72C21E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cs="Times New Roman"/>
                      <w:color w:val="auto"/>
                      <w:sz w:val="21"/>
                      <w:szCs w:val="21"/>
                      <w:highlight w:val="none"/>
                      <w:u w:val="none" w:color="auto"/>
                      <w:vertAlign w:val="baseline"/>
                      <w:lang w:val="en-US" w:eastAsia="zh-CN"/>
                    </w:rPr>
                    <w:t>中型</w:t>
                  </w:r>
                </w:p>
              </w:tc>
              <w:tc>
                <w:tcPr>
                  <w:tcW w:w="1661" w:type="dxa"/>
                  <w:tcBorders>
                    <w:top w:val="single" w:color="auto" w:sz="12" w:space="0"/>
                    <w:bottom w:val="single" w:color="auto" w:sz="4" w:space="0"/>
                    <w:right w:val="single" w:color="auto" w:sz="12" w:space="0"/>
                  </w:tcBorders>
                  <w:vAlign w:val="center"/>
                </w:tcPr>
                <w:p w14:paraId="4121057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cs="Times New Roman"/>
                      <w:color w:val="auto"/>
                      <w:sz w:val="21"/>
                      <w:szCs w:val="21"/>
                      <w:highlight w:val="none"/>
                      <w:u w:val="none" w:color="auto"/>
                      <w:vertAlign w:val="baseline"/>
                      <w:lang w:val="en-US" w:eastAsia="zh-CN"/>
                    </w:rPr>
                    <w:t>大型</w:t>
                  </w:r>
                </w:p>
              </w:tc>
            </w:tr>
            <w:tr w14:paraId="215A94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59" w:type="dxa"/>
                  <w:tcBorders>
                    <w:top w:val="single" w:color="auto" w:sz="4" w:space="0"/>
                    <w:left w:val="single" w:color="auto" w:sz="4" w:space="0"/>
                    <w:bottom w:val="single" w:color="auto" w:sz="4" w:space="0"/>
                  </w:tcBorders>
                  <w:vAlign w:val="center"/>
                </w:tcPr>
                <w:p w14:paraId="4E74BD5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highlight w:val="none"/>
                      <w:u w:val="none" w:color="auto"/>
                      <w:vertAlign w:val="baseline"/>
                      <w:lang w:val="en-US" w:eastAsia="zh-CN"/>
                    </w:rPr>
                  </w:pPr>
                  <w:r>
                    <w:rPr>
                      <w:rFonts w:hint="eastAsia" w:cs="Times New Roman"/>
                      <w:color w:val="auto"/>
                      <w:sz w:val="21"/>
                      <w:szCs w:val="21"/>
                      <w:highlight w:val="none"/>
                      <w:u w:val="none" w:color="auto"/>
                      <w:vertAlign w:val="baseline"/>
                      <w:lang w:val="en-US" w:eastAsia="zh-CN"/>
                    </w:rPr>
                    <w:t>基准灶头数（个）</w:t>
                  </w:r>
                </w:p>
              </w:tc>
              <w:tc>
                <w:tcPr>
                  <w:tcW w:w="1660" w:type="dxa"/>
                  <w:tcBorders>
                    <w:top w:val="single" w:color="auto" w:sz="4" w:space="0"/>
                    <w:bottom w:val="single" w:color="auto" w:sz="4" w:space="0"/>
                  </w:tcBorders>
                  <w:vAlign w:val="center"/>
                </w:tcPr>
                <w:p w14:paraId="0259E6E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highlight w:val="none"/>
                      <w:u w:val="none" w:color="auto"/>
                      <w:vertAlign w:val="baseline"/>
                      <w:lang w:val="en-US" w:eastAsia="zh-CN"/>
                    </w:rPr>
                  </w:pPr>
                  <w:r>
                    <w:rPr>
                      <w:rFonts w:hint="eastAsia" w:cs="Times New Roman"/>
                      <w:color w:val="auto"/>
                      <w:sz w:val="21"/>
                      <w:szCs w:val="21"/>
                      <w:highlight w:val="none"/>
                      <w:u w:val="none" w:color="auto"/>
                      <w:vertAlign w:val="baseline"/>
                      <w:lang w:val="en-US" w:eastAsia="zh-CN"/>
                    </w:rPr>
                    <w:t>≥1，＜3</w:t>
                  </w:r>
                </w:p>
              </w:tc>
              <w:tc>
                <w:tcPr>
                  <w:tcW w:w="1660" w:type="dxa"/>
                  <w:tcBorders>
                    <w:top w:val="single" w:color="auto" w:sz="4" w:space="0"/>
                    <w:bottom w:val="single" w:color="auto" w:sz="4" w:space="0"/>
                  </w:tcBorders>
                  <w:vAlign w:val="center"/>
                </w:tcPr>
                <w:p w14:paraId="009D300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highlight w:val="none"/>
                      <w:u w:val="none" w:color="auto"/>
                      <w:vertAlign w:val="baseline"/>
                      <w:lang w:val="en-US" w:eastAsia="zh-CN"/>
                    </w:rPr>
                  </w:pPr>
                  <w:r>
                    <w:rPr>
                      <w:rFonts w:hint="eastAsia" w:cs="Times New Roman"/>
                      <w:color w:val="auto"/>
                      <w:sz w:val="21"/>
                      <w:szCs w:val="21"/>
                      <w:highlight w:val="none"/>
                      <w:u w:val="none" w:color="auto"/>
                      <w:vertAlign w:val="baseline"/>
                      <w:lang w:val="en-US" w:eastAsia="zh-CN"/>
                    </w:rPr>
                    <w:t>≥3，＜6</w:t>
                  </w:r>
                </w:p>
              </w:tc>
              <w:tc>
                <w:tcPr>
                  <w:tcW w:w="1661" w:type="dxa"/>
                  <w:tcBorders>
                    <w:top w:val="single" w:color="auto" w:sz="4" w:space="0"/>
                    <w:bottom w:val="single" w:color="auto" w:sz="4" w:space="0"/>
                    <w:right w:val="single" w:color="auto" w:sz="12" w:space="0"/>
                  </w:tcBorders>
                  <w:vAlign w:val="center"/>
                </w:tcPr>
                <w:p w14:paraId="4B64E35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highlight w:val="none"/>
                      <w:u w:val="none" w:color="auto"/>
                      <w:vertAlign w:val="baseline"/>
                      <w:lang w:val="en-US" w:eastAsia="zh-CN"/>
                    </w:rPr>
                  </w:pPr>
                  <w:r>
                    <w:rPr>
                      <w:rFonts w:hint="eastAsia" w:cs="Times New Roman"/>
                      <w:color w:val="auto"/>
                      <w:sz w:val="21"/>
                      <w:szCs w:val="21"/>
                      <w:highlight w:val="none"/>
                      <w:u w:val="none" w:color="auto"/>
                      <w:vertAlign w:val="baseline"/>
                      <w:lang w:val="en-US" w:eastAsia="zh-CN"/>
                    </w:rPr>
                    <w:t>≥6</w:t>
                  </w:r>
                </w:p>
              </w:tc>
            </w:tr>
            <w:tr w14:paraId="146CA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59" w:type="dxa"/>
                  <w:tcBorders>
                    <w:top w:val="single" w:color="auto" w:sz="4" w:space="0"/>
                    <w:left w:val="single" w:color="auto" w:sz="4" w:space="0"/>
                    <w:bottom w:val="single" w:color="auto" w:sz="4" w:space="0"/>
                  </w:tcBorders>
                  <w:vAlign w:val="center"/>
                </w:tcPr>
                <w:p w14:paraId="7898BB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cs="Times New Roman"/>
                      <w:color w:val="auto"/>
                      <w:sz w:val="21"/>
                      <w:szCs w:val="21"/>
                      <w:highlight w:val="none"/>
                      <w:u w:val="none" w:color="auto"/>
                      <w:vertAlign w:val="baseline"/>
                      <w:lang w:val="en-US" w:eastAsia="zh-CN"/>
                    </w:rPr>
                    <w:t>最高允许排放浓度（mg/m</w:t>
                  </w:r>
                  <w:r>
                    <w:rPr>
                      <w:rFonts w:hint="eastAsia" w:cs="Times New Roman"/>
                      <w:color w:val="auto"/>
                      <w:sz w:val="21"/>
                      <w:szCs w:val="21"/>
                      <w:highlight w:val="none"/>
                      <w:u w:val="none" w:color="auto"/>
                      <w:vertAlign w:val="superscript"/>
                      <w:lang w:val="en-US" w:eastAsia="zh-CN"/>
                    </w:rPr>
                    <w:t>3</w:t>
                  </w:r>
                  <w:r>
                    <w:rPr>
                      <w:rFonts w:hint="eastAsia" w:cs="Times New Roman"/>
                      <w:color w:val="auto"/>
                      <w:sz w:val="21"/>
                      <w:szCs w:val="21"/>
                      <w:highlight w:val="none"/>
                      <w:u w:val="none" w:color="auto"/>
                      <w:vertAlign w:val="baseline"/>
                      <w:lang w:val="en-US" w:eastAsia="zh-CN"/>
                    </w:rPr>
                    <w:t>）</w:t>
                  </w:r>
                </w:p>
              </w:tc>
              <w:tc>
                <w:tcPr>
                  <w:tcW w:w="4981" w:type="dxa"/>
                  <w:gridSpan w:val="3"/>
                  <w:tcBorders>
                    <w:top w:val="single" w:color="auto" w:sz="4" w:space="0"/>
                    <w:bottom w:val="single" w:color="auto" w:sz="4" w:space="0"/>
                    <w:right w:val="single" w:color="auto" w:sz="12" w:space="0"/>
                  </w:tcBorders>
                  <w:vAlign w:val="center"/>
                </w:tcPr>
                <w:p w14:paraId="2FD7F11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cs="Times New Roman"/>
                      <w:color w:val="auto"/>
                      <w:sz w:val="21"/>
                      <w:szCs w:val="21"/>
                      <w:highlight w:val="none"/>
                      <w:u w:val="none" w:color="auto"/>
                      <w:vertAlign w:val="baseline"/>
                      <w:lang w:val="en-US" w:eastAsia="zh-CN"/>
                    </w:rPr>
                    <w:t>2.0</w:t>
                  </w:r>
                </w:p>
              </w:tc>
            </w:tr>
            <w:tr w14:paraId="127D4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59" w:type="dxa"/>
                  <w:tcBorders>
                    <w:top w:val="single" w:color="auto" w:sz="4" w:space="0"/>
                    <w:left w:val="single" w:color="auto" w:sz="4" w:space="0"/>
                    <w:bottom w:val="single" w:color="auto" w:sz="12" w:space="0"/>
                  </w:tcBorders>
                  <w:vAlign w:val="center"/>
                </w:tcPr>
                <w:p w14:paraId="4ABCE54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cs="Times New Roman"/>
                      <w:color w:val="auto"/>
                      <w:sz w:val="21"/>
                      <w:szCs w:val="21"/>
                      <w:highlight w:val="none"/>
                      <w:u w:val="none" w:color="auto"/>
                      <w:vertAlign w:val="baseline"/>
                      <w:lang w:val="en-US" w:eastAsia="zh-CN"/>
                    </w:rPr>
                    <w:t>净化设施最低去除效率（%）</w:t>
                  </w:r>
                </w:p>
              </w:tc>
              <w:tc>
                <w:tcPr>
                  <w:tcW w:w="1660" w:type="dxa"/>
                  <w:tcBorders>
                    <w:top w:val="single" w:color="auto" w:sz="4" w:space="0"/>
                    <w:bottom w:val="single" w:color="auto" w:sz="12" w:space="0"/>
                  </w:tcBorders>
                  <w:vAlign w:val="center"/>
                </w:tcPr>
                <w:p w14:paraId="2CE4CF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cs="Times New Roman"/>
                      <w:color w:val="auto"/>
                      <w:sz w:val="21"/>
                      <w:szCs w:val="21"/>
                      <w:highlight w:val="none"/>
                      <w:u w:val="none" w:color="auto"/>
                      <w:vertAlign w:val="baseline"/>
                      <w:lang w:val="en-US" w:eastAsia="zh-CN"/>
                    </w:rPr>
                    <w:t>60</w:t>
                  </w:r>
                </w:p>
              </w:tc>
              <w:tc>
                <w:tcPr>
                  <w:tcW w:w="1660" w:type="dxa"/>
                  <w:tcBorders>
                    <w:top w:val="single" w:color="auto" w:sz="4" w:space="0"/>
                    <w:bottom w:val="single" w:color="auto" w:sz="12" w:space="0"/>
                  </w:tcBorders>
                  <w:vAlign w:val="center"/>
                </w:tcPr>
                <w:p w14:paraId="1227EAA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cs="Times New Roman"/>
                      <w:color w:val="auto"/>
                      <w:sz w:val="21"/>
                      <w:szCs w:val="21"/>
                      <w:highlight w:val="none"/>
                      <w:u w:val="none" w:color="auto"/>
                      <w:vertAlign w:val="baseline"/>
                      <w:lang w:val="en-US" w:eastAsia="zh-CN"/>
                    </w:rPr>
                    <w:t>75</w:t>
                  </w:r>
                </w:p>
              </w:tc>
              <w:tc>
                <w:tcPr>
                  <w:tcW w:w="1661" w:type="dxa"/>
                  <w:tcBorders>
                    <w:top w:val="single" w:color="auto" w:sz="4" w:space="0"/>
                    <w:bottom w:val="single" w:color="auto" w:sz="12" w:space="0"/>
                    <w:right w:val="single" w:color="auto" w:sz="12" w:space="0"/>
                  </w:tcBorders>
                  <w:vAlign w:val="center"/>
                </w:tcPr>
                <w:p w14:paraId="0EC98E1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cs="Times New Roman"/>
                      <w:color w:val="auto"/>
                      <w:sz w:val="21"/>
                      <w:szCs w:val="21"/>
                      <w:highlight w:val="none"/>
                      <w:u w:val="none" w:color="auto"/>
                      <w:vertAlign w:val="baseline"/>
                      <w:lang w:val="en-US" w:eastAsia="zh-CN"/>
                    </w:rPr>
                    <w:t>85</w:t>
                  </w:r>
                </w:p>
              </w:tc>
            </w:tr>
          </w:tbl>
          <w:p w14:paraId="7930CF88">
            <w:pPr>
              <w:keepNext w:val="0"/>
              <w:keepLines w:val="0"/>
              <w:pageBreakBefore w:val="0"/>
              <w:widowControl w:val="0"/>
              <w:kinsoku/>
              <w:wordWrap/>
              <w:overflowPunct/>
              <w:topLinePunct w:val="0"/>
              <w:autoSpaceDE/>
              <w:autoSpaceDN/>
              <w:bidi w:val="0"/>
              <w:adjustRightInd/>
              <w:snapToGrid/>
              <w:spacing w:before="157" w:beforeLines="50" w:line="240" w:lineRule="auto"/>
              <w:ind w:firstLine="0" w:firstLineChars="0"/>
              <w:jc w:val="center"/>
              <w:textAlignment w:val="auto"/>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b/>
                <w:color w:val="auto"/>
                <w:sz w:val="21"/>
                <w:szCs w:val="21"/>
                <w:highlight w:val="none"/>
                <w:u w:val="none" w:color="auto"/>
              </w:rPr>
              <w:t>表3-</w:t>
            </w:r>
            <w:r>
              <w:rPr>
                <w:rFonts w:hint="eastAsia" w:cs="Times New Roman"/>
                <w:b/>
                <w:color w:val="auto"/>
                <w:sz w:val="21"/>
                <w:szCs w:val="21"/>
                <w:highlight w:val="none"/>
                <w:u w:val="none" w:color="auto"/>
                <w:lang w:val="en-US" w:eastAsia="zh-CN"/>
              </w:rPr>
              <w:t>12  恶臭污染物排放标准</w:t>
            </w: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0"/>
              <w:gridCol w:w="2680"/>
              <w:gridCol w:w="2680"/>
            </w:tblGrid>
            <w:tr w14:paraId="6BE5D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trPr>
              <w:tc>
                <w:tcPr>
                  <w:tcW w:w="2680" w:type="dxa"/>
                  <w:tcBorders>
                    <w:top w:val="single" w:color="auto" w:sz="12" w:space="0"/>
                  </w:tcBorders>
                  <w:vAlign w:val="center"/>
                </w:tcPr>
                <w:p w14:paraId="1382E47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cs="Times New Roman"/>
                      <w:color w:val="auto"/>
                      <w:sz w:val="21"/>
                      <w:szCs w:val="21"/>
                      <w:highlight w:val="none"/>
                      <w:u w:val="none" w:color="auto"/>
                      <w:vertAlign w:val="baseline"/>
                      <w:lang w:val="en-US" w:eastAsia="zh-CN"/>
                    </w:rPr>
                    <w:t>污染物种类</w:t>
                  </w:r>
                </w:p>
              </w:tc>
              <w:tc>
                <w:tcPr>
                  <w:tcW w:w="2680" w:type="dxa"/>
                  <w:tcBorders>
                    <w:top w:val="single" w:color="auto" w:sz="12" w:space="0"/>
                  </w:tcBorders>
                  <w:vAlign w:val="center"/>
                </w:tcPr>
                <w:p w14:paraId="199936B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cs="Times New Roman"/>
                      <w:color w:val="auto"/>
                      <w:sz w:val="21"/>
                      <w:szCs w:val="21"/>
                      <w:highlight w:val="none"/>
                      <w:u w:val="none" w:color="auto"/>
                      <w:vertAlign w:val="baseline"/>
                      <w:lang w:val="en-US" w:eastAsia="zh-CN"/>
                    </w:rPr>
                    <w:t>浓度限值</w:t>
                  </w:r>
                </w:p>
              </w:tc>
              <w:tc>
                <w:tcPr>
                  <w:tcW w:w="2680" w:type="dxa"/>
                  <w:tcBorders>
                    <w:top w:val="single" w:color="auto" w:sz="12" w:space="0"/>
                    <w:right w:val="single" w:color="auto" w:sz="12" w:space="0"/>
                  </w:tcBorders>
                  <w:vAlign w:val="center"/>
                </w:tcPr>
                <w:p w14:paraId="0B73CF2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cs="Times New Roman"/>
                      <w:color w:val="auto"/>
                      <w:sz w:val="21"/>
                      <w:szCs w:val="21"/>
                      <w:highlight w:val="none"/>
                      <w:u w:val="none" w:color="auto"/>
                      <w:vertAlign w:val="baseline"/>
                      <w:lang w:val="en-US" w:eastAsia="zh-CN"/>
                    </w:rPr>
                    <w:t>单位</w:t>
                  </w:r>
                </w:p>
              </w:tc>
            </w:tr>
            <w:tr w14:paraId="553A49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0" w:type="dxa"/>
                  <w:tcBorders>
                    <w:left w:val="single" w:color="auto" w:sz="4" w:space="0"/>
                  </w:tcBorders>
                  <w:vAlign w:val="center"/>
                </w:tcPr>
                <w:p w14:paraId="0604F5B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cs="Times New Roman"/>
                      <w:color w:val="auto"/>
                      <w:sz w:val="21"/>
                      <w:szCs w:val="21"/>
                      <w:highlight w:val="none"/>
                      <w:u w:val="none" w:color="auto"/>
                      <w:vertAlign w:val="baseline"/>
                      <w:lang w:val="en-US" w:eastAsia="zh-CN"/>
                    </w:rPr>
                    <w:t>氨</w:t>
                  </w:r>
                </w:p>
              </w:tc>
              <w:tc>
                <w:tcPr>
                  <w:tcW w:w="2680" w:type="dxa"/>
                  <w:vAlign w:val="center"/>
                </w:tcPr>
                <w:p w14:paraId="08C824E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cs="Times New Roman"/>
                      <w:color w:val="auto"/>
                      <w:sz w:val="21"/>
                      <w:szCs w:val="21"/>
                      <w:highlight w:val="none"/>
                      <w:u w:val="none" w:color="auto"/>
                      <w:vertAlign w:val="baseline"/>
                      <w:lang w:val="en-US" w:eastAsia="zh-CN"/>
                    </w:rPr>
                    <w:t>1.5</w:t>
                  </w:r>
                </w:p>
              </w:tc>
              <w:tc>
                <w:tcPr>
                  <w:tcW w:w="2680" w:type="dxa"/>
                  <w:tcBorders>
                    <w:right w:val="single" w:color="auto" w:sz="12" w:space="0"/>
                  </w:tcBorders>
                  <w:vAlign w:val="center"/>
                </w:tcPr>
                <w:p w14:paraId="7038D08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cs="Times New Roman"/>
                      <w:color w:val="auto"/>
                      <w:sz w:val="21"/>
                      <w:szCs w:val="21"/>
                      <w:highlight w:val="none"/>
                      <w:u w:val="none" w:color="auto"/>
                      <w:vertAlign w:val="baseline"/>
                      <w:lang w:val="en-US" w:eastAsia="zh-CN"/>
                    </w:rPr>
                    <w:t>mg/m</w:t>
                  </w:r>
                  <w:r>
                    <w:rPr>
                      <w:rFonts w:hint="eastAsia" w:cs="Times New Roman"/>
                      <w:color w:val="auto"/>
                      <w:sz w:val="21"/>
                      <w:szCs w:val="21"/>
                      <w:highlight w:val="none"/>
                      <w:u w:val="none" w:color="auto"/>
                      <w:vertAlign w:val="superscript"/>
                      <w:lang w:val="en-US" w:eastAsia="zh-CN"/>
                    </w:rPr>
                    <w:t>3</w:t>
                  </w:r>
                </w:p>
              </w:tc>
            </w:tr>
            <w:tr w14:paraId="61E89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0" w:type="dxa"/>
                  <w:tcBorders>
                    <w:left w:val="single" w:color="auto" w:sz="4" w:space="0"/>
                  </w:tcBorders>
                  <w:vAlign w:val="center"/>
                </w:tcPr>
                <w:p w14:paraId="6FF097D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cs="Times New Roman"/>
                      <w:color w:val="auto"/>
                      <w:sz w:val="21"/>
                      <w:szCs w:val="21"/>
                      <w:highlight w:val="none"/>
                      <w:u w:val="none" w:color="auto"/>
                      <w:vertAlign w:val="baseline"/>
                      <w:lang w:val="en-US" w:eastAsia="zh-CN"/>
                    </w:rPr>
                    <w:t>硫化氢</w:t>
                  </w:r>
                </w:p>
              </w:tc>
              <w:tc>
                <w:tcPr>
                  <w:tcW w:w="2680" w:type="dxa"/>
                  <w:vAlign w:val="center"/>
                </w:tcPr>
                <w:p w14:paraId="7CC040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cs="Times New Roman"/>
                      <w:color w:val="auto"/>
                      <w:sz w:val="21"/>
                      <w:szCs w:val="21"/>
                      <w:highlight w:val="none"/>
                      <w:u w:val="none" w:color="auto"/>
                      <w:vertAlign w:val="baseline"/>
                      <w:lang w:val="en-US" w:eastAsia="zh-CN"/>
                    </w:rPr>
                    <w:t>0.06</w:t>
                  </w:r>
                </w:p>
              </w:tc>
              <w:tc>
                <w:tcPr>
                  <w:tcW w:w="2680" w:type="dxa"/>
                  <w:tcBorders>
                    <w:right w:val="single" w:color="auto" w:sz="12" w:space="0"/>
                  </w:tcBorders>
                  <w:vAlign w:val="center"/>
                </w:tcPr>
                <w:p w14:paraId="048329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cs="Times New Roman"/>
                      <w:color w:val="auto"/>
                      <w:sz w:val="21"/>
                      <w:szCs w:val="21"/>
                      <w:highlight w:val="none"/>
                      <w:u w:val="none" w:color="auto"/>
                      <w:vertAlign w:val="baseline"/>
                      <w:lang w:val="en-US" w:eastAsia="zh-CN"/>
                    </w:rPr>
                    <w:t>mg/m</w:t>
                  </w:r>
                  <w:r>
                    <w:rPr>
                      <w:rFonts w:hint="eastAsia" w:cs="Times New Roman"/>
                      <w:color w:val="auto"/>
                      <w:sz w:val="21"/>
                      <w:szCs w:val="21"/>
                      <w:highlight w:val="none"/>
                      <w:u w:val="none" w:color="auto"/>
                      <w:vertAlign w:val="superscript"/>
                      <w:lang w:val="en-US" w:eastAsia="zh-CN"/>
                    </w:rPr>
                    <w:t>3</w:t>
                  </w:r>
                </w:p>
              </w:tc>
            </w:tr>
            <w:tr w14:paraId="063A1B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0" w:type="dxa"/>
                  <w:tcBorders>
                    <w:left w:val="single" w:color="auto" w:sz="4" w:space="0"/>
                    <w:bottom w:val="single" w:color="auto" w:sz="12" w:space="0"/>
                  </w:tcBorders>
                  <w:vAlign w:val="center"/>
                </w:tcPr>
                <w:p w14:paraId="327420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cs="Times New Roman"/>
                      <w:color w:val="auto"/>
                      <w:sz w:val="21"/>
                      <w:szCs w:val="21"/>
                      <w:highlight w:val="none"/>
                      <w:u w:val="none" w:color="auto"/>
                      <w:vertAlign w:val="baseline"/>
                      <w:lang w:val="en-US" w:eastAsia="zh-CN"/>
                    </w:rPr>
                    <w:t>臭气浓度</w:t>
                  </w:r>
                </w:p>
              </w:tc>
              <w:tc>
                <w:tcPr>
                  <w:tcW w:w="2680" w:type="dxa"/>
                  <w:tcBorders>
                    <w:bottom w:val="single" w:color="auto" w:sz="12" w:space="0"/>
                  </w:tcBorders>
                  <w:vAlign w:val="center"/>
                </w:tcPr>
                <w:p w14:paraId="0104C24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cs="Times New Roman"/>
                      <w:color w:val="auto"/>
                      <w:sz w:val="21"/>
                      <w:szCs w:val="21"/>
                      <w:highlight w:val="none"/>
                      <w:u w:val="none" w:color="auto"/>
                      <w:vertAlign w:val="baseline"/>
                      <w:lang w:val="en-US" w:eastAsia="zh-CN"/>
                    </w:rPr>
                    <w:t>20</w:t>
                  </w:r>
                </w:p>
              </w:tc>
              <w:tc>
                <w:tcPr>
                  <w:tcW w:w="2680" w:type="dxa"/>
                  <w:tcBorders>
                    <w:bottom w:val="single" w:color="auto" w:sz="12" w:space="0"/>
                    <w:right w:val="single" w:color="auto" w:sz="12" w:space="0"/>
                  </w:tcBorders>
                  <w:vAlign w:val="center"/>
                </w:tcPr>
                <w:p w14:paraId="1555BB7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cs="Times New Roman"/>
                      <w:color w:val="auto"/>
                      <w:sz w:val="21"/>
                      <w:szCs w:val="21"/>
                      <w:highlight w:val="none"/>
                      <w:u w:val="none" w:color="auto"/>
                      <w:vertAlign w:val="baseline"/>
                      <w:lang w:val="en-US" w:eastAsia="zh-CN"/>
                    </w:rPr>
                    <w:t>无量纲</w:t>
                  </w:r>
                </w:p>
              </w:tc>
            </w:tr>
          </w:tbl>
          <w:p w14:paraId="5B5B56A9">
            <w:pPr>
              <w:keepNext w:val="0"/>
              <w:keepLines w:val="0"/>
              <w:pageBreakBefore w:val="0"/>
              <w:widowControl w:val="0"/>
              <w:kinsoku/>
              <w:wordWrap/>
              <w:overflowPunct/>
              <w:topLinePunct w:val="0"/>
              <w:autoSpaceDE/>
              <w:autoSpaceDN/>
              <w:bidi w:val="0"/>
              <w:adjustRightInd/>
              <w:snapToGrid/>
              <w:spacing w:before="157" w:beforeLines="50" w:line="240" w:lineRule="auto"/>
              <w:ind w:firstLine="0" w:firstLineChars="0"/>
              <w:jc w:val="center"/>
              <w:textAlignment w:val="auto"/>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b/>
                <w:color w:val="auto"/>
                <w:sz w:val="21"/>
                <w:szCs w:val="21"/>
                <w:highlight w:val="none"/>
                <w:u w:val="none" w:color="auto"/>
              </w:rPr>
              <w:t>表3-</w:t>
            </w:r>
            <w:r>
              <w:rPr>
                <w:rFonts w:hint="eastAsia" w:ascii="Times New Roman" w:hAnsi="Times New Roman" w:cs="Times New Roman"/>
                <w:b/>
                <w:color w:val="auto"/>
                <w:sz w:val="21"/>
                <w:szCs w:val="21"/>
                <w:highlight w:val="none"/>
                <w:u w:val="none" w:color="auto"/>
                <w:lang w:val="en-US" w:eastAsia="zh-CN"/>
              </w:rPr>
              <w:t>1</w:t>
            </w:r>
            <w:r>
              <w:rPr>
                <w:rFonts w:hint="eastAsia" w:cs="Times New Roman"/>
                <w:b/>
                <w:color w:val="auto"/>
                <w:sz w:val="21"/>
                <w:szCs w:val="21"/>
                <w:highlight w:val="none"/>
                <w:u w:val="none" w:color="auto"/>
                <w:lang w:val="en-US" w:eastAsia="zh-CN"/>
              </w:rPr>
              <w:t>3</w:t>
            </w:r>
            <w:r>
              <w:rPr>
                <w:rFonts w:hint="eastAsia" w:ascii="Times New Roman" w:hAnsi="Times New Roman" w:cs="Times New Roman"/>
                <w:b/>
                <w:color w:val="auto"/>
                <w:sz w:val="21"/>
                <w:szCs w:val="21"/>
                <w:highlight w:val="none"/>
                <w:u w:val="none" w:color="auto"/>
                <w:lang w:val="en-US" w:eastAsia="zh-CN"/>
              </w:rPr>
              <w:t xml:space="preserve">  大气污染物综合排放标准</w:t>
            </w:r>
          </w:p>
          <w:tbl>
            <w:tblPr>
              <w:tblStyle w:val="43"/>
              <w:tblW w:w="80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80"/>
              <w:gridCol w:w="2680"/>
              <w:gridCol w:w="2680"/>
            </w:tblGrid>
            <w:tr w14:paraId="38EA2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680" w:type="dxa"/>
                  <w:vMerge w:val="restart"/>
                  <w:tcBorders>
                    <w:top w:val="single" w:color="auto" w:sz="12" w:space="0"/>
                  </w:tcBorders>
                  <w:vAlign w:val="center"/>
                </w:tcPr>
                <w:p w14:paraId="022063E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ascii="Times New Roman" w:hAnsi="Times New Roman" w:cs="Times New Roman"/>
                      <w:color w:val="auto"/>
                      <w:sz w:val="21"/>
                      <w:szCs w:val="21"/>
                      <w:highlight w:val="none"/>
                      <w:u w:val="none" w:color="auto"/>
                      <w:vertAlign w:val="baseline"/>
                      <w:lang w:val="en-US" w:eastAsia="zh-CN"/>
                    </w:rPr>
                    <w:t>污染物</w:t>
                  </w:r>
                </w:p>
              </w:tc>
              <w:tc>
                <w:tcPr>
                  <w:tcW w:w="5360" w:type="dxa"/>
                  <w:gridSpan w:val="2"/>
                  <w:tcBorders>
                    <w:top w:val="single" w:color="auto" w:sz="12" w:space="0"/>
                    <w:right w:val="single" w:color="auto" w:sz="12" w:space="0"/>
                  </w:tcBorders>
                  <w:vAlign w:val="center"/>
                </w:tcPr>
                <w:p w14:paraId="514727F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ascii="Times New Roman" w:hAnsi="Times New Roman" w:cs="Times New Roman"/>
                      <w:color w:val="auto"/>
                      <w:sz w:val="21"/>
                      <w:szCs w:val="21"/>
                      <w:highlight w:val="none"/>
                      <w:u w:val="none" w:color="auto"/>
                      <w:vertAlign w:val="baseline"/>
                      <w:lang w:val="en-US" w:eastAsia="zh-CN"/>
                    </w:rPr>
                    <w:t>无组织排放监控浓度限值</w:t>
                  </w:r>
                </w:p>
              </w:tc>
            </w:tr>
            <w:tr w14:paraId="6D663E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0" w:type="dxa"/>
                  <w:vMerge w:val="continue"/>
                  <w:vAlign w:val="center"/>
                </w:tcPr>
                <w:p w14:paraId="77AD524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p>
              </w:tc>
              <w:tc>
                <w:tcPr>
                  <w:tcW w:w="2680" w:type="dxa"/>
                  <w:vAlign w:val="center"/>
                </w:tcPr>
                <w:p w14:paraId="688E4AA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ascii="Times New Roman" w:hAnsi="Times New Roman" w:cs="Times New Roman"/>
                      <w:color w:val="auto"/>
                      <w:sz w:val="21"/>
                      <w:szCs w:val="21"/>
                      <w:highlight w:val="none"/>
                      <w:u w:val="none" w:color="auto"/>
                      <w:vertAlign w:val="baseline"/>
                      <w:lang w:val="en-US" w:eastAsia="zh-CN"/>
                    </w:rPr>
                    <w:t>监控点</w:t>
                  </w:r>
                </w:p>
              </w:tc>
              <w:tc>
                <w:tcPr>
                  <w:tcW w:w="2680" w:type="dxa"/>
                  <w:tcBorders>
                    <w:right w:val="single" w:color="auto" w:sz="12" w:space="0"/>
                  </w:tcBorders>
                  <w:vAlign w:val="center"/>
                </w:tcPr>
                <w:p w14:paraId="2A22426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ascii="Times New Roman" w:hAnsi="Times New Roman" w:cs="Times New Roman"/>
                      <w:color w:val="auto"/>
                      <w:sz w:val="21"/>
                      <w:szCs w:val="21"/>
                      <w:highlight w:val="none"/>
                      <w:u w:val="none" w:color="auto"/>
                      <w:vertAlign w:val="baseline"/>
                      <w:lang w:val="en-US" w:eastAsia="zh-CN"/>
                    </w:rPr>
                    <w:t>mg/m</w:t>
                  </w:r>
                  <w:r>
                    <w:rPr>
                      <w:rFonts w:hint="eastAsia" w:ascii="Times New Roman" w:hAnsi="Times New Roman" w:cs="Times New Roman"/>
                      <w:color w:val="auto"/>
                      <w:sz w:val="21"/>
                      <w:szCs w:val="21"/>
                      <w:highlight w:val="none"/>
                      <w:u w:val="none" w:color="auto"/>
                      <w:vertAlign w:val="superscript"/>
                      <w:lang w:val="en-US" w:eastAsia="zh-CN"/>
                    </w:rPr>
                    <w:t>3</w:t>
                  </w:r>
                </w:p>
              </w:tc>
            </w:tr>
            <w:tr w14:paraId="1C3237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80" w:type="dxa"/>
                  <w:tcBorders>
                    <w:left w:val="single" w:color="auto" w:sz="4" w:space="0"/>
                    <w:bottom w:val="single" w:color="auto" w:sz="12" w:space="0"/>
                  </w:tcBorders>
                  <w:vAlign w:val="center"/>
                </w:tcPr>
                <w:p w14:paraId="2E32AE7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ascii="Times New Roman" w:hAnsi="Times New Roman" w:cs="Times New Roman"/>
                      <w:color w:val="auto"/>
                      <w:sz w:val="21"/>
                      <w:szCs w:val="21"/>
                      <w:highlight w:val="none"/>
                      <w:u w:val="none" w:color="auto"/>
                      <w:vertAlign w:val="baseline"/>
                      <w:lang w:val="en-US" w:eastAsia="zh-CN"/>
                    </w:rPr>
                    <w:t>颗粒物</w:t>
                  </w:r>
                </w:p>
              </w:tc>
              <w:tc>
                <w:tcPr>
                  <w:tcW w:w="2680" w:type="dxa"/>
                  <w:tcBorders>
                    <w:bottom w:val="single" w:color="auto" w:sz="12" w:space="0"/>
                  </w:tcBorders>
                  <w:vAlign w:val="center"/>
                </w:tcPr>
                <w:p w14:paraId="4918484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ascii="Times New Roman" w:hAnsi="Times New Roman" w:cs="Times New Roman"/>
                      <w:color w:val="auto"/>
                      <w:sz w:val="21"/>
                      <w:szCs w:val="21"/>
                      <w:highlight w:val="none"/>
                      <w:u w:val="none" w:color="auto"/>
                      <w:vertAlign w:val="baseline"/>
                      <w:lang w:val="en-US" w:eastAsia="zh-CN"/>
                    </w:rPr>
                    <w:t>周界外浓度最高点</w:t>
                  </w:r>
                </w:p>
              </w:tc>
              <w:tc>
                <w:tcPr>
                  <w:tcW w:w="2680" w:type="dxa"/>
                  <w:tcBorders>
                    <w:bottom w:val="single" w:color="auto" w:sz="12" w:space="0"/>
                    <w:right w:val="single" w:color="auto" w:sz="12" w:space="0"/>
                  </w:tcBorders>
                  <w:vAlign w:val="center"/>
                </w:tcPr>
                <w:p w14:paraId="311D495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ascii="Times New Roman" w:hAnsi="Times New Roman" w:cs="Times New Roman"/>
                      <w:color w:val="auto"/>
                      <w:sz w:val="21"/>
                      <w:szCs w:val="21"/>
                      <w:highlight w:val="none"/>
                      <w:u w:val="none" w:color="auto"/>
                      <w:vertAlign w:val="baseline"/>
                      <w:lang w:val="en-US" w:eastAsia="zh-CN"/>
                    </w:rPr>
                    <w:t>1.0</w:t>
                  </w:r>
                </w:p>
              </w:tc>
            </w:tr>
          </w:tbl>
          <w:p w14:paraId="3D6505DC">
            <w:pPr>
              <w:spacing w:line="500" w:lineRule="exact"/>
              <w:ind w:firstLine="482" w:firstLineChars="200"/>
              <w:jc w:val="left"/>
              <w:rPr>
                <w:rStyle w:val="70"/>
                <w:rFonts w:hint="default" w:ascii="Times New Roman" w:hAnsi="Times New Roman" w:eastAsia="宋体" w:cs="Times New Roman"/>
                <w:bCs w:val="0"/>
                <w:color w:val="auto"/>
                <w:sz w:val="24"/>
                <w:szCs w:val="24"/>
                <w:highlight w:val="none"/>
                <w:u w:val="none" w:color="auto"/>
              </w:rPr>
            </w:pPr>
            <w:r>
              <w:rPr>
                <w:rStyle w:val="70"/>
                <w:rFonts w:hint="default" w:ascii="Times New Roman" w:hAnsi="Times New Roman" w:eastAsia="宋体" w:cs="Times New Roman"/>
                <w:bCs w:val="0"/>
                <w:color w:val="auto"/>
                <w:sz w:val="24"/>
                <w:szCs w:val="24"/>
                <w:highlight w:val="none"/>
                <w:u w:val="none" w:color="auto"/>
              </w:rPr>
              <w:t>二、水污染排放标准</w:t>
            </w:r>
          </w:p>
          <w:p w14:paraId="3F9C11EB">
            <w:pPr>
              <w:spacing w:beforeLines="0" w:afterLines="0" w:line="500" w:lineRule="exact"/>
              <w:ind w:firstLine="480" w:firstLineChars="200"/>
              <w:rPr>
                <w:rFonts w:hint="default" w:cs="Times New Roman"/>
                <w:color w:val="auto"/>
                <w:highlight w:val="none"/>
                <w:u w:val="none" w:color="auto"/>
                <w:lang w:val="en-US" w:eastAsia="zh-CN"/>
              </w:rPr>
            </w:pPr>
            <w:r>
              <w:rPr>
                <w:rFonts w:hint="eastAsia" w:cs="Times New Roman"/>
                <w:color w:val="auto"/>
                <w:highlight w:val="none"/>
                <w:u w:val="none" w:color="auto"/>
                <w:lang w:val="en-US" w:eastAsia="zh-CN"/>
              </w:rPr>
              <w:t>本项目生活污水经化粪池处理后</w:t>
            </w:r>
            <w:r>
              <w:rPr>
                <w:rFonts w:hint="eastAsia" w:cs="Times New Roman"/>
                <w:color w:val="auto"/>
                <w:sz w:val="24"/>
                <w:szCs w:val="24"/>
                <w:highlight w:val="none"/>
                <w:u w:val="none" w:color="auto"/>
                <w:lang w:val="en-US" w:eastAsia="zh-CN"/>
              </w:rPr>
              <w:t>经槽车运往汨罗市大荆镇古仑片区污水处理站处理</w:t>
            </w:r>
            <w:r>
              <w:rPr>
                <w:rFonts w:hint="eastAsia" w:cs="Times New Roman"/>
                <w:color w:val="auto"/>
                <w:highlight w:val="none"/>
                <w:u w:val="none" w:color="auto"/>
                <w:lang w:val="en-US" w:eastAsia="zh-CN"/>
              </w:rPr>
              <w:t>，生产废水经自建污水处理站处理后经槽车运至汨罗市大荆镇古仑片区污水处理站处理。废水执行汨罗市大荆镇古仑片区污水处理站进水标准及《污水综合排放标准》（GB 8978-1996）表4中三级标准。</w:t>
            </w:r>
          </w:p>
          <w:p w14:paraId="565C57EB">
            <w:pPr>
              <w:pStyle w:val="262"/>
              <w:spacing w:beforeLines="0" w:afterLines="0"/>
              <w:rPr>
                <w:rFonts w:hint="default" w:ascii="Times New Roman" w:hAnsi="Times New Roman" w:eastAsia="宋体" w:cs="Times New Roman"/>
                <w:color w:val="auto"/>
                <w:sz w:val="21"/>
                <w:szCs w:val="24"/>
                <w:highlight w:val="none"/>
                <w:u w:val="none" w:color="auto"/>
              </w:rPr>
            </w:pPr>
            <w:r>
              <w:rPr>
                <w:rFonts w:hint="default" w:ascii="Times New Roman" w:hAnsi="Times New Roman" w:eastAsia="宋体" w:cs="Times New Roman"/>
                <w:color w:val="auto"/>
                <w:sz w:val="21"/>
                <w:szCs w:val="24"/>
                <w:highlight w:val="none"/>
                <w:u w:val="none" w:color="auto"/>
              </w:rPr>
              <w:t>表3-</w:t>
            </w:r>
            <w:r>
              <w:rPr>
                <w:rFonts w:hint="eastAsia" w:cs="Times New Roman"/>
                <w:color w:val="auto"/>
                <w:sz w:val="21"/>
                <w:szCs w:val="24"/>
                <w:highlight w:val="none"/>
                <w:u w:val="none" w:color="auto"/>
                <w:lang w:val="en-US" w:eastAsia="zh-CN"/>
              </w:rPr>
              <w:t xml:space="preserve">14 </w:t>
            </w:r>
            <w:r>
              <w:rPr>
                <w:rFonts w:hint="default" w:ascii="Times New Roman" w:hAnsi="Times New Roman" w:eastAsia="宋体" w:cs="Times New Roman"/>
                <w:color w:val="auto"/>
                <w:sz w:val="21"/>
                <w:szCs w:val="24"/>
                <w:highlight w:val="none"/>
                <w:u w:val="none" w:color="auto"/>
              </w:rPr>
              <w:t xml:space="preserve"> </w:t>
            </w:r>
            <w:r>
              <w:rPr>
                <w:rFonts w:hint="default" w:ascii="Times New Roman" w:hAnsi="Times New Roman" w:eastAsia="宋体" w:cs="Times New Roman"/>
                <w:b/>
                <w:bCs/>
                <w:color w:val="auto"/>
                <w:sz w:val="21"/>
                <w:szCs w:val="21"/>
                <w:highlight w:val="none"/>
                <w:u w:val="none" w:color="auto"/>
                <w:lang w:val="en-US" w:eastAsia="zh-CN"/>
              </w:rPr>
              <w:t>废水</w:t>
            </w:r>
            <w:r>
              <w:rPr>
                <w:rFonts w:hint="default" w:ascii="Times New Roman" w:hAnsi="Times New Roman" w:eastAsia="宋体" w:cs="Times New Roman"/>
                <w:b/>
                <w:bCs/>
                <w:color w:val="auto"/>
                <w:sz w:val="21"/>
                <w:szCs w:val="21"/>
                <w:highlight w:val="none"/>
                <w:u w:val="none" w:color="auto"/>
              </w:rPr>
              <w:t>污染物排放限值 单位：mg/L(pH</w:t>
            </w:r>
            <w:r>
              <w:rPr>
                <w:rFonts w:hint="eastAsia" w:cs="Times New Roman"/>
                <w:b/>
                <w:bCs/>
                <w:color w:val="auto"/>
                <w:sz w:val="21"/>
                <w:szCs w:val="21"/>
                <w:highlight w:val="none"/>
                <w:u w:val="none" w:color="auto"/>
                <w:lang w:val="en-US" w:eastAsia="zh-CN"/>
              </w:rPr>
              <w:t>无量纲</w:t>
            </w:r>
            <w:r>
              <w:rPr>
                <w:rFonts w:hint="default" w:ascii="Times New Roman" w:hAnsi="Times New Roman" w:eastAsia="宋体" w:cs="Times New Roman"/>
                <w:b/>
                <w:bCs/>
                <w:color w:val="auto"/>
                <w:sz w:val="21"/>
                <w:szCs w:val="21"/>
                <w:highlight w:val="none"/>
                <w:u w:val="none" w:color="auto"/>
              </w:rPr>
              <w:t>)</w:t>
            </w:r>
          </w:p>
          <w:tbl>
            <w:tblPr>
              <w:tblStyle w:val="42"/>
              <w:tblW w:w="0" w:type="auto"/>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1774"/>
              <w:gridCol w:w="2058"/>
              <w:gridCol w:w="1955"/>
              <w:gridCol w:w="2253"/>
            </w:tblGrid>
            <w:tr w14:paraId="229F87E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774" w:type="dxa"/>
                  <w:tcBorders>
                    <w:tl2br w:val="nil"/>
                    <w:tr2bl w:val="nil"/>
                  </w:tcBorders>
                  <w:vAlign w:val="center"/>
                </w:tcPr>
                <w:p w14:paraId="5A87CC4A">
                  <w:pPr>
                    <w:kinsoku w:val="0"/>
                    <w:overflowPunct w:val="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b/>
                      <w:bCs/>
                      <w:color w:val="auto"/>
                      <w:sz w:val="21"/>
                      <w:szCs w:val="21"/>
                      <w:highlight w:val="none"/>
                      <w:u w:val="none" w:color="auto"/>
                    </w:rPr>
                    <w:t>项目</w:t>
                  </w:r>
                </w:p>
              </w:tc>
              <w:tc>
                <w:tcPr>
                  <w:tcW w:w="2058" w:type="dxa"/>
                  <w:tcBorders>
                    <w:tl2br w:val="nil"/>
                    <w:tr2bl w:val="nil"/>
                  </w:tcBorders>
                  <w:vAlign w:val="center"/>
                </w:tcPr>
                <w:p w14:paraId="06DB4CA4">
                  <w:pPr>
                    <w:kinsoku w:val="0"/>
                    <w:overflowPunct w:val="0"/>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val="en-US" w:eastAsia="zh-CN"/>
                    </w:rPr>
                    <w:t>《污水综合排放标准》（GB8978-1996）中三级标准要求</w:t>
                  </w:r>
                </w:p>
              </w:tc>
              <w:tc>
                <w:tcPr>
                  <w:tcW w:w="1955" w:type="dxa"/>
                  <w:tcBorders>
                    <w:tl2br w:val="nil"/>
                    <w:tr2bl w:val="nil"/>
                  </w:tcBorders>
                  <w:vAlign w:val="center"/>
                </w:tcPr>
                <w:p w14:paraId="6B3604BA">
                  <w:pPr>
                    <w:kinsoku w:val="0"/>
                    <w:overflowPunct w:val="0"/>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val="0"/>
                      <w:bCs/>
                      <w:color w:val="auto"/>
                      <w:sz w:val="21"/>
                      <w:szCs w:val="21"/>
                      <w:highlight w:val="none"/>
                      <w:u w:val="none" w:color="auto"/>
                    </w:rPr>
                    <w:t>汨罗市大荆镇古仑片区污水处理站</w:t>
                  </w:r>
                  <w:r>
                    <w:rPr>
                      <w:rFonts w:hint="eastAsia" w:cs="Times New Roman"/>
                      <w:b w:val="0"/>
                      <w:bCs/>
                      <w:color w:val="auto"/>
                      <w:sz w:val="21"/>
                      <w:szCs w:val="21"/>
                      <w:highlight w:val="none"/>
                      <w:u w:val="none" w:color="auto"/>
                      <w:lang w:val="en-US" w:eastAsia="zh-CN"/>
                    </w:rPr>
                    <w:t>进水</w:t>
                  </w:r>
                  <w:r>
                    <w:rPr>
                      <w:rFonts w:hint="default" w:ascii="Times New Roman" w:hAnsi="Times New Roman" w:eastAsia="宋体" w:cs="Times New Roman"/>
                      <w:b w:val="0"/>
                      <w:bCs/>
                      <w:color w:val="auto"/>
                      <w:sz w:val="21"/>
                      <w:szCs w:val="21"/>
                      <w:highlight w:val="none"/>
                      <w:u w:val="none" w:color="auto"/>
                    </w:rPr>
                    <w:t>标准限值</w:t>
                  </w:r>
                </w:p>
              </w:tc>
              <w:tc>
                <w:tcPr>
                  <w:tcW w:w="2253" w:type="dxa"/>
                  <w:tcBorders>
                    <w:tl2br w:val="nil"/>
                    <w:tr2bl w:val="nil"/>
                  </w:tcBorders>
                  <w:vAlign w:val="center"/>
                </w:tcPr>
                <w:p w14:paraId="0FD235D8">
                  <w:pPr>
                    <w:kinsoku w:val="0"/>
                    <w:overflowPunct w:val="0"/>
                    <w:jc w:val="center"/>
                    <w:rPr>
                      <w:rFonts w:hint="default" w:ascii="Times New Roman" w:hAnsi="Times New Roman" w:eastAsia="宋体" w:cs="Times New Roman"/>
                      <w:b/>
                      <w:color w:val="auto"/>
                      <w:sz w:val="21"/>
                      <w:szCs w:val="21"/>
                      <w:highlight w:val="none"/>
                      <w:u w:val="none" w:color="auto"/>
                    </w:rPr>
                  </w:pPr>
                  <w:r>
                    <w:rPr>
                      <w:rFonts w:hint="eastAsia" w:cs="Times New Roman"/>
                      <w:b/>
                      <w:color w:val="auto"/>
                      <w:sz w:val="21"/>
                      <w:szCs w:val="21"/>
                      <w:highlight w:val="none"/>
                      <w:u w:val="none" w:color="auto"/>
                      <w:lang w:val="en-US" w:eastAsia="zh-CN"/>
                    </w:rPr>
                    <w:t>废水</w:t>
                  </w:r>
                  <w:r>
                    <w:rPr>
                      <w:rFonts w:hint="default" w:ascii="Times New Roman" w:hAnsi="Times New Roman" w:eastAsia="宋体" w:cs="Times New Roman"/>
                      <w:b/>
                      <w:color w:val="auto"/>
                      <w:sz w:val="21"/>
                      <w:szCs w:val="21"/>
                      <w:highlight w:val="none"/>
                      <w:u w:val="none" w:color="auto"/>
                    </w:rPr>
                    <w:t>排放标准限值</w:t>
                  </w:r>
                </w:p>
              </w:tc>
            </w:tr>
            <w:tr w14:paraId="6F7D03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774" w:type="dxa"/>
                  <w:tcBorders>
                    <w:tl2br w:val="nil"/>
                    <w:tr2bl w:val="nil"/>
                  </w:tcBorders>
                  <w:vAlign w:val="center"/>
                </w:tcPr>
                <w:p w14:paraId="16F0B748">
                  <w:pPr>
                    <w:kinsoku w:val="0"/>
                    <w:overflowPunct w:val="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pH</w:t>
                  </w:r>
                </w:p>
              </w:tc>
              <w:tc>
                <w:tcPr>
                  <w:tcW w:w="2058" w:type="dxa"/>
                  <w:tcBorders>
                    <w:tl2br w:val="nil"/>
                    <w:tr2bl w:val="nil"/>
                  </w:tcBorders>
                  <w:vAlign w:val="center"/>
                </w:tcPr>
                <w:p w14:paraId="76685558">
                  <w:pPr>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rPr>
                    <w:t>6～9</w:t>
                  </w:r>
                </w:p>
              </w:tc>
              <w:tc>
                <w:tcPr>
                  <w:tcW w:w="1955" w:type="dxa"/>
                  <w:tcBorders>
                    <w:tl2br w:val="nil"/>
                    <w:tr2bl w:val="nil"/>
                  </w:tcBorders>
                  <w:vAlign w:val="center"/>
                </w:tcPr>
                <w:p w14:paraId="4E551301">
                  <w:pPr>
                    <w:jc w:val="center"/>
                    <w:rPr>
                      <w:rFonts w:hint="eastAsia"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w:t>
                  </w:r>
                </w:p>
              </w:tc>
              <w:tc>
                <w:tcPr>
                  <w:tcW w:w="2253" w:type="dxa"/>
                  <w:tcBorders>
                    <w:tl2br w:val="nil"/>
                    <w:tr2bl w:val="nil"/>
                  </w:tcBorders>
                  <w:vAlign w:val="center"/>
                </w:tcPr>
                <w:p w14:paraId="11BA6D9C">
                  <w:pPr>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6～9</w:t>
                  </w:r>
                </w:p>
              </w:tc>
            </w:tr>
            <w:tr w14:paraId="1D7B4EA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774" w:type="dxa"/>
                  <w:tcBorders>
                    <w:tl2br w:val="nil"/>
                    <w:tr2bl w:val="nil"/>
                  </w:tcBorders>
                  <w:vAlign w:val="center"/>
                </w:tcPr>
                <w:p w14:paraId="50FA30B0">
                  <w:pPr>
                    <w:kinsoku w:val="0"/>
                    <w:overflowPunct w:val="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COD</w:t>
                  </w:r>
                  <w:r>
                    <w:rPr>
                      <w:rFonts w:hint="default" w:ascii="Times New Roman" w:hAnsi="Times New Roman" w:eastAsia="宋体" w:cs="Times New Roman"/>
                      <w:color w:val="auto"/>
                      <w:sz w:val="21"/>
                      <w:szCs w:val="21"/>
                      <w:highlight w:val="none"/>
                      <w:u w:val="none" w:color="auto"/>
                      <w:vertAlign w:val="subscript"/>
                    </w:rPr>
                    <w:t>Cr</w:t>
                  </w:r>
                </w:p>
              </w:tc>
              <w:tc>
                <w:tcPr>
                  <w:tcW w:w="2058" w:type="dxa"/>
                  <w:tcBorders>
                    <w:tl2br w:val="nil"/>
                    <w:tr2bl w:val="nil"/>
                  </w:tcBorders>
                  <w:vAlign w:val="center"/>
                </w:tcPr>
                <w:p w14:paraId="1E3CBC30">
                  <w:pPr>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rPr>
                    <w:t>500</w:t>
                  </w:r>
                </w:p>
              </w:tc>
              <w:tc>
                <w:tcPr>
                  <w:tcW w:w="1955" w:type="dxa"/>
                  <w:tcBorders>
                    <w:tl2br w:val="nil"/>
                    <w:tr2bl w:val="nil"/>
                  </w:tcBorders>
                  <w:vAlign w:val="center"/>
                </w:tcPr>
                <w:p w14:paraId="7379FB7A">
                  <w:pPr>
                    <w:jc w:val="center"/>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240</w:t>
                  </w:r>
                </w:p>
              </w:tc>
              <w:tc>
                <w:tcPr>
                  <w:tcW w:w="2253" w:type="dxa"/>
                  <w:tcBorders>
                    <w:tl2br w:val="nil"/>
                    <w:tr2bl w:val="nil"/>
                  </w:tcBorders>
                  <w:vAlign w:val="center"/>
                </w:tcPr>
                <w:p w14:paraId="5A75B091">
                  <w:pPr>
                    <w:jc w:val="center"/>
                    <w:rPr>
                      <w:rFonts w:hint="default" w:ascii="Times New Roman" w:hAnsi="Times New Roman" w:eastAsia="宋体" w:cs="Times New Roman"/>
                      <w:color w:val="auto"/>
                      <w:sz w:val="21"/>
                      <w:szCs w:val="21"/>
                      <w:highlight w:val="none"/>
                      <w:u w:val="none" w:color="auto"/>
                      <w:lang w:val="en-US"/>
                    </w:rPr>
                  </w:pPr>
                  <w:r>
                    <w:rPr>
                      <w:rFonts w:hint="eastAsia" w:cs="Times New Roman"/>
                      <w:color w:val="auto"/>
                      <w:sz w:val="21"/>
                      <w:szCs w:val="21"/>
                      <w:highlight w:val="none"/>
                      <w:u w:val="none" w:color="auto"/>
                      <w:lang w:val="en-US" w:eastAsia="zh-CN"/>
                    </w:rPr>
                    <w:t>240</w:t>
                  </w:r>
                </w:p>
              </w:tc>
            </w:tr>
            <w:tr w14:paraId="4B92830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774" w:type="dxa"/>
                  <w:tcBorders>
                    <w:tl2br w:val="nil"/>
                    <w:tr2bl w:val="nil"/>
                  </w:tcBorders>
                  <w:vAlign w:val="center"/>
                </w:tcPr>
                <w:p w14:paraId="4E8DCC4F">
                  <w:pPr>
                    <w:kinsoku w:val="0"/>
                    <w:overflowPunct w:val="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BOD</w:t>
                  </w:r>
                  <w:r>
                    <w:rPr>
                      <w:rFonts w:hint="default" w:ascii="Times New Roman" w:hAnsi="Times New Roman" w:eastAsia="宋体" w:cs="Times New Roman"/>
                      <w:color w:val="auto"/>
                      <w:position w:val="-3"/>
                      <w:sz w:val="21"/>
                      <w:szCs w:val="21"/>
                      <w:highlight w:val="none"/>
                      <w:u w:val="none" w:color="auto"/>
                      <w:vertAlign w:val="subscript"/>
                    </w:rPr>
                    <w:t>5</w:t>
                  </w:r>
                </w:p>
              </w:tc>
              <w:tc>
                <w:tcPr>
                  <w:tcW w:w="2058" w:type="dxa"/>
                  <w:tcBorders>
                    <w:tl2br w:val="nil"/>
                    <w:tr2bl w:val="nil"/>
                  </w:tcBorders>
                  <w:vAlign w:val="center"/>
                </w:tcPr>
                <w:p w14:paraId="2390D873">
                  <w:pPr>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3</w:t>
                  </w:r>
                  <w:r>
                    <w:rPr>
                      <w:rFonts w:hint="default" w:ascii="Times New Roman" w:hAnsi="Times New Roman" w:eastAsia="宋体" w:cs="Times New Roman"/>
                      <w:color w:val="auto"/>
                      <w:sz w:val="21"/>
                      <w:szCs w:val="21"/>
                      <w:highlight w:val="none"/>
                      <w:u w:val="none" w:color="auto"/>
                    </w:rPr>
                    <w:t>00</w:t>
                  </w:r>
                </w:p>
              </w:tc>
              <w:tc>
                <w:tcPr>
                  <w:tcW w:w="1955" w:type="dxa"/>
                  <w:tcBorders>
                    <w:tl2br w:val="nil"/>
                    <w:tr2bl w:val="nil"/>
                  </w:tcBorders>
                  <w:vAlign w:val="center"/>
                </w:tcPr>
                <w:p w14:paraId="242BBD4A">
                  <w:pPr>
                    <w:jc w:val="center"/>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150</w:t>
                  </w:r>
                </w:p>
              </w:tc>
              <w:tc>
                <w:tcPr>
                  <w:tcW w:w="2253" w:type="dxa"/>
                  <w:tcBorders>
                    <w:tl2br w:val="nil"/>
                    <w:tr2bl w:val="nil"/>
                  </w:tcBorders>
                  <w:vAlign w:val="center"/>
                </w:tcPr>
                <w:p w14:paraId="0B435382">
                  <w:pPr>
                    <w:jc w:val="center"/>
                    <w:rPr>
                      <w:rFonts w:hint="default" w:ascii="Times New Roman" w:hAnsi="Times New Roman" w:eastAsia="宋体" w:cs="Times New Roman"/>
                      <w:color w:val="auto"/>
                      <w:sz w:val="21"/>
                      <w:szCs w:val="21"/>
                      <w:highlight w:val="none"/>
                      <w:u w:val="none" w:color="auto"/>
                      <w:lang w:val="en-US"/>
                    </w:rPr>
                  </w:pPr>
                  <w:r>
                    <w:rPr>
                      <w:rFonts w:hint="eastAsia" w:cs="Times New Roman"/>
                      <w:color w:val="auto"/>
                      <w:sz w:val="21"/>
                      <w:szCs w:val="21"/>
                      <w:highlight w:val="none"/>
                      <w:u w:val="none" w:color="auto"/>
                      <w:lang w:val="en-US" w:eastAsia="zh-CN"/>
                    </w:rPr>
                    <w:t>150</w:t>
                  </w:r>
                </w:p>
              </w:tc>
            </w:tr>
            <w:tr w14:paraId="0B356A0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774" w:type="dxa"/>
                  <w:tcBorders>
                    <w:tl2br w:val="nil"/>
                    <w:tr2bl w:val="nil"/>
                  </w:tcBorders>
                  <w:vAlign w:val="center"/>
                </w:tcPr>
                <w:p w14:paraId="2939D011">
                  <w:pPr>
                    <w:kinsoku w:val="0"/>
                    <w:overflowPunct w:val="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氨氮</w:t>
                  </w:r>
                </w:p>
              </w:tc>
              <w:tc>
                <w:tcPr>
                  <w:tcW w:w="2058" w:type="dxa"/>
                  <w:tcBorders>
                    <w:tl2br w:val="nil"/>
                    <w:tr2bl w:val="nil"/>
                  </w:tcBorders>
                  <w:vAlign w:val="center"/>
                </w:tcPr>
                <w:p w14:paraId="07C92708">
                  <w:pPr>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w:t>
                  </w:r>
                </w:p>
              </w:tc>
              <w:tc>
                <w:tcPr>
                  <w:tcW w:w="1955" w:type="dxa"/>
                  <w:tcBorders>
                    <w:tl2br w:val="nil"/>
                    <w:tr2bl w:val="nil"/>
                  </w:tcBorders>
                  <w:vAlign w:val="center"/>
                </w:tcPr>
                <w:p w14:paraId="12D3FE2F">
                  <w:pPr>
                    <w:jc w:val="center"/>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30</w:t>
                  </w:r>
                </w:p>
              </w:tc>
              <w:tc>
                <w:tcPr>
                  <w:tcW w:w="2253" w:type="dxa"/>
                  <w:tcBorders>
                    <w:tl2br w:val="nil"/>
                    <w:tr2bl w:val="nil"/>
                  </w:tcBorders>
                  <w:vAlign w:val="center"/>
                </w:tcPr>
                <w:p w14:paraId="1F145C63">
                  <w:pPr>
                    <w:jc w:val="center"/>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30</w:t>
                  </w:r>
                </w:p>
              </w:tc>
            </w:tr>
            <w:tr w14:paraId="7E827E0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774" w:type="dxa"/>
                  <w:tcBorders>
                    <w:tl2br w:val="nil"/>
                    <w:tr2bl w:val="nil"/>
                  </w:tcBorders>
                  <w:vAlign w:val="center"/>
                </w:tcPr>
                <w:p w14:paraId="682555CB">
                  <w:pPr>
                    <w:kinsoku w:val="0"/>
                    <w:overflowPunct w:val="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TN</w:t>
                  </w:r>
                </w:p>
              </w:tc>
              <w:tc>
                <w:tcPr>
                  <w:tcW w:w="2058" w:type="dxa"/>
                  <w:tcBorders>
                    <w:tl2br w:val="nil"/>
                    <w:tr2bl w:val="nil"/>
                  </w:tcBorders>
                  <w:vAlign w:val="center"/>
                </w:tcPr>
                <w:p w14:paraId="3C8CAA6B">
                  <w:pPr>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w:t>
                  </w:r>
                </w:p>
              </w:tc>
              <w:tc>
                <w:tcPr>
                  <w:tcW w:w="1955" w:type="dxa"/>
                  <w:tcBorders>
                    <w:tl2br w:val="nil"/>
                    <w:tr2bl w:val="nil"/>
                  </w:tcBorders>
                  <w:vAlign w:val="center"/>
                </w:tcPr>
                <w:p w14:paraId="668E03F6">
                  <w:pPr>
                    <w:jc w:val="center"/>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35</w:t>
                  </w:r>
                </w:p>
              </w:tc>
              <w:tc>
                <w:tcPr>
                  <w:tcW w:w="2253" w:type="dxa"/>
                  <w:tcBorders>
                    <w:tl2br w:val="nil"/>
                    <w:tr2bl w:val="nil"/>
                  </w:tcBorders>
                  <w:vAlign w:val="center"/>
                </w:tcPr>
                <w:p w14:paraId="080E430B">
                  <w:pPr>
                    <w:jc w:val="center"/>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35</w:t>
                  </w:r>
                </w:p>
              </w:tc>
            </w:tr>
            <w:tr w14:paraId="0ABE002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774" w:type="dxa"/>
                  <w:tcBorders>
                    <w:tl2br w:val="nil"/>
                    <w:tr2bl w:val="nil"/>
                  </w:tcBorders>
                  <w:vAlign w:val="center"/>
                </w:tcPr>
                <w:p w14:paraId="42F87D77">
                  <w:pPr>
                    <w:kinsoku w:val="0"/>
                    <w:overflowPunct w:val="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TP</w:t>
                  </w:r>
                </w:p>
              </w:tc>
              <w:tc>
                <w:tcPr>
                  <w:tcW w:w="2058" w:type="dxa"/>
                  <w:tcBorders>
                    <w:tl2br w:val="nil"/>
                    <w:tr2bl w:val="nil"/>
                  </w:tcBorders>
                  <w:vAlign w:val="center"/>
                </w:tcPr>
                <w:p w14:paraId="1B6BF31B">
                  <w:pPr>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lang w:val="en-US" w:eastAsia="zh-CN"/>
                    </w:rPr>
                    <w:t>/</w:t>
                  </w:r>
                </w:p>
              </w:tc>
              <w:tc>
                <w:tcPr>
                  <w:tcW w:w="1955" w:type="dxa"/>
                  <w:tcBorders>
                    <w:tl2br w:val="nil"/>
                    <w:tr2bl w:val="nil"/>
                  </w:tcBorders>
                  <w:vAlign w:val="center"/>
                </w:tcPr>
                <w:p w14:paraId="03727365">
                  <w:pPr>
                    <w:jc w:val="center"/>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3.5</w:t>
                  </w:r>
                </w:p>
              </w:tc>
              <w:tc>
                <w:tcPr>
                  <w:tcW w:w="2253" w:type="dxa"/>
                  <w:tcBorders>
                    <w:tl2br w:val="nil"/>
                    <w:tr2bl w:val="nil"/>
                  </w:tcBorders>
                  <w:vAlign w:val="center"/>
                </w:tcPr>
                <w:p w14:paraId="5E3B9B7C">
                  <w:pPr>
                    <w:jc w:val="center"/>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3.5</w:t>
                  </w:r>
                </w:p>
              </w:tc>
            </w:tr>
            <w:tr w14:paraId="621931A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774" w:type="dxa"/>
                  <w:tcBorders>
                    <w:tl2br w:val="nil"/>
                    <w:tr2bl w:val="nil"/>
                  </w:tcBorders>
                  <w:vAlign w:val="center"/>
                </w:tcPr>
                <w:p w14:paraId="0A137AAC">
                  <w:pPr>
                    <w:kinsoku w:val="0"/>
                    <w:overflowPunct w:val="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SS</w:t>
                  </w:r>
                </w:p>
              </w:tc>
              <w:tc>
                <w:tcPr>
                  <w:tcW w:w="2058" w:type="dxa"/>
                  <w:tcBorders>
                    <w:tl2br w:val="nil"/>
                    <w:tr2bl w:val="nil"/>
                  </w:tcBorders>
                  <w:vAlign w:val="center"/>
                </w:tcPr>
                <w:p w14:paraId="77C2BE86">
                  <w:pPr>
                    <w:jc w:val="center"/>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sz w:val="21"/>
                      <w:szCs w:val="21"/>
                      <w:highlight w:val="none"/>
                      <w:u w:val="none" w:color="auto"/>
                    </w:rPr>
                    <w:t>400</w:t>
                  </w:r>
                </w:p>
              </w:tc>
              <w:tc>
                <w:tcPr>
                  <w:tcW w:w="1955" w:type="dxa"/>
                  <w:tcBorders>
                    <w:tl2br w:val="nil"/>
                    <w:tr2bl w:val="nil"/>
                  </w:tcBorders>
                  <w:vAlign w:val="center"/>
                </w:tcPr>
                <w:p w14:paraId="2CBE7E16">
                  <w:pPr>
                    <w:jc w:val="center"/>
                    <w:rPr>
                      <w:rFonts w:hint="default" w:ascii="Times New Roman" w:hAnsi="Times New Roman" w:eastAsia="宋体" w:cs="Times New Roman"/>
                      <w:color w:val="auto"/>
                      <w:sz w:val="21"/>
                      <w:szCs w:val="21"/>
                      <w:highlight w:val="none"/>
                      <w:u w:val="none" w:color="auto"/>
                      <w:lang w:val="en-US"/>
                    </w:rPr>
                  </w:pPr>
                  <w:r>
                    <w:rPr>
                      <w:rFonts w:hint="eastAsia" w:cs="Times New Roman"/>
                      <w:color w:val="auto"/>
                      <w:sz w:val="21"/>
                      <w:szCs w:val="21"/>
                      <w:highlight w:val="none"/>
                      <w:u w:val="none" w:color="auto"/>
                      <w:lang w:val="en-US" w:eastAsia="zh-CN"/>
                    </w:rPr>
                    <w:t>300</w:t>
                  </w:r>
                </w:p>
              </w:tc>
              <w:tc>
                <w:tcPr>
                  <w:tcW w:w="2253" w:type="dxa"/>
                  <w:tcBorders>
                    <w:tl2br w:val="nil"/>
                    <w:tr2bl w:val="nil"/>
                  </w:tcBorders>
                  <w:vAlign w:val="center"/>
                </w:tcPr>
                <w:p w14:paraId="4BAC37B8">
                  <w:pPr>
                    <w:jc w:val="center"/>
                    <w:rPr>
                      <w:rFonts w:hint="default" w:ascii="Times New Roman" w:hAnsi="Times New Roman" w:eastAsia="宋体" w:cs="Times New Roman"/>
                      <w:color w:val="auto"/>
                      <w:sz w:val="21"/>
                      <w:szCs w:val="21"/>
                      <w:highlight w:val="none"/>
                      <w:u w:val="none" w:color="auto"/>
                      <w:lang w:val="en-US"/>
                    </w:rPr>
                  </w:pPr>
                  <w:r>
                    <w:rPr>
                      <w:rFonts w:hint="eastAsia" w:cs="Times New Roman"/>
                      <w:color w:val="auto"/>
                      <w:sz w:val="21"/>
                      <w:szCs w:val="21"/>
                      <w:highlight w:val="none"/>
                      <w:u w:val="none" w:color="auto"/>
                      <w:lang w:val="en-US" w:eastAsia="zh-CN"/>
                    </w:rPr>
                    <w:t>300</w:t>
                  </w:r>
                </w:p>
              </w:tc>
            </w:tr>
            <w:tr w14:paraId="32D8E00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atLeast"/>
                <w:jc w:val="center"/>
              </w:trPr>
              <w:tc>
                <w:tcPr>
                  <w:tcW w:w="1774" w:type="dxa"/>
                  <w:tcBorders>
                    <w:tl2br w:val="nil"/>
                    <w:tr2bl w:val="nil"/>
                  </w:tcBorders>
                  <w:vAlign w:val="center"/>
                </w:tcPr>
                <w:p w14:paraId="7167E754">
                  <w:pPr>
                    <w:kinsoku w:val="0"/>
                    <w:overflowPunct w:val="0"/>
                    <w:jc w:val="center"/>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动植物油</w:t>
                  </w:r>
                </w:p>
              </w:tc>
              <w:tc>
                <w:tcPr>
                  <w:tcW w:w="2058" w:type="dxa"/>
                  <w:tcBorders>
                    <w:tl2br w:val="nil"/>
                    <w:tr2bl w:val="nil"/>
                  </w:tcBorders>
                  <w:vAlign w:val="center"/>
                </w:tcPr>
                <w:p w14:paraId="402C96EA">
                  <w:pPr>
                    <w:kinsoku w:val="0"/>
                    <w:overflowPunct w:val="0"/>
                    <w:jc w:val="center"/>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100</w:t>
                  </w:r>
                </w:p>
              </w:tc>
              <w:tc>
                <w:tcPr>
                  <w:tcW w:w="1955" w:type="dxa"/>
                  <w:tcBorders>
                    <w:tl2br w:val="nil"/>
                    <w:tr2bl w:val="nil"/>
                  </w:tcBorders>
                  <w:vAlign w:val="center"/>
                </w:tcPr>
                <w:p w14:paraId="1082BD4B">
                  <w:pPr>
                    <w:jc w:val="center"/>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w:t>
                  </w:r>
                </w:p>
              </w:tc>
              <w:tc>
                <w:tcPr>
                  <w:tcW w:w="2253" w:type="dxa"/>
                  <w:tcBorders>
                    <w:tl2br w:val="nil"/>
                    <w:tr2bl w:val="nil"/>
                  </w:tcBorders>
                  <w:vAlign w:val="center"/>
                </w:tcPr>
                <w:p w14:paraId="5F872785">
                  <w:pPr>
                    <w:jc w:val="center"/>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100</w:t>
                  </w:r>
                </w:p>
              </w:tc>
            </w:tr>
          </w:tbl>
          <w:p w14:paraId="05E409E3">
            <w:pPr>
              <w:spacing w:line="500" w:lineRule="exact"/>
              <w:ind w:firstLine="482" w:firstLineChars="200"/>
              <w:jc w:val="left"/>
              <w:rPr>
                <w:rStyle w:val="70"/>
                <w:rFonts w:hint="default" w:ascii="Times New Roman" w:hAnsi="Times New Roman" w:eastAsia="宋体" w:cs="Times New Roman"/>
                <w:bCs w:val="0"/>
                <w:color w:val="auto"/>
                <w:sz w:val="24"/>
                <w:szCs w:val="24"/>
                <w:highlight w:val="none"/>
                <w:u w:val="none" w:color="auto"/>
              </w:rPr>
            </w:pPr>
            <w:r>
              <w:rPr>
                <w:rStyle w:val="70"/>
                <w:rFonts w:hint="default" w:ascii="Times New Roman" w:hAnsi="Times New Roman" w:eastAsia="宋体" w:cs="Times New Roman"/>
                <w:bCs w:val="0"/>
                <w:color w:val="auto"/>
                <w:sz w:val="24"/>
                <w:szCs w:val="24"/>
                <w:highlight w:val="none"/>
                <w:u w:val="none" w:color="auto"/>
              </w:rPr>
              <w:t>三、噪声排放标准</w:t>
            </w:r>
          </w:p>
          <w:p w14:paraId="01D5B5F1">
            <w:pPr>
              <w:snapToGrid w:val="0"/>
              <w:spacing w:line="500" w:lineRule="exact"/>
              <w:ind w:firstLine="480" w:firstLineChars="20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营运期噪声排放厂界执行《工业企业厂界环境噪声排放标准》（GB12348-2008）中表1中</w:t>
            </w:r>
            <w:r>
              <w:rPr>
                <w:rFonts w:hint="eastAsia" w:cs="Times New Roman"/>
                <w:color w:val="auto"/>
                <w:highlight w:val="none"/>
                <w:u w:val="none" w:color="auto"/>
                <w:lang w:val="en-US" w:eastAsia="zh-CN"/>
              </w:rPr>
              <w:t>2</w:t>
            </w:r>
            <w:r>
              <w:rPr>
                <w:rFonts w:hint="default" w:ascii="Times New Roman" w:hAnsi="Times New Roman" w:eastAsia="宋体" w:cs="Times New Roman"/>
                <w:color w:val="auto"/>
                <w:highlight w:val="none"/>
                <w:u w:val="none" w:color="auto"/>
              </w:rPr>
              <w:t>类标准，项目噪声排放标准见表3-</w:t>
            </w:r>
            <w:r>
              <w:rPr>
                <w:rFonts w:hint="default" w:ascii="Times New Roman" w:hAnsi="Times New Roman" w:eastAsia="宋体" w:cs="Times New Roman"/>
                <w:color w:val="auto"/>
                <w:highlight w:val="none"/>
                <w:u w:val="none" w:color="auto"/>
                <w:lang w:val="en-US" w:eastAsia="zh-CN"/>
              </w:rPr>
              <w:t>1</w:t>
            </w:r>
            <w:r>
              <w:rPr>
                <w:rFonts w:hint="eastAsia" w:cs="Times New Roman"/>
                <w:color w:val="auto"/>
                <w:highlight w:val="none"/>
                <w:u w:val="none" w:color="auto"/>
                <w:lang w:val="en-US" w:eastAsia="zh-CN"/>
              </w:rPr>
              <w:t>5</w:t>
            </w:r>
            <w:r>
              <w:rPr>
                <w:rFonts w:hint="default" w:ascii="Times New Roman" w:hAnsi="Times New Roman" w:eastAsia="宋体" w:cs="Times New Roman"/>
                <w:color w:val="auto"/>
                <w:highlight w:val="none"/>
                <w:u w:val="none" w:color="auto"/>
              </w:rPr>
              <w:t>。</w:t>
            </w:r>
          </w:p>
          <w:p w14:paraId="5BCED145">
            <w:pPr>
              <w:spacing w:before="120" w:beforeLines="50"/>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表3-1</w:t>
            </w:r>
            <w:r>
              <w:rPr>
                <w:rFonts w:hint="eastAsia" w:cs="Times New Roman"/>
                <w:b/>
                <w:color w:val="auto"/>
                <w:sz w:val="21"/>
                <w:szCs w:val="21"/>
                <w:highlight w:val="none"/>
                <w:u w:val="none" w:color="auto"/>
                <w:lang w:val="en-US" w:eastAsia="zh-CN"/>
              </w:rPr>
              <w:t>5</w:t>
            </w:r>
            <w:r>
              <w:rPr>
                <w:rFonts w:hint="default" w:ascii="Times New Roman" w:hAnsi="Times New Roman" w:eastAsia="宋体" w:cs="Times New Roman"/>
                <w:b/>
                <w:color w:val="auto"/>
                <w:sz w:val="21"/>
                <w:szCs w:val="21"/>
                <w:highlight w:val="none"/>
                <w:u w:val="none" w:color="auto"/>
              </w:rPr>
              <w:t xml:space="preserve"> 项目噪声排放标准一览表</w:t>
            </w:r>
          </w:p>
          <w:tbl>
            <w:tblPr>
              <w:tblStyle w:val="42"/>
              <w:tblW w:w="5000" w:type="pct"/>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99"/>
              <w:gridCol w:w="1365"/>
              <w:gridCol w:w="1365"/>
              <w:gridCol w:w="1323"/>
              <w:gridCol w:w="2858"/>
            </w:tblGrid>
            <w:tr w14:paraId="48FB70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6" w:type="pct"/>
                  <w:tcBorders>
                    <w:tl2br w:val="nil"/>
                    <w:tr2bl w:val="nil"/>
                  </w:tcBorders>
                  <w:vAlign w:val="center"/>
                </w:tcPr>
                <w:p w14:paraId="282D3E37">
                  <w:pPr>
                    <w:jc w:val="center"/>
                    <w:rPr>
                      <w:rStyle w:val="70"/>
                      <w:rFonts w:hint="default" w:ascii="Times New Roman" w:hAnsi="Times New Roman" w:eastAsia="宋体" w:cs="Times New Roman"/>
                      <w:bCs w:val="0"/>
                      <w:color w:val="auto"/>
                      <w:sz w:val="21"/>
                      <w:szCs w:val="21"/>
                      <w:highlight w:val="none"/>
                      <w:u w:val="none" w:color="auto"/>
                    </w:rPr>
                  </w:pPr>
                  <w:r>
                    <w:rPr>
                      <w:rStyle w:val="70"/>
                      <w:rFonts w:hint="default" w:ascii="Times New Roman" w:hAnsi="Times New Roman" w:eastAsia="宋体" w:cs="Times New Roman"/>
                      <w:bCs w:val="0"/>
                      <w:color w:val="auto"/>
                      <w:sz w:val="21"/>
                      <w:szCs w:val="21"/>
                      <w:highlight w:val="none"/>
                      <w:u w:val="none" w:color="auto"/>
                    </w:rPr>
                    <w:t>时期</w:t>
                  </w:r>
                </w:p>
              </w:tc>
              <w:tc>
                <w:tcPr>
                  <w:tcW w:w="852" w:type="pct"/>
                  <w:tcBorders>
                    <w:tl2br w:val="nil"/>
                    <w:tr2bl w:val="nil"/>
                  </w:tcBorders>
                  <w:vAlign w:val="center"/>
                </w:tcPr>
                <w:p w14:paraId="4EE0DDB3">
                  <w:pPr>
                    <w:jc w:val="center"/>
                    <w:rPr>
                      <w:rStyle w:val="70"/>
                      <w:rFonts w:hint="default" w:ascii="Times New Roman" w:hAnsi="Times New Roman" w:eastAsia="宋体" w:cs="Times New Roman"/>
                      <w:bCs w:val="0"/>
                      <w:color w:val="auto"/>
                      <w:sz w:val="21"/>
                      <w:szCs w:val="21"/>
                      <w:highlight w:val="none"/>
                      <w:u w:val="none" w:color="auto"/>
                    </w:rPr>
                  </w:pPr>
                  <w:r>
                    <w:rPr>
                      <w:rStyle w:val="70"/>
                      <w:rFonts w:hint="default" w:ascii="Times New Roman" w:hAnsi="Times New Roman" w:eastAsia="宋体" w:cs="Times New Roman"/>
                      <w:bCs w:val="0"/>
                      <w:color w:val="auto"/>
                      <w:sz w:val="21"/>
                      <w:szCs w:val="21"/>
                      <w:highlight w:val="none"/>
                      <w:u w:val="none" w:color="auto"/>
                    </w:rPr>
                    <w:t>类别</w:t>
                  </w:r>
                </w:p>
              </w:tc>
              <w:tc>
                <w:tcPr>
                  <w:tcW w:w="852" w:type="pct"/>
                  <w:tcBorders>
                    <w:tl2br w:val="nil"/>
                    <w:tr2bl w:val="nil"/>
                  </w:tcBorders>
                  <w:vAlign w:val="center"/>
                </w:tcPr>
                <w:p w14:paraId="2D73D926">
                  <w:pPr>
                    <w:jc w:val="center"/>
                    <w:rPr>
                      <w:rStyle w:val="70"/>
                      <w:rFonts w:hint="default" w:ascii="Times New Roman" w:hAnsi="Times New Roman" w:eastAsia="宋体" w:cs="Times New Roman"/>
                      <w:bCs w:val="0"/>
                      <w:color w:val="auto"/>
                      <w:sz w:val="21"/>
                      <w:szCs w:val="21"/>
                      <w:highlight w:val="none"/>
                      <w:u w:val="none" w:color="auto"/>
                    </w:rPr>
                  </w:pPr>
                  <w:r>
                    <w:rPr>
                      <w:rStyle w:val="70"/>
                      <w:rFonts w:hint="default" w:ascii="Times New Roman" w:hAnsi="Times New Roman" w:eastAsia="宋体" w:cs="Times New Roman"/>
                      <w:bCs w:val="0"/>
                      <w:color w:val="auto"/>
                      <w:sz w:val="21"/>
                      <w:szCs w:val="21"/>
                      <w:highlight w:val="none"/>
                      <w:u w:val="none" w:color="auto"/>
                    </w:rPr>
                    <w:t>昼间</w:t>
                  </w:r>
                </w:p>
              </w:tc>
              <w:tc>
                <w:tcPr>
                  <w:tcW w:w="826" w:type="pct"/>
                  <w:tcBorders>
                    <w:tl2br w:val="nil"/>
                    <w:tr2bl w:val="nil"/>
                  </w:tcBorders>
                  <w:vAlign w:val="center"/>
                </w:tcPr>
                <w:p w14:paraId="71693919">
                  <w:pPr>
                    <w:jc w:val="center"/>
                    <w:rPr>
                      <w:rStyle w:val="70"/>
                      <w:rFonts w:hint="default" w:ascii="Times New Roman" w:hAnsi="Times New Roman" w:eastAsia="宋体" w:cs="Times New Roman"/>
                      <w:bCs w:val="0"/>
                      <w:color w:val="auto"/>
                      <w:sz w:val="21"/>
                      <w:szCs w:val="21"/>
                      <w:highlight w:val="none"/>
                      <w:u w:val="none" w:color="auto"/>
                    </w:rPr>
                  </w:pPr>
                  <w:r>
                    <w:rPr>
                      <w:rStyle w:val="70"/>
                      <w:rFonts w:hint="default" w:ascii="Times New Roman" w:hAnsi="Times New Roman" w:eastAsia="宋体" w:cs="Times New Roman"/>
                      <w:bCs w:val="0"/>
                      <w:color w:val="auto"/>
                      <w:sz w:val="21"/>
                      <w:szCs w:val="21"/>
                      <w:highlight w:val="none"/>
                      <w:u w:val="none" w:color="auto"/>
                    </w:rPr>
                    <w:t>夜间</w:t>
                  </w:r>
                </w:p>
              </w:tc>
              <w:tc>
                <w:tcPr>
                  <w:tcW w:w="1784" w:type="pct"/>
                  <w:tcBorders>
                    <w:tl2br w:val="nil"/>
                    <w:tr2bl w:val="nil"/>
                  </w:tcBorders>
                  <w:vAlign w:val="center"/>
                </w:tcPr>
                <w:p w14:paraId="57C7883E">
                  <w:pPr>
                    <w:jc w:val="center"/>
                    <w:rPr>
                      <w:rStyle w:val="70"/>
                      <w:rFonts w:hint="default" w:ascii="Times New Roman" w:hAnsi="Times New Roman" w:eastAsia="宋体" w:cs="Times New Roman"/>
                      <w:bCs w:val="0"/>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标准来源</w:t>
                  </w:r>
                </w:p>
              </w:tc>
            </w:tr>
            <w:tr w14:paraId="0DB6432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686" w:type="pct"/>
                  <w:tcBorders>
                    <w:tl2br w:val="nil"/>
                    <w:tr2bl w:val="nil"/>
                  </w:tcBorders>
                  <w:vAlign w:val="center"/>
                </w:tcPr>
                <w:p w14:paraId="662CD84C">
                  <w:pPr>
                    <w:jc w:val="center"/>
                    <w:rPr>
                      <w:rStyle w:val="70"/>
                      <w:rFonts w:hint="default" w:ascii="Times New Roman" w:hAnsi="Times New Roman" w:eastAsia="宋体" w:cs="Times New Roman"/>
                      <w:b w:val="0"/>
                      <w:color w:val="auto"/>
                      <w:sz w:val="21"/>
                      <w:szCs w:val="21"/>
                      <w:highlight w:val="none"/>
                      <w:u w:val="none" w:color="auto"/>
                    </w:rPr>
                  </w:pPr>
                  <w:r>
                    <w:rPr>
                      <w:rStyle w:val="70"/>
                      <w:rFonts w:hint="default" w:ascii="Times New Roman" w:hAnsi="Times New Roman" w:eastAsia="宋体" w:cs="Times New Roman"/>
                      <w:b w:val="0"/>
                      <w:color w:val="auto"/>
                      <w:sz w:val="21"/>
                      <w:szCs w:val="21"/>
                      <w:highlight w:val="none"/>
                      <w:u w:val="none" w:color="auto"/>
                    </w:rPr>
                    <w:t>营运期</w:t>
                  </w:r>
                </w:p>
              </w:tc>
              <w:tc>
                <w:tcPr>
                  <w:tcW w:w="852" w:type="pct"/>
                  <w:tcBorders>
                    <w:tl2br w:val="nil"/>
                    <w:tr2bl w:val="nil"/>
                  </w:tcBorders>
                  <w:vAlign w:val="center"/>
                </w:tcPr>
                <w:p w14:paraId="26F50111">
                  <w:pPr>
                    <w:jc w:val="center"/>
                    <w:rPr>
                      <w:rStyle w:val="70"/>
                      <w:rFonts w:hint="default" w:ascii="Times New Roman" w:hAnsi="Times New Roman" w:eastAsia="宋体" w:cs="Times New Roman"/>
                      <w:b w:val="0"/>
                      <w:color w:val="auto"/>
                      <w:sz w:val="21"/>
                      <w:szCs w:val="21"/>
                      <w:highlight w:val="none"/>
                      <w:u w:val="none" w:color="auto"/>
                    </w:rPr>
                  </w:pPr>
                  <w:r>
                    <w:rPr>
                      <w:rStyle w:val="70"/>
                      <w:rFonts w:hint="default" w:ascii="Times New Roman" w:hAnsi="Times New Roman" w:cs="Times New Roman"/>
                      <w:b w:val="0"/>
                      <w:color w:val="auto"/>
                      <w:sz w:val="21"/>
                      <w:szCs w:val="21"/>
                      <w:highlight w:val="none"/>
                      <w:u w:val="none" w:color="auto"/>
                      <w:lang w:val="en-US" w:eastAsia="zh-CN"/>
                    </w:rPr>
                    <w:t>2</w:t>
                  </w:r>
                  <w:r>
                    <w:rPr>
                      <w:rStyle w:val="70"/>
                      <w:rFonts w:hint="default" w:ascii="Times New Roman" w:hAnsi="Times New Roman" w:eastAsia="宋体" w:cs="Times New Roman"/>
                      <w:b w:val="0"/>
                      <w:color w:val="auto"/>
                      <w:sz w:val="21"/>
                      <w:szCs w:val="21"/>
                      <w:highlight w:val="none"/>
                      <w:u w:val="none" w:color="auto"/>
                    </w:rPr>
                    <w:t>类</w:t>
                  </w:r>
                </w:p>
              </w:tc>
              <w:tc>
                <w:tcPr>
                  <w:tcW w:w="852" w:type="pct"/>
                  <w:tcBorders>
                    <w:tl2br w:val="nil"/>
                    <w:tr2bl w:val="nil"/>
                  </w:tcBorders>
                  <w:vAlign w:val="center"/>
                </w:tcPr>
                <w:p w14:paraId="4034460B">
                  <w:pPr>
                    <w:jc w:val="center"/>
                    <w:rPr>
                      <w:rStyle w:val="70"/>
                      <w:rFonts w:hint="default" w:ascii="Times New Roman" w:hAnsi="Times New Roman" w:eastAsia="宋体" w:cs="Times New Roman"/>
                      <w:b w:val="0"/>
                      <w:color w:val="auto"/>
                      <w:sz w:val="21"/>
                      <w:szCs w:val="21"/>
                      <w:highlight w:val="none"/>
                      <w:u w:val="none" w:color="auto"/>
                    </w:rPr>
                  </w:pPr>
                  <w:r>
                    <w:rPr>
                      <w:rStyle w:val="70"/>
                      <w:rFonts w:hint="default" w:ascii="Times New Roman" w:hAnsi="Times New Roman" w:cs="Times New Roman"/>
                      <w:b w:val="0"/>
                      <w:color w:val="auto"/>
                      <w:sz w:val="21"/>
                      <w:szCs w:val="21"/>
                      <w:highlight w:val="none"/>
                      <w:u w:val="none" w:color="auto"/>
                      <w:lang w:val="en-US" w:eastAsia="zh-CN"/>
                    </w:rPr>
                    <w:t>60</w:t>
                  </w:r>
                  <w:r>
                    <w:rPr>
                      <w:rStyle w:val="70"/>
                      <w:rFonts w:hint="default" w:ascii="Times New Roman" w:hAnsi="Times New Roman" w:eastAsia="宋体" w:cs="Times New Roman"/>
                      <w:b w:val="0"/>
                      <w:color w:val="auto"/>
                      <w:sz w:val="21"/>
                      <w:szCs w:val="21"/>
                      <w:highlight w:val="none"/>
                      <w:u w:val="none" w:color="auto"/>
                    </w:rPr>
                    <w:t>dB（A）</w:t>
                  </w:r>
                </w:p>
              </w:tc>
              <w:tc>
                <w:tcPr>
                  <w:tcW w:w="826" w:type="pct"/>
                  <w:tcBorders>
                    <w:tl2br w:val="nil"/>
                    <w:tr2bl w:val="nil"/>
                  </w:tcBorders>
                  <w:vAlign w:val="center"/>
                </w:tcPr>
                <w:p w14:paraId="17EF2B2C">
                  <w:pPr>
                    <w:jc w:val="center"/>
                    <w:rPr>
                      <w:rStyle w:val="70"/>
                      <w:rFonts w:hint="default" w:ascii="Times New Roman" w:hAnsi="Times New Roman" w:eastAsia="宋体" w:cs="Times New Roman"/>
                      <w:b w:val="0"/>
                      <w:color w:val="auto"/>
                      <w:sz w:val="21"/>
                      <w:szCs w:val="21"/>
                      <w:highlight w:val="none"/>
                      <w:u w:val="none" w:color="auto"/>
                    </w:rPr>
                  </w:pPr>
                  <w:r>
                    <w:rPr>
                      <w:rStyle w:val="70"/>
                      <w:rFonts w:hint="default" w:ascii="Times New Roman" w:hAnsi="Times New Roman" w:cs="Times New Roman"/>
                      <w:b w:val="0"/>
                      <w:color w:val="auto"/>
                      <w:sz w:val="21"/>
                      <w:szCs w:val="21"/>
                      <w:highlight w:val="none"/>
                      <w:u w:val="none" w:color="auto"/>
                      <w:lang w:val="en-US" w:eastAsia="zh-CN"/>
                    </w:rPr>
                    <w:t>50</w:t>
                  </w:r>
                  <w:r>
                    <w:rPr>
                      <w:rStyle w:val="70"/>
                      <w:rFonts w:hint="default" w:ascii="Times New Roman" w:hAnsi="Times New Roman" w:eastAsia="宋体" w:cs="Times New Roman"/>
                      <w:b w:val="0"/>
                      <w:color w:val="auto"/>
                      <w:sz w:val="21"/>
                      <w:szCs w:val="21"/>
                      <w:highlight w:val="none"/>
                      <w:u w:val="none" w:color="auto"/>
                    </w:rPr>
                    <w:t>dB（A）</w:t>
                  </w:r>
                </w:p>
              </w:tc>
              <w:tc>
                <w:tcPr>
                  <w:tcW w:w="1784" w:type="pct"/>
                  <w:tcBorders>
                    <w:tl2br w:val="nil"/>
                    <w:tr2bl w:val="nil"/>
                  </w:tcBorders>
                  <w:vAlign w:val="center"/>
                </w:tcPr>
                <w:p w14:paraId="13811858">
                  <w:pPr>
                    <w:jc w:val="center"/>
                    <w:rPr>
                      <w:rStyle w:val="70"/>
                      <w:rFonts w:hint="default" w:ascii="Times New Roman" w:hAnsi="Times New Roman" w:eastAsia="宋体" w:cs="Times New Roman"/>
                      <w:b w:val="0"/>
                      <w:color w:val="auto"/>
                      <w:sz w:val="21"/>
                      <w:szCs w:val="21"/>
                      <w:highlight w:val="none"/>
                      <w:u w:val="none" w:color="auto"/>
                    </w:rPr>
                  </w:pPr>
                  <w:r>
                    <w:rPr>
                      <w:rStyle w:val="70"/>
                      <w:rFonts w:hint="default" w:ascii="Times New Roman" w:hAnsi="Times New Roman" w:eastAsia="宋体" w:cs="Times New Roman"/>
                      <w:b w:val="0"/>
                      <w:color w:val="auto"/>
                      <w:sz w:val="21"/>
                      <w:szCs w:val="21"/>
                      <w:highlight w:val="none"/>
                      <w:u w:val="none" w:color="auto"/>
                    </w:rPr>
                    <w:t>《工业企业厂界环境噪声排放标准》（GB12348-2008）</w:t>
                  </w:r>
                </w:p>
              </w:tc>
            </w:tr>
          </w:tbl>
          <w:p w14:paraId="07AAEAB1">
            <w:pPr>
              <w:spacing w:line="500" w:lineRule="exact"/>
              <w:ind w:firstLine="482" w:firstLineChars="200"/>
              <w:jc w:val="left"/>
              <w:rPr>
                <w:rStyle w:val="70"/>
                <w:rFonts w:hint="default" w:ascii="Times New Roman" w:hAnsi="Times New Roman" w:eastAsia="宋体" w:cs="Times New Roman"/>
                <w:bCs w:val="0"/>
                <w:color w:val="auto"/>
                <w:sz w:val="24"/>
                <w:szCs w:val="24"/>
                <w:highlight w:val="none"/>
                <w:u w:val="none" w:color="auto"/>
              </w:rPr>
            </w:pPr>
            <w:r>
              <w:rPr>
                <w:rStyle w:val="70"/>
                <w:rFonts w:hint="default" w:ascii="Times New Roman" w:hAnsi="Times New Roman" w:eastAsia="宋体" w:cs="Times New Roman"/>
                <w:bCs w:val="0"/>
                <w:color w:val="auto"/>
                <w:sz w:val="24"/>
                <w:szCs w:val="24"/>
                <w:highlight w:val="none"/>
                <w:u w:val="none" w:color="auto"/>
              </w:rPr>
              <w:t>四、固体废物控制标准</w:t>
            </w:r>
          </w:p>
          <w:p w14:paraId="67872A91">
            <w:pPr>
              <w:spacing w:line="500" w:lineRule="exact"/>
              <w:ind w:firstLine="480" w:firstLineChars="200"/>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rPr>
              <w:t>一般工业固体废物执行《一般工业固体废物贮存和填埋污染控制标准》（GB18599-2020）</w:t>
            </w:r>
            <w:r>
              <w:rPr>
                <w:rFonts w:hint="default" w:ascii="Times New Roman" w:hAnsi="Times New Roman" w:eastAsia="宋体" w:cs="Times New Roman"/>
                <w:color w:val="auto"/>
                <w:highlight w:val="none"/>
                <w:u w:val="none" w:color="auto"/>
                <w:lang w:val="en-US" w:eastAsia="zh-CN"/>
              </w:rPr>
              <w:t>相关标准要求</w:t>
            </w:r>
            <w:r>
              <w:rPr>
                <w:rFonts w:hint="default" w:ascii="Times New Roman" w:hAnsi="Times New Roman" w:eastAsia="宋体" w:cs="Times New Roman"/>
                <w:color w:val="auto"/>
                <w:highlight w:val="none"/>
                <w:u w:val="none" w:color="auto"/>
              </w:rPr>
              <w:t>；危险废物执行《危险废物贮存污染控制标准》（GB18597-2023）</w:t>
            </w:r>
            <w:r>
              <w:rPr>
                <w:rFonts w:hint="default" w:ascii="Times New Roman" w:hAnsi="Times New Roman" w:eastAsia="宋体" w:cs="Times New Roman"/>
                <w:color w:val="auto"/>
                <w:highlight w:val="none"/>
                <w:u w:val="none" w:color="auto"/>
                <w:lang w:val="en-US" w:eastAsia="zh-CN"/>
              </w:rPr>
              <w:t>中相关标准要求</w:t>
            </w:r>
            <w:r>
              <w:rPr>
                <w:rFonts w:hint="default" w:ascii="Times New Roman" w:hAnsi="Times New Roman" w:eastAsia="宋体" w:cs="Times New Roman"/>
                <w:color w:val="auto"/>
                <w:highlight w:val="none"/>
                <w:u w:val="none" w:color="auto"/>
              </w:rPr>
              <w:t>。</w:t>
            </w:r>
          </w:p>
        </w:tc>
      </w:tr>
      <w:tr w14:paraId="18617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44" w:type="pct"/>
            <w:vAlign w:val="center"/>
          </w:tcPr>
          <w:p w14:paraId="57206258">
            <w:pPr>
              <w:adjustRightInd w:val="0"/>
              <w:snapToGrid w:val="0"/>
              <w:jc w:val="center"/>
              <w:rPr>
                <w:rFonts w:hint="default" w:ascii="Times New Roman" w:hAnsi="Times New Roman" w:eastAsia="宋体" w:cs="Times New Roman"/>
                <w:color w:val="auto"/>
                <w:kern w:val="0"/>
                <w:szCs w:val="21"/>
                <w:highlight w:val="none"/>
                <w:u w:val="none" w:color="auto"/>
              </w:rPr>
            </w:pPr>
            <w:r>
              <w:rPr>
                <w:rFonts w:hint="default" w:ascii="Times New Roman" w:hAnsi="Times New Roman" w:eastAsia="宋体" w:cs="Times New Roman"/>
                <w:color w:val="auto"/>
                <w:kern w:val="0"/>
                <w:szCs w:val="21"/>
                <w:highlight w:val="none"/>
                <w:u w:val="none" w:color="auto"/>
              </w:rPr>
              <w:t>总量</w:t>
            </w:r>
          </w:p>
          <w:p w14:paraId="598C8B60">
            <w:pPr>
              <w:adjustRightInd w:val="0"/>
              <w:snapToGrid w:val="0"/>
              <w:jc w:val="center"/>
              <w:rPr>
                <w:rFonts w:hint="default" w:ascii="Times New Roman" w:hAnsi="Times New Roman" w:eastAsia="宋体" w:cs="Times New Roman"/>
                <w:color w:val="auto"/>
                <w:kern w:val="0"/>
                <w:szCs w:val="21"/>
                <w:highlight w:val="none"/>
                <w:u w:val="none" w:color="auto"/>
              </w:rPr>
            </w:pPr>
            <w:r>
              <w:rPr>
                <w:rFonts w:hint="default" w:ascii="Times New Roman" w:hAnsi="Times New Roman" w:eastAsia="宋体" w:cs="Times New Roman"/>
                <w:color w:val="auto"/>
                <w:kern w:val="0"/>
                <w:szCs w:val="21"/>
                <w:highlight w:val="none"/>
                <w:u w:val="none" w:color="auto"/>
              </w:rPr>
              <w:t>控制</w:t>
            </w:r>
          </w:p>
          <w:p w14:paraId="59EF2A71">
            <w:pPr>
              <w:adjustRightInd w:val="0"/>
              <w:snapToGrid w:val="0"/>
              <w:jc w:val="center"/>
              <w:rPr>
                <w:rFonts w:hint="default" w:ascii="Times New Roman" w:hAnsi="Times New Roman" w:eastAsia="宋体" w:cs="Times New Roman"/>
                <w:color w:val="auto"/>
                <w:kern w:val="0"/>
                <w:szCs w:val="21"/>
                <w:highlight w:val="none"/>
                <w:u w:val="none" w:color="auto"/>
              </w:rPr>
            </w:pPr>
            <w:r>
              <w:rPr>
                <w:rFonts w:hint="default" w:ascii="Times New Roman" w:hAnsi="Times New Roman" w:eastAsia="宋体" w:cs="Times New Roman"/>
                <w:color w:val="auto"/>
                <w:kern w:val="0"/>
                <w:szCs w:val="21"/>
                <w:highlight w:val="none"/>
                <w:u w:val="none" w:color="auto"/>
              </w:rPr>
              <w:t>指标</w:t>
            </w:r>
          </w:p>
        </w:tc>
        <w:tc>
          <w:tcPr>
            <w:tcW w:w="4555" w:type="pct"/>
          </w:tcPr>
          <w:p w14:paraId="19A49B04">
            <w:pPr>
              <w:keepNext w:val="0"/>
              <w:keepLines w:val="0"/>
              <w:suppressLineNumbers w:val="0"/>
              <w:bidi w:val="0"/>
              <w:spacing w:before="0" w:beforeAutospacing="0" w:after="0" w:afterAutospacing="0" w:line="360" w:lineRule="auto"/>
              <w:ind w:left="0" w:right="0" w:firstLine="480" w:firstLineChars="200"/>
              <w:rPr>
                <w:rFonts w:hint="default" w:cs="Times New Roman"/>
                <w:color w:val="auto"/>
                <w:sz w:val="24"/>
                <w:szCs w:val="24"/>
                <w:u w:val="none" w:color="auto"/>
                <w:lang w:eastAsia="zh-CN"/>
              </w:rPr>
            </w:pPr>
            <w:r>
              <w:rPr>
                <w:rFonts w:hint="default" w:cs="Times New Roman"/>
                <w:color w:val="auto"/>
                <w:sz w:val="24"/>
                <w:szCs w:val="24"/>
                <w:u w:val="none" w:color="auto"/>
                <w:lang w:val="en-US" w:eastAsia="zh-CN"/>
              </w:rPr>
              <w:t>本项目</w:t>
            </w:r>
            <w:r>
              <w:rPr>
                <w:rFonts w:hint="eastAsia" w:cs="Times New Roman"/>
                <w:color w:val="auto"/>
                <w:sz w:val="24"/>
                <w:szCs w:val="24"/>
                <w:u w:val="none" w:color="auto"/>
                <w:lang w:val="en-US" w:eastAsia="zh-CN"/>
              </w:rPr>
              <w:t>废水运至</w:t>
            </w:r>
            <w:r>
              <w:rPr>
                <w:rFonts w:hint="eastAsia" w:cs="Times New Roman"/>
                <w:color w:val="auto"/>
                <w:sz w:val="24"/>
                <w:szCs w:val="24"/>
                <w:highlight w:val="none"/>
                <w:u w:val="none" w:color="auto"/>
                <w:lang w:val="en-US" w:eastAsia="zh-CN"/>
              </w:rPr>
              <w:t>汨罗市大荆镇古仑片区污水处理站</w:t>
            </w:r>
            <w:r>
              <w:rPr>
                <w:rFonts w:hint="eastAsia" w:cs="Times New Roman"/>
                <w:color w:val="auto"/>
                <w:sz w:val="24"/>
                <w:szCs w:val="24"/>
                <w:u w:val="none" w:color="auto"/>
                <w:lang w:val="en-US" w:eastAsia="zh-CN"/>
              </w:rPr>
              <w:t>处理，</w:t>
            </w:r>
            <w:r>
              <w:rPr>
                <w:rFonts w:hint="default" w:cs="Times New Roman"/>
                <w:color w:val="auto"/>
                <w:sz w:val="24"/>
                <w:szCs w:val="24"/>
                <w:u w:val="none" w:color="auto"/>
              </w:rPr>
              <w:t>处理达到《城镇污水处理厂污染物排放标准》（GB18918-2002）一级</w:t>
            </w:r>
            <w:r>
              <w:rPr>
                <w:rFonts w:hint="eastAsia" w:cs="Times New Roman"/>
                <w:color w:val="auto"/>
                <w:sz w:val="24"/>
                <w:szCs w:val="24"/>
                <w:u w:val="none" w:color="auto"/>
                <w:lang w:val="en-US" w:eastAsia="zh-CN"/>
              </w:rPr>
              <w:t>B</w:t>
            </w:r>
            <w:r>
              <w:rPr>
                <w:rFonts w:hint="default" w:cs="Times New Roman"/>
                <w:color w:val="auto"/>
                <w:sz w:val="24"/>
                <w:szCs w:val="24"/>
                <w:u w:val="none" w:color="auto"/>
              </w:rPr>
              <w:t>标准</w:t>
            </w:r>
            <w:r>
              <w:rPr>
                <w:rFonts w:hint="default" w:cs="Times New Roman"/>
                <w:color w:val="auto"/>
                <w:sz w:val="24"/>
                <w:szCs w:val="24"/>
                <w:u w:val="none" w:color="auto"/>
                <w:lang w:val="en-US" w:eastAsia="zh-CN"/>
              </w:rPr>
              <w:t>后排放。</w:t>
            </w:r>
            <w:r>
              <w:rPr>
                <w:rFonts w:hint="default" w:cs="Times New Roman"/>
                <w:color w:val="auto"/>
                <w:sz w:val="24"/>
                <w:szCs w:val="24"/>
                <w:u w:val="none" w:color="auto"/>
              </w:rPr>
              <w:t>因此本项目水污染物总量指标</w:t>
            </w:r>
            <w:r>
              <w:rPr>
                <w:rFonts w:hint="eastAsia" w:cs="Times New Roman"/>
                <w:color w:val="auto"/>
                <w:sz w:val="24"/>
                <w:szCs w:val="24"/>
                <w:u w:val="none" w:color="auto"/>
                <w:lang w:eastAsia="zh-CN"/>
              </w:rPr>
              <w:t>为</w:t>
            </w:r>
            <w:r>
              <w:rPr>
                <w:rFonts w:hint="eastAsia" w:cs="Times New Roman"/>
                <w:color w:val="auto"/>
                <w:sz w:val="24"/>
                <w:szCs w:val="24"/>
                <w:u w:val="none" w:color="auto"/>
                <w:lang w:val="en-US" w:eastAsia="zh-CN"/>
              </w:rPr>
              <w:t>CODcr及氨氮</w:t>
            </w:r>
            <w:r>
              <w:rPr>
                <w:rFonts w:hint="default" w:cs="Times New Roman"/>
                <w:color w:val="auto"/>
                <w:sz w:val="24"/>
                <w:szCs w:val="24"/>
                <w:u w:val="none" w:color="auto"/>
                <w:lang w:eastAsia="zh-CN"/>
              </w:rPr>
              <w:t>。</w:t>
            </w:r>
          </w:p>
          <w:p w14:paraId="57B569E1">
            <w:pPr>
              <w:keepNext w:val="0"/>
              <w:keepLines w:val="0"/>
              <w:suppressLineNumbers w:val="0"/>
              <w:bidi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highlight w:val="none"/>
                <w:u w:val="none" w:color="auto"/>
                <w:lang w:val="en-US"/>
              </w:rPr>
            </w:pPr>
            <w:r>
              <w:rPr>
                <w:rFonts w:hint="eastAsia" w:eastAsia="宋体" w:cs="Times New Roman"/>
                <w:color w:val="auto"/>
                <w:sz w:val="24"/>
                <w:szCs w:val="24"/>
                <w:highlight w:val="none"/>
                <w:u w:val="none" w:color="auto"/>
                <w:lang w:val="en-US" w:eastAsia="zh-CN"/>
              </w:rPr>
              <w:t>本项目需申请总量控制指标二氧化硫、氮氧化物</w:t>
            </w:r>
            <w:r>
              <w:rPr>
                <w:rFonts w:hint="eastAsia" w:cs="Times New Roman"/>
                <w:color w:val="auto"/>
                <w:sz w:val="24"/>
                <w:szCs w:val="24"/>
                <w:highlight w:val="none"/>
                <w:u w:val="none" w:color="auto"/>
                <w:lang w:val="en-US" w:eastAsia="zh-CN"/>
              </w:rPr>
              <w:t>、</w:t>
            </w:r>
            <w:r>
              <w:rPr>
                <w:rFonts w:hint="eastAsia" w:eastAsia="宋体" w:cs="Times New Roman"/>
                <w:color w:val="auto"/>
                <w:sz w:val="24"/>
                <w:szCs w:val="24"/>
                <w:highlight w:val="none"/>
                <w:u w:val="none" w:color="auto"/>
                <w:lang w:val="en-US" w:eastAsia="zh-CN"/>
              </w:rPr>
              <w:t>CODcr</w:t>
            </w:r>
            <w:r>
              <w:rPr>
                <w:rFonts w:hint="eastAsia" w:cs="Times New Roman"/>
                <w:color w:val="auto"/>
                <w:sz w:val="24"/>
                <w:szCs w:val="24"/>
                <w:highlight w:val="none"/>
                <w:u w:val="none" w:color="auto"/>
                <w:lang w:val="en-US" w:eastAsia="zh-CN"/>
              </w:rPr>
              <w:t>及氨氮</w:t>
            </w:r>
            <w:r>
              <w:rPr>
                <w:rFonts w:hint="eastAsia" w:eastAsia="宋体" w:cs="Times New Roman"/>
                <w:color w:val="auto"/>
                <w:sz w:val="24"/>
                <w:szCs w:val="24"/>
                <w:highlight w:val="none"/>
                <w:u w:val="none" w:color="auto"/>
                <w:lang w:val="en-US" w:eastAsia="zh-CN"/>
              </w:rPr>
              <w:t xml:space="preserve">。总量控制指标如下： </w:t>
            </w:r>
          </w:p>
          <w:p w14:paraId="3A425FDF">
            <w:pPr>
              <w:keepNext w:val="0"/>
              <w:keepLines w:val="0"/>
              <w:widowControl/>
              <w:suppressLineNumbers w:val="0"/>
              <w:bidi w:val="0"/>
              <w:spacing w:before="0" w:beforeAutospacing="0" w:after="0" w:afterAutospacing="0" w:line="240" w:lineRule="auto"/>
              <w:ind w:left="0" w:right="0" w:firstLine="422" w:firstLineChars="200"/>
              <w:jc w:val="center"/>
              <w:rPr>
                <w:rFonts w:hint="default" w:ascii="Times New Roman" w:hAnsi="Times New Roman" w:eastAsia="宋体" w:cs="Times New Roman"/>
                <w:color w:val="auto"/>
                <w:kern w:val="2"/>
                <w:sz w:val="24"/>
                <w:szCs w:val="20"/>
                <w:highlight w:val="none"/>
                <w:u w:val="none" w:color="auto"/>
                <w:lang w:val="en-US" w:eastAsia="zh-CN" w:bidi="en-US"/>
              </w:rPr>
            </w:pPr>
            <w:r>
              <w:rPr>
                <w:rFonts w:hint="default" w:ascii="Times New Roman" w:hAnsi="Times New Roman" w:eastAsia="宋体" w:cs="Times New Roman"/>
                <w:b/>
                <w:bCs/>
                <w:color w:val="auto"/>
                <w:kern w:val="2"/>
                <w:sz w:val="21"/>
                <w:szCs w:val="21"/>
                <w:highlight w:val="none"/>
                <w:u w:val="none" w:color="auto"/>
                <w:lang w:val="en-US" w:eastAsia="zh-CN" w:bidi="en-US"/>
              </w:rPr>
              <w:t>表3-1</w:t>
            </w:r>
            <w:r>
              <w:rPr>
                <w:rFonts w:hint="eastAsia" w:cs="Times New Roman"/>
                <w:b/>
                <w:bCs/>
                <w:color w:val="auto"/>
                <w:kern w:val="2"/>
                <w:sz w:val="21"/>
                <w:szCs w:val="21"/>
                <w:highlight w:val="none"/>
                <w:u w:val="none" w:color="auto"/>
                <w:lang w:val="en-US" w:eastAsia="zh-CN" w:bidi="en-US"/>
              </w:rPr>
              <w:t xml:space="preserve">4 </w:t>
            </w:r>
            <w:r>
              <w:rPr>
                <w:rFonts w:hint="default" w:ascii="Times New Roman" w:hAnsi="Times New Roman" w:eastAsia="宋体" w:cs="Times New Roman"/>
                <w:b/>
                <w:bCs/>
                <w:color w:val="auto"/>
                <w:kern w:val="2"/>
                <w:sz w:val="21"/>
                <w:szCs w:val="21"/>
                <w:highlight w:val="none"/>
                <w:u w:val="none" w:color="auto"/>
                <w:lang w:val="en-US" w:eastAsia="zh-CN" w:bidi="en-US"/>
              </w:rPr>
              <w:t>总量控制指标一览表</w:t>
            </w:r>
          </w:p>
          <w:tbl>
            <w:tblPr>
              <w:tblStyle w:val="42"/>
              <w:tblW w:w="4842"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41"/>
              <w:gridCol w:w="1532"/>
              <w:gridCol w:w="2609"/>
              <w:gridCol w:w="2575"/>
            </w:tblGrid>
            <w:tr w14:paraId="6F24A1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70" w:type="pct"/>
                  <w:vMerge w:val="restart"/>
                  <w:tcBorders>
                    <w:bottom w:val="single" w:color="auto" w:sz="4" w:space="0"/>
                    <w:right w:val="single" w:color="auto" w:sz="4" w:space="0"/>
                  </w:tcBorders>
                  <w:noWrap w:val="0"/>
                  <w:vAlign w:val="center"/>
                </w:tcPr>
                <w:p w14:paraId="0B4055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类型</w:t>
                  </w:r>
                </w:p>
              </w:tc>
              <w:tc>
                <w:tcPr>
                  <w:tcW w:w="987" w:type="pct"/>
                  <w:vMerge w:val="restart"/>
                  <w:tcBorders>
                    <w:left w:val="single" w:color="auto" w:sz="4" w:space="0"/>
                    <w:bottom w:val="single" w:color="auto" w:sz="4" w:space="0"/>
                    <w:right w:val="single" w:color="auto" w:sz="4" w:space="0"/>
                  </w:tcBorders>
                  <w:noWrap w:val="0"/>
                  <w:vAlign w:val="center"/>
                </w:tcPr>
                <w:p w14:paraId="005C33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污染物</w:t>
                  </w:r>
                </w:p>
              </w:tc>
              <w:tc>
                <w:tcPr>
                  <w:tcW w:w="1681" w:type="pct"/>
                  <w:vMerge w:val="restart"/>
                  <w:tcBorders>
                    <w:left w:val="single" w:color="auto" w:sz="4" w:space="0"/>
                    <w:bottom w:val="single" w:color="auto" w:sz="4" w:space="0"/>
                    <w:right w:val="single" w:color="auto" w:sz="4" w:space="0"/>
                  </w:tcBorders>
                  <w:noWrap w:val="0"/>
                  <w:vAlign w:val="center"/>
                </w:tcPr>
                <w:p w14:paraId="6C7734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本项目排放量（t/a）</w:t>
                  </w:r>
                </w:p>
              </w:tc>
              <w:tc>
                <w:tcPr>
                  <w:tcW w:w="1659" w:type="pct"/>
                  <w:vMerge w:val="restart"/>
                  <w:tcBorders>
                    <w:left w:val="single" w:color="auto" w:sz="4" w:space="0"/>
                    <w:bottom w:val="single" w:color="auto" w:sz="4" w:space="0"/>
                    <w:right w:val="single" w:color="auto" w:sz="12" w:space="0"/>
                  </w:tcBorders>
                  <w:noWrap w:val="0"/>
                  <w:vAlign w:val="center"/>
                </w:tcPr>
                <w:p w14:paraId="64F31B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总量控制指标建议（t/a）</w:t>
                  </w:r>
                </w:p>
              </w:tc>
            </w:tr>
            <w:tr w14:paraId="15FCBA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70" w:type="pct"/>
                  <w:vMerge w:val="continue"/>
                  <w:tcBorders>
                    <w:top w:val="single" w:color="auto" w:sz="4" w:space="0"/>
                    <w:bottom w:val="single" w:color="auto" w:sz="4" w:space="0"/>
                    <w:right w:val="single" w:color="auto" w:sz="4" w:space="0"/>
                  </w:tcBorders>
                  <w:noWrap w:val="0"/>
                  <w:vAlign w:val="center"/>
                </w:tcPr>
                <w:p w14:paraId="680684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p>
              </w:tc>
              <w:tc>
                <w:tcPr>
                  <w:tcW w:w="987" w:type="pct"/>
                  <w:vMerge w:val="continue"/>
                  <w:tcBorders>
                    <w:top w:val="single" w:color="auto" w:sz="4" w:space="0"/>
                    <w:left w:val="single" w:color="auto" w:sz="4" w:space="0"/>
                    <w:bottom w:val="single" w:color="auto" w:sz="4" w:space="0"/>
                    <w:right w:val="single" w:color="auto" w:sz="4" w:space="0"/>
                  </w:tcBorders>
                  <w:noWrap w:val="0"/>
                  <w:vAlign w:val="center"/>
                </w:tcPr>
                <w:p w14:paraId="6DC881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p>
              </w:tc>
              <w:tc>
                <w:tcPr>
                  <w:tcW w:w="1681" w:type="pct"/>
                  <w:vMerge w:val="continue"/>
                  <w:tcBorders>
                    <w:top w:val="single" w:color="auto" w:sz="4" w:space="0"/>
                    <w:left w:val="single" w:color="auto" w:sz="4" w:space="0"/>
                    <w:bottom w:val="single" w:color="auto" w:sz="4" w:space="0"/>
                    <w:right w:val="single" w:color="auto" w:sz="4" w:space="0"/>
                  </w:tcBorders>
                  <w:noWrap w:val="0"/>
                  <w:vAlign w:val="center"/>
                </w:tcPr>
                <w:p w14:paraId="708C62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p>
              </w:tc>
              <w:tc>
                <w:tcPr>
                  <w:tcW w:w="1659" w:type="pct"/>
                  <w:vMerge w:val="continue"/>
                  <w:tcBorders>
                    <w:top w:val="single" w:color="auto" w:sz="4" w:space="0"/>
                    <w:left w:val="single" w:color="auto" w:sz="4" w:space="0"/>
                    <w:bottom w:val="single" w:color="auto" w:sz="4" w:space="0"/>
                    <w:right w:val="single" w:color="auto" w:sz="12" w:space="0"/>
                  </w:tcBorders>
                  <w:noWrap w:val="0"/>
                  <w:vAlign w:val="center"/>
                </w:tcPr>
                <w:p w14:paraId="6669ED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p>
              </w:tc>
            </w:tr>
            <w:tr w14:paraId="5DD979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70" w:type="pct"/>
                  <w:vMerge w:val="restart"/>
                  <w:tcBorders>
                    <w:top w:val="single" w:color="auto" w:sz="4" w:space="0"/>
                    <w:bottom w:val="single" w:color="auto" w:sz="4" w:space="0"/>
                    <w:right w:val="single" w:color="auto" w:sz="4" w:space="0"/>
                  </w:tcBorders>
                  <w:noWrap w:val="0"/>
                  <w:vAlign w:val="center"/>
                </w:tcPr>
                <w:p w14:paraId="1E7E3C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废气</w:t>
                  </w:r>
                </w:p>
              </w:tc>
              <w:tc>
                <w:tcPr>
                  <w:tcW w:w="987" w:type="pct"/>
                  <w:tcBorders>
                    <w:top w:val="single" w:color="auto" w:sz="4" w:space="0"/>
                    <w:left w:val="single" w:color="auto" w:sz="4" w:space="0"/>
                    <w:right w:val="single" w:color="auto" w:sz="4" w:space="0"/>
                  </w:tcBorders>
                  <w:noWrap w:val="0"/>
                  <w:vAlign w:val="center"/>
                </w:tcPr>
                <w:p w14:paraId="0088B9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二氧化硫</w:t>
                  </w:r>
                </w:p>
              </w:tc>
              <w:tc>
                <w:tcPr>
                  <w:tcW w:w="1681" w:type="pct"/>
                  <w:tcBorders>
                    <w:top w:val="single" w:color="auto" w:sz="4" w:space="0"/>
                    <w:left w:val="single" w:color="auto" w:sz="4" w:space="0"/>
                    <w:right w:val="single" w:color="auto" w:sz="4" w:space="0"/>
                  </w:tcBorders>
                  <w:noWrap w:val="0"/>
                  <w:vAlign w:val="center"/>
                </w:tcPr>
                <w:p w14:paraId="451642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kern w:val="2"/>
                      <w:sz w:val="21"/>
                      <w:szCs w:val="24"/>
                      <w:u w:val="none" w:color="auto"/>
                      <w:lang w:val="en-US" w:eastAsia="zh-CN" w:bidi="ar-SA"/>
                    </w:rPr>
                    <w:t>1.3748</w:t>
                  </w:r>
                </w:p>
              </w:tc>
              <w:tc>
                <w:tcPr>
                  <w:tcW w:w="1659" w:type="pct"/>
                  <w:tcBorders>
                    <w:top w:val="single" w:color="auto" w:sz="4" w:space="0"/>
                    <w:left w:val="single" w:color="auto" w:sz="4" w:space="0"/>
                    <w:right w:val="single" w:color="auto" w:sz="12" w:space="0"/>
                  </w:tcBorders>
                  <w:noWrap w:val="0"/>
                  <w:vAlign w:val="center"/>
                </w:tcPr>
                <w:p w14:paraId="5FF9ED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kern w:val="2"/>
                      <w:sz w:val="21"/>
                      <w:szCs w:val="21"/>
                      <w:u w:val="none" w:color="auto"/>
                      <w:lang w:val="en-US" w:eastAsia="zh-CN" w:bidi="ar-SA"/>
                    </w:rPr>
                    <w:t>1.4</w:t>
                  </w:r>
                </w:p>
              </w:tc>
            </w:tr>
            <w:tr w14:paraId="27B8C4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70" w:type="pct"/>
                  <w:vMerge w:val="continue"/>
                  <w:tcBorders>
                    <w:top w:val="single" w:color="auto" w:sz="4" w:space="0"/>
                    <w:bottom w:val="single" w:color="auto" w:sz="4" w:space="0"/>
                    <w:right w:val="single" w:color="auto" w:sz="4" w:space="0"/>
                  </w:tcBorders>
                  <w:noWrap w:val="0"/>
                  <w:vAlign w:val="center"/>
                </w:tcPr>
                <w:p w14:paraId="69E4B7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p>
              </w:tc>
              <w:tc>
                <w:tcPr>
                  <w:tcW w:w="987" w:type="pct"/>
                  <w:tcBorders>
                    <w:top w:val="single" w:color="auto" w:sz="4" w:space="0"/>
                    <w:left w:val="single" w:color="auto" w:sz="4" w:space="0"/>
                    <w:bottom w:val="single" w:color="auto" w:sz="4" w:space="0"/>
                    <w:right w:val="single" w:color="auto" w:sz="4" w:space="0"/>
                  </w:tcBorders>
                  <w:noWrap w:val="0"/>
                  <w:vAlign w:val="center"/>
                </w:tcPr>
                <w:p w14:paraId="601086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氮氧化物</w:t>
                  </w:r>
                </w:p>
              </w:tc>
              <w:tc>
                <w:tcPr>
                  <w:tcW w:w="1681" w:type="pct"/>
                  <w:tcBorders>
                    <w:top w:val="single" w:color="auto" w:sz="4" w:space="0"/>
                    <w:left w:val="single" w:color="auto" w:sz="4" w:space="0"/>
                    <w:bottom w:val="single" w:color="auto" w:sz="4" w:space="0"/>
                    <w:right w:val="single" w:color="auto" w:sz="4" w:space="0"/>
                  </w:tcBorders>
                  <w:noWrap w:val="0"/>
                  <w:vAlign w:val="center"/>
                </w:tcPr>
                <w:p w14:paraId="13338E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kern w:val="2"/>
                      <w:sz w:val="21"/>
                      <w:szCs w:val="24"/>
                      <w:u w:val="none" w:color="auto"/>
                      <w:lang w:val="en-US" w:eastAsia="zh-CN" w:bidi="ar-SA"/>
                    </w:rPr>
                    <w:t>1.3748</w:t>
                  </w:r>
                </w:p>
              </w:tc>
              <w:tc>
                <w:tcPr>
                  <w:tcW w:w="1659" w:type="pct"/>
                  <w:tcBorders>
                    <w:top w:val="single" w:color="auto" w:sz="4" w:space="0"/>
                    <w:left w:val="single" w:color="auto" w:sz="4" w:space="0"/>
                    <w:bottom w:val="single" w:color="auto" w:sz="4" w:space="0"/>
                    <w:right w:val="single" w:color="auto" w:sz="12" w:space="0"/>
                  </w:tcBorders>
                  <w:noWrap w:val="0"/>
                  <w:vAlign w:val="center"/>
                </w:tcPr>
                <w:p w14:paraId="05617E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kern w:val="2"/>
                      <w:sz w:val="21"/>
                      <w:szCs w:val="21"/>
                      <w:u w:val="none" w:color="auto"/>
                      <w:lang w:val="en-US" w:eastAsia="zh-CN" w:bidi="ar-SA"/>
                    </w:rPr>
                    <w:t>1.4</w:t>
                  </w:r>
                </w:p>
              </w:tc>
            </w:tr>
            <w:tr w14:paraId="429EF5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70" w:type="pct"/>
                  <w:vMerge w:val="restart"/>
                  <w:tcBorders>
                    <w:top w:val="single" w:color="auto" w:sz="4" w:space="0"/>
                    <w:bottom w:val="single" w:color="auto" w:sz="4" w:space="0"/>
                    <w:right w:val="single" w:color="auto" w:sz="4" w:space="0"/>
                  </w:tcBorders>
                  <w:noWrap w:val="0"/>
                  <w:vAlign w:val="center"/>
                </w:tcPr>
                <w:p w14:paraId="144814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废水</w:t>
                  </w:r>
                </w:p>
              </w:tc>
              <w:tc>
                <w:tcPr>
                  <w:tcW w:w="987" w:type="pct"/>
                  <w:tcBorders>
                    <w:top w:val="single" w:color="auto" w:sz="4" w:space="0"/>
                    <w:left w:val="single" w:color="auto" w:sz="4" w:space="0"/>
                    <w:bottom w:val="single" w:color="auto" w:sz="4" w:space="0"/>
                    <w:right w:val="single" w:color="auto" w:sz="4" w:space="0"/>
                  </w:tcBorders>
                  <w:noWrap w:val="0"/>
                  <w:vAlign w:val="center"/>
                </w:tcPr>
                <w:p w14:paraId="4E6A26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COD</w:t>
                  </w:r>
                  <w:r>
                    <w:rPr>
                      <w:rFonts w:hint="eastAsia" w:ascii="Times New Roman" w:hAnsi="Times New Roman" w:eastAsia="宋体" w:cs="Times New Roman"/>
                      <w:color w:val="auto"/>
                      <w:kern w:val="2"/>
                      <w:sz w:val="21"/>
                      <w:szCs w:val="21"/>
                      <w:u w:val="none" w:color="auto"/>
                      <w:vertAlign w:val="subscript"/>
                      <w:lang w:val="en-US" w:eastAsia="zh-CN" w:bidi="ar-SA"/>
                    </w:rPr>
                    <w:t>Cr</w:t>
                  </w:r>
                </w:p>
              </w:tc>
              <w:tc>
                <w:tcPr>
                  <w:tcW w:w="1681" w:type="pct"/>
                  <w:tcBorders>
                    <w:top w:val="single" w:color="auto" w:sz="4" w:space="0"/>
                    <w:left w:val="single" w:color="auto" w:sz="4" w:space="0"/>
                    <w:bottom w:val="single" w:color="auto" w:sz="4" w:space="0"/>
                    <w:right w:val="single" w:color="auto" w:sz="4" w:space="0"/>
                  </w:tcBorders>
                  <w:noWrap w:val="0"/>
                  <w:vAlign w:val="center"/>
                </w:tcPr>
                <w:p w14:paraId="48995F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kern w:val="2"/>
                      <w:sz w:val="21"/>
                      <w:szCs w:val="21"/>
                      <w:u w:val="none" w:color="auto"/>
                      <w:lang w:val="en-US" w:eastAsia="zh-CN" w:bidi="ar-SA"/>
                    </w:rPr>
                    <w:t>0.95</w:t>
                  </w:r>
                </w:p>
              </w:tc>
              <w:tc>
                <w:tcPr>
                  <w:tcW w:w="1659" w:type="pct"/>
                  <w:tcBorders>
                    <w:top w:val="single" w:color="auto" w:sz="4" w:space="0"/>
                    <w:left w:val="single" w:color="auto" w:sz="4" w:space="0"/>
                    <w:bottom w:val="single" w:color="auto" w:sz="4" w:space="0"/>
                    <w:right w:val="single" w:color="auto" w:sz="12" w:space="0"/>
                  </w:tcBorders>
                  <w:noWrap w:val="0"/>
                  <w:vAlign w:val="center"/>
                </w:tcPr>
                <w:p w14:paraId="67511E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1</w:t>
                  </w:r>
                </w:p>
              </w:tc>
            </w:tr>
            <w:tr w14:paraId="71B30F8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670" w:type="pct"/>
                  <w:vMerge w:val="continue"/>
                  <w:tcBorders>
                    <w:top w:val="single" w:color="auto" w:sz="4" w:space="0"/>
                    <w:right w:val="single" w:color="auto" w:sz="4" w:space="0"/>
                  </w:tcBorders>
                  <w:noWrap w:val="0"/>
                  <w:vAlign w:val="center"/>
                </w:tcPr>
                <w:p w14:paraId="195A1E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p>
              </w:tc>
              <w:tc>
                <w:tcPr>
                  <w:tcW w:w="987" w:type="pct"/>
                  <w:tcBorders>
                    <w:top w:val="single" w:color="auto" w:sz="4" w:space="0"/>
                    <w:left w:val="single" w:color="auto" w:sz="4" w:space="0"/>
                    <w:right w:val="single" w:color="auto" w:sz="4" w:space="0"/>
                  </w:tcBorders>
                  <w:noWrap w:val="0"/>
                  <w:vAlign w:val="center"/>
                </w:tcPr>
                <w:p w14:paraId="4E9E3F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kern w:val="2"/>
                      <w:sz w:val="21"/>
                      <w:szCs w:val="21"/>
                      <w:u w:val="none" w:color="auto"/>
                      <w:lang w:val="en-US" w:eastAsia="zh-CN" w:bidi="ar-SA"/>
                    </w:rPr>
                    <w:t>氨氮</w:t>
                  </w:r>
                </w:p>
              </w:tc>
              <w:tc>
                <w:tcPr>
                  <w:tcW w:w="1681" w:type="pct"/>
                  <w:tcBorders>
                    <w:top w:val="single" w:color="auto" w:sz="4" w:space="0"/>
                    <w:left w:val="single" w:color="auto" w:sz="4" w:space="0"/>
                    <w:right w:val="single" w:color="auto" w:sz="4" w:space="0"/>
                  </w:tcBorders>
                  <w:noWrap w:val="0"/>
                  <w:vAlign w:val="center"/>
                </w:tcPr>
                <w:p w14:paraId="67E957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firstLine="0" w:firstLineChars="0"/>
                    <w:jc w:val="center"/>
                    <w:textAlignment w:val="auto"/>
                    <w:rPr>
                      <w:rFonts w:hint="default" w:ascii="Times New Roman" w:hAnsi="Times New Roman" w:eastAsia="宋体" w:cs="Times New Roman"/>
                      <w:color w:val="auto"/>
                      <w:kern w:val="2"/>
                      <w:sz w:val="21"/>
                      <w:szCs w:val="21"/>
                      <w:u w:val="none" w:color="auto"/>
                      <w:lang w:val="en-US" w:eastAsia="zh-CN" w:bidi="ar-SA"/>
                    </w:rPr>
                  </w:pPr>
                  <w:r>
                    <w:rPr>
                      <w:rFonts w:hint="eastAsia" w:cs="Times New Roman"/>
                      <w:color w:val="auto"/>
                      <w:kern w:val="2"/>
                      <w:sz w:val="21"/>
                      <w:szCs w:val="21"/>
                      <w:u w:val="none" w:color="auto"/>
                      <w:lang w:val="en-US" w:eastAsia="zh-CN" w:bidi="ar-SA"/>
                    </w:rPr>
                    <w:t>0.13</w:t>
                  </w:r>
                </w:p>
              </w:tc>
              <w:tc>
                <w:tcPr>
                  <w:tcW w:w="1659" w:type="pct"/>
                  <w:tcBorders>
                    <w:top w:val="single" w:color="auto" w:sz="4" w:space="0"/>
                    <w:left w:val="single" w:color="auto" w:sz="4" w:space="0"/>
                    <w:right w:val="single" w:color="auto" w:sz="12" w:space="0"/>
                  </w:tcBorders>
                  <w:noWrap w:val="0"/>
                  <w:vAlign w:val="center"/>
                </w:tcPr>
                <w:p w14:paraId="7E85D1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0.2</w:t>
                  </w:r>
                </w:p>
              </w:tc>
            </w:tr>
          </w:tbl>
          <w:p w14:paraId="6CD97E8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textAlignment w:val="auto"/>
              <w:rPr>
                <w:rFonts w:hint="default"/>
                <w:color w:val="auto"/>
                <w:szCs w:val="21"/>
                <w:lang w:val="en-US" w:eastAsia="zh-CN"/>
              </w:rPr>
            </w:pPr>
            <w:r>
              <w:rPr>
                <w:rFonts w:hint="eastAsia" w:ascii="Times New Roman" w:eastAsia="宋体"/>
                <w:color w:val="auto"/>
                <w:sz w:val="21"/>
                <w:szCs w:val="21"/>
                <w:lang w:val="en-US" w:eastAsia="zh-CN"/>
              </w:rPr>
              <w:t>注：CODcr、氨氮按</w:t>
            </w:r>
            <w:r>
              <w:rPr>
                <w:rFonts w:hint="eastAsia" w:eastAsia="宋体"/>
                <w:color w:val="auto"/>
                <w:sz w:val="21"/>
                <w:szCs w:val="21"/>
                <w:lang w:eastAsia="zh-CN"/>
              </w:rPr>
              <w:t>污水排入地表水执行标准，</w:t>
            </w:r>
            <w:r>
              <w:rPr>
                <w:rFonts w:hint="eastAsia" w:ascii="Times New Roman" w:eastAsia="宋体"/>
                <w:color w:val="auto"/>
                <w:sz w:val="21"/>
                <w:szCs w:val="21"/>
                <w:lang w:val="en-US" w:eastAsia="zh-CN"/>
              </w:rPr>
              <w:t>即《城镇污水处理厂污染物排放标准》（GB18918-2002）一级</w:t>
            </w:r>
            <w:r>
              <w:rPr>
                <w:rFonts w:hint="eastAsia"/>
                <w:color w:val="auto"/>
                <w:sz w:val="21"/>
                <w:szCs w:val="21"/>
                <w:lang w:val="en-US" w:eastAsia="zh-CN"/>
              </w:rPr>
              <w:t>B</w:t>
            </w:r>
            <w:r>
              <w:rPr>
                <w:rFonts w:hint="eastAsia" w:ascii="Times New Roman" w:eastAsia="宋体"/>
                <w:color w:val="auto"/>
                <w:sz w:val="21"/>
                <w:szCs w:val="21"/>
                <w:lang w:val="en-US" w:eastAsia="zh-CN"/>
              </w:rPr>
              <w:t>标准</w:t>
            </w:r>
            <w:r>
              <w:rPr>
                <w:rFonts w:hint="eastAsia"/>
                <w:color w:val="auto"/>
                <w:sz w:val="21"/>
                <w:szCs w:val="21"/>
                <w:lang w:val="en-US" w:eastAsia="zh-CN"/>
              </w:rPr>
              <w:t>（COD60mg/L，氨氮8mg/L）</w:t>
            </w:r>
            <w:r>
              <w:rPr>
                <w:rFonts w:hint="eastAsia" w:ascii="Times New Roman" w:eastAsia="宋体"/>
                <w:color w:val="auto"/>
                <w:sz w:val="21"/>
                <w:szCs w:val="21"/>
                <w:lang w:val="en-US" w:eastAsia="zh-CN"/>
              </w:rPr>
              <w:t>计算。</w:t>
            </w:r>
            <w:r>
              <w:rPr>
                <w:rFonts w:hint="eastAsia"/>
                <w:color w:val="auto"/>
                <w:sz w:val="21"/>
                <w:szCs w:val="21"/>
                <w:lang w:val="en-US" w:eastAsia="zh-CN"/>
              </w:rPr>
              <w:t>SO2、NOx排放量按照《锅炉大气污染物排放标准》（GB13271-2014）表3燃煤锅炉特别排放限值计算。</w:t>
            </w:r>
          </w:p>
          <w:p w14:paraId="1C786FEA">
            <w:pPr>
              <w:spacing w:line="360" w:lineRule="auto"/>
              <w:ind w:firstLine="480" w:firstLineChars="200"/>
              <w:rPr>
                <w:rFonts w:hint="default" w:ascii="Times New Roman" w:hAnsi="Times New Roman" w:eastAsia="宋体" w:cs="Times New Roman"/>
                <w:color w:val="auto"/>
                <w:highlight w:val="none"/>
                <w:u w:val="none" w:color="auto"/>
              </w:rPr>
            </w:pPr>
          </w:p>
        </w:tc>
      </w:tr>
    </w:tbl>
    <w:p w14:paraId="29F8CD28">
      <w:pPr>
        <w:pStyle w:val="8"/>
        <w:bidi w:val="0"/>
        <w:rPr>
          <w:rFonts w:hint="default" w:ascii="Times New Roman" w:hAnsi="Times New Roman" w:eastAsia="宋体" w:cs="Times New Roman"/>
          <w:b/>
          <w:bCs/>
          <w:snapToGrid w:val="0"/>
          <w:color w:val="auto"/>
          <w:sz w:val="30"/>
          <w:szCs w:val="30"/>
          <w:highlight w:val="none"/>
          <w:u w:val="none" w:color="auto"/>
        </w:rPr>
      </w:pPr>
      <w:r>
        <w:rPr>
          <w:rFonts w:hint="default" w:ascii="Times New Roman" w:hAnsi="Times New Roman" w:eastAsia="宋体" w:cs="Times New Roman"/>
          <w:snapToGrid w:val="0"/>
          <w:color w:val="auto"/>
          <w:sz w:val="36"/>
          <w:szCs w:val="36"/>
          <w:highlight w:val="none"/>
          <w:u w:val="none" w:color="auto"/>
        </w:rPr>
        <w:br w:type="page"/>
      </w:r>
      <w:bookmarkStart w:id="11" w:name="_Toc9807"/>
      <w:r>
        <w:rPr>
          <w:rStyle w:val="69"/>
          <w:rFonts w:hint="default" w:ascii="Times New Roman" w:hAnsi="Times New Roman" w:eastAsia="宋体" w:cs="Times New Roman"/>
          <w:b/>
          <w:bCs/>
          <w:color w:val="auto"/>
          <w:highlight w:val="none"/>
          <w:u w:val="none" w:color="auto"/>
        </w:rPr>
        <w:t>四、主要环境影响和保护措施</w:t>
      </w:r>
      <w:bookmarkEnd w:id="11"/>
    </w:p>
    <w:tbl>
      <w:tblPr>
        <w:tblStyle w:val="42"/>
        <w:tblW w:w="8959"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37"/>
        <w:gridCol w:w="8222"/>
      </w:tblGrid>
      <w:tr w14:paraId="0F9705F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7" w:type="dxa"/>
            <w:tcMar>
              <w:left w:w="28" w:type="dxa"/>
              <w:right w:w="28" w:type="dxa"/>
            </w:tcMar>
            <w:vAlign w:val="center"/>
          </w:tcPr>
          <w:p w14:paraId="271D2C27">
            <w:pPr>
              <w:pStyle w:val="40"/>
              <w:adjustRightInd w:val="0"/>
              <w:snapToGrid w:val="0"/>
              <w:spacing w:before="0" w:beforeAutospacing="0" w:after="0" w:afterAutospacing="0"/>
              <w:jc w:val="center"/>
              <w:rPr>
                <w:rFonts w:hint="default" w:ascii="Times New Roman" w:hAnsi="Times New Roman" w:eastAsia="宋体" w:cs="Times New Roman"/>
                <w:color w:val="auto"/>
                <w:kern w:val="2"/>
                <w:sz w:val="24"/>
                <w:szCs w:val="24"/>
                <w:highlight w:val="none"/>
                <w:u w:val="none" w:color="auto"/>
              </w:rPr>
            </w:pPr>
            <w:r>
              <w:rPr>
                <w:rFonts w:hint="default" w:ascii="Times New Roman" w:hAnsi="Times New Roman" w:eastAsia="宋体" w:cs="Times New Roman"/>
                <w:color w:val="auto"/>
                <w:kern w:val="2"/>
                <w:sz w:val="24"/>
                <w:szCs w:val="24"/>
                <w:highlight w:val="none"/>
                <w:u w:val="none" w:color="auto"/>
              </w:rPr>
              <w:t>施工</w:t>
            </w:r>
          </w:p>
          <w:p w14:paraId="2477E359">
            <w:pPr>
              <w:pStyle w:val="40"/>
              <w:adjustRightInd w:val="0"/>
              <w:snapToGrid w:val="0"/>
              <w:spacing w:before="0" w:beforeAutospacing="0" w:after="0" w:afterAutospacing="0"/>
              <w:jc w:val="center"/>
              <w:rPr>
                <w:rFonts w:hint="default" w:ascii="Times New Roman" w:hAnsi="Times New Roman" w:eastAsia="宋体" w:cs="Times New Roman"/>
                <w:color w:val="auto"/>
                <w:kern w:val="2"/>
                <w:sz w:val="24"/>
                <w:szCs w:val="24"/>
                <w:highlight w:val="none"/>
                <w:u w:val="none" w:color="auto"/>
              </w:rPr>
            </w:pPr>
            <w:r>
              <w:rPr>
                <w:rFonts w:hint="default" w:ascii="Times New Roman" w:hAnsi="Times New Roman" w:eastAsia="宋体" w:cs="Times New Roman"/>
                <w:color w:val="auto"/>
                <w:kern w:val="2"/>
                <w:sz w:val="24"/>
                <w:szCs w:val="24"/>
                <w:highlight w:val="none"/>
                <w:u w:val="none" w:color="auto"/>
              </w:rPr>
              <w:t>期环</w:t>
            </w:r>
          </w:p>
          <w:p w14:paraId="6E819202">
            <w:pPr>
              <w:pStyle w:val="40"/>
              <w:adjustRightInd w:val="0"/>
              <w:snapToGrid w:val="0"/>
              <w:spacing w:before="0" w:beforeAutospacing="0" w:after="0" w:afterAutospacing="0"/>
              <w:jc w:val="center"/>
              <w:rPr>
                <w:rFonts w:hint="default" w:ascii="Times New Roman" w:hAnsi="Times New Roman" w:eastAsia="宋体" w:cs="Times New Roman"/>
                <w:color w:val="auto"/>
                <w:kern w:val="2"/>
                <w:sz w:val="24"/>
                <w:szCs w:val="24"/>
                <w:highlight w:val="none"/>
                <w:u w:val="none" w:color="auto"/>
              </w:rPr>
            </w:pPr>
            <w:r>
              <w:rPr>
                <w:rFonts w:hint="default" w:ascii="Times New Roman" w:hAnsi="Times New Roman" w:eastAsia="宋体" w:cs="Times New Roman"/>
                <w:color w:val="auto"/>
                <w:kern w:val="2"/>
                <w:sz w:val="24"/>
                <w:szCs w:val="24"/>
                <w:highlight w:val="none"/>
                <w:u w:val="none" w:color="auto"/>
              </w:rPr>
              <w:t>境保</w:t>
            </w:r>
          </w:p>
          <w:p w14:paraId="50547B80">
            <w:pPr>
              <w:pStyle w:val="40"/>
              <w:adjustRightInd w:val="0"/>
              <w:snapToGrid w:val="0"/>
              <w:spacing w:before="0" w:beforeAutospacing="0" w:after="0" w:afterAutospacing="0"/>
              <w:jc w:val="center"/>
              <w:rPr>
                <w:rFonts w:hint="default" w:ascii="Times New Roman" w:hAnsi="Times New Roman" w:eastAsia="宋体" w:cs="Times New Roman"/>
                <w:color w:val="auto"/>
                <w:kern w:val="2"/>
                <w:sz w:val="24"/>
                <w:szCs w:val="24"/>
                <w:highlight w:val="none"/>
                <w:u w:val="none" w:color="auto"/>
              </w:rPr>
            </w:pPr>
            <w:r>
              <w:rPr>
                <w:rFonts w:hint="default" w:ascii="Times New Roman" w:hAnsi="Times New Roman" w:eastAsia="宋体" w:cs="Times New Roman"/>
                <w:color w:val="auto"/>
                <w:kern w:val="2"/>
                <w:sz w:val="24"/>
                <w:szCs w:val="24"/>
                <w:highlight w:val="none"/>
                <w:u w:val="none" w:color="auto"/>
              </w:rPr>
              <w:t>护措</w:t>
            </w:r>
          </w:p>
          <w:p w14:paraId="70416128">
            <w:pPr>
              <w:pStyle w:val="40"/>
              <w:adjustRightInd w:val="0"/>
              <w:snapToGrid w:val="0"/>
              <w:spacing w:before="0" w:beforeAutospacing="0" w:after="0" w:afterAutospacing="0"/>
              <w:jc w:val="center"/>
              <w:rPr>
                <w:rFonts w:hint="default" w:ascii="Times New Roman" w:hAnsi="Times New Roman" w:eastAsia="宋体" w:cs="Times New Roman"/>
                <w:bCs/>
                <w:color w:val="auto"/>
                <w:kern w:val="2"/>
                <w:sz w:val="21"/>
                <w:szCs w:val="21"/>
                <w:highlight w:val="none"/>
                <w:u w:val="none" w:color="auto"/>
              </w:rPr>
            </w:pPr>
            <w:r>
              <w:rPr>
                <w:rFonts w:hint="default" w:ascii="Times New Roman" w:hAnsi="Times New Roman" w:eastAsia="宋体" w:cs="Times New Roman"/>
                <w:color w:val="auto"/>
                <w:kern w:val="2"/>
                <w:sz w:val="24"/>
                <w:szCs w:val="24"/>
                <w:highlight w:val="none"/>
                <w:u w:val="none" w:color="auto"/>
              </w:rPr>
              <w:t>施</w:t>
            </w:r>
          </w:p>
        </w:tc>
        <w:tc>
          <w:tcPr>
            <w:tcW w:w="8222" w:type="dxa"/>
          </w:tcPr>
          <w:p w14:paraId="651FE1BC">
            <w:pPr>
              <w:spacing w:line="360" w:lineRule="auto"/>
              <w:ind w:firstLine="480"/>
              <w:rPr>
                <w:rFonts w:hint="default" w:ascii="Times New Roman" w:hAnsi="Times New Roman" w:cs="Times New Roman"/>
                <w:color w:val="auto"/>
                <w:kern w:val="0"/>
                <w:highlight w:val="none"/>
                <w:u w:val="none" w:color="auto"/>
                <w:lang w:val="en-US" w:eastAsia="zh-CN"/>
              </w:rPr>
            </w:pPr>
            <w:r>
              <w:rPr>
                <w:rFonts w:hint="default" w:ascii="Times New Roman" w:hAnsi="Times New Roman" w:cs="Times New Roman"/>
                <w:color w:val="auto"/>
                <w:kern w:val="0"/>
                <w:highlight w:val="none"/>
                <w:u w:val="none" w:color="auto"/>
                <w:lang w:val="en-US" w:eastAsia="zh-CN"/>
              </w:rPr>
              <w:t>1、施工废气防治措施</w:t>
            </w:r>
            <w:r>
              <w:rPr>
                <w:rFonts w:hint="eastAsia" w:cs="Times New Roman"/>
                <w:color w:val="auto"/>
                <w:kern w:val="0"/>
                <w:highlight w:val="none"/>
                <w:u w:val="none" w:color="auto"/>
                <w:lang w:val="en-US" w:eastAsia="zh-CN"/>
              </w:rPr>
              <w:t xml:space="preserve">                                                                                                                                                                                                                                                                                                                                                                                                                                                                                                                                                                                                                                                                                                                                                                                                                                                                                                                                                                                                                                                                                                                                                                                                                                                                                                                                                                                                                                                                                                                                                                                                                                                                                                                                                                                                                                                                                                                                                                                                                                                                                                                                                                                                                                                                                                                                                                                                                                                                                                                                                                                                                                                                                                                                                                                                                                                                                                  </w:t>
            </w:r>
          </w:p>
          <w:p w14:paraId="3419F780">
            <w:pPr>
              <w:spacing w:line="360" w:lineRule="auto"/>
              <w:ind w:firstLine="480"/>
              <w:rPr>
                <w:rFonts w:hint="default" w:ascii="Times New Roman" w:hAnsi="Times New Roman" w:cs="Times New Roman"/>
                <w:color w:val="auto"/>
                <w:kern w:val="0"/>
                <w:highlight w:val="none"/>
                <w:u w:val="none" w:color="auto"/>
                <w:lang w:val="en-US" w:eastAsia="zh-CN"/>
              </w:rPr>
            </w:pPr>
            <w:r>
              <w:rPr>
                <w:rFonts w:hint="default" w:ascii="Times New Roman" w:hAnsi="Times New Roman" w:cs="Times New Roman"/>
                <w:color w:val="auto"/>
                <w:kern w:val="0"/>
                <w:highlight w:val="none"/>
                <w:u w:val="none" w:color="auto"/>
                <w:lang w:val="en-US" w:eastAsia="zh-CN"/>
              </w:rPr>
              <w:t>本项目施工期的大气污染物主要为扩建厂房过程中产生的粉尘。</w:t>
            </w:r>
          </w:p>
          <w:p w14:paraId="494BAAE7">
            <w:pPr>
              <w:spacing w:line="360" w:lineRule="auto"/>
              <w:ind w:firstLine="480"/>
              <w:rPr>
                <w:rFonts w:hint="default" w:ascii="Times New Roman" w:hAnsi="Times New Roman" w:cs="Times New Roman"/>
                <w:color w:val="auto"/>
                <w:kern w:val="0"/>
                <w:highlight w:val="none"/>
                <w:u w:val="none" w:color="auto"/>
                <w:lang w:val="en-US" w:eastAsia="zh-CN"/>
              </w:rPr>
            </w:pPr>
            <w:r>
              <w:rPr>
                <w:rFonts w:hint="default" w:ascii="Times New Roman" w:hAnsi="Times New Roman" w:cs="Times New Roman"/>
                <w:color w:val="auto"/>
                <w:kern w:val="0"/>
                <w:highlight w:val="none"/>
                <w:u w:val="none" w:color="auto"/>
                <w:lang w:val="en-US" w:eastAsia="zh-CN"/>
              </w:rPr>
              <w:t>这些扬尘使得项目范围的环境空气受到较大污染，特别是干燥大风天气时这种现象更为突出。建议采取以下措施：</w:t>
            </w:r>
          </w:p>
          <w:p w14:paraId="3E2F46D7">
            <w:pPr>
              <w:spacing w:line="360" w:lineRule="auto"/>
              <w:ind w:firstLine="480"/>
              <w:rPr>
                <w:rFonts w:hint="default" w:ascii="Times New Roman" w:hAnsi="Times New Roman" w:cs="Times New Roman"/>
                <w:color w:val="auto"/>
                <w:kern w:val="0"/>
                <w:highlight w:val="none"/>
                <w:u w:val="none" w:color="auto"/>
                <w:lang w:val="en-US" w:eastAsia="zh-CN"/>
              </w:rPr>
            </w:pPr>
            <w:r>
              <w:rPr>
                <w:rFonts w:hint="default" w:ascii="Times New Roman" w:hAnsi="Times New Roman" w:cs="Times New Roman"/>
                <w:color w:val="auto"/>
                <w:kern w:val="0"/>
                <w:highlight w:val="none"/>
                <w:u w:val="none" w:color="auto"/>
                <w:lang w:val="en-US" w:eastAsia="zh-CN"/>
              </w:rPr>
              <w:t>（1）文明施工，严格管理。设置专人管理施工现场；</w:t>
            </w:r>
          </w:p>
          <w:p w14:paraId="16FA9667">
            <w:pPr>
              <w:spacing w:line="360" w:lineRule="auto"/>
              <w:ind w:firstLine="480"/>
              <w:rPr>
                <w:rFonts w:hint="default" w:ascii="Times New Roman" w:hAnsi="Times New Roman" w:cs="Times New Roman"/>
                <w:color w:val="auto"/>
                <w:kern w:val="0"/>
                <w:highlight w:val="none"/>
                <w:u w:val="none" w:color="auto"/>
                <w:lang w:val="en-US" w:eastAsia="zh-CN"/>
              </w:rPr>
            </w:pPr>
            <w:r>
              <w:rPr>
                <w:rFonts w:hint="default" w:ascii="Times New Roman" w:hAnsi="Times New Roman" w:cs="Times New Roman"/>
                <w:color w:val="auto"/>
                <w:kern w:val="0"/>
                <w:highlight w:val="none"/>
                <w:u w:val="none" w:color="auto"/>
                <w:lang w:val="en-US" w:eastAsia="zh-CN"/>
              </w:rPr>
              <w:t>（2）施工场区设置冲洗设施和污水沉淀池，并定期清扫周边道路，保证出场车辆和周边道路洁净；</w:t>
            </w:r>
          </w:p>
          <w:p w14:paraId="7A07DE9D">
            <w:pPr>
              <w:spacing w:line="360" w:lineRule="auto"/>
              <w:ind w:firstLine="480"/>
              <w:rPr>
                <w:rFonts w:hint="default" w:ascii="Times New Roman" w:hAnsi="Times New Roman" w:cs="Times New Roman"/>
                <w:color w:val="auto"/>
                <w:kern w:val="0"/>
                <w:highlight w:val="none"/>
                <w:u w:val="none" w:color="auto"/>
                <w:lang w:val="en-US" w:eastAsia="zh-CN"/>
              </w:rPr>
            </w:pPr>
            <w:r>
              <w:rPr>
                <w:rFonts w:hint="default" w:ascii="Times New Roman" w:hAnsi="Times New Roman" w:cs="Times New Roman"/>
                <w:color w:val="auto"/>
                <w:kern w:val="0"/>
                <w:highlight w:val="none"/>
                <w:u w:val="none" w:color="auto"/>
                <w:lang w:val="en-US" w:eastAsia="zh-CN"/>
              </w:rPr>
              <w:t>（3）按照规定使用预拌混凝土、预拌砂浆；项目必须采用商品混凝土和商品沥青混凝土，不得设置现场搅拌站；采取分段作业、择时施工、洒水防尘等措施，降低扬尘污染；</w:t>
            </w:r>
          </w:p>
          <w:p w14:paraId="4AAD7CAA">
            <w:pPr>
              <w:spacing w:line="360" w:lineRule="auto"/>
              <w:ind w:firstLine="480"/>
              <w:rPr>
                <w:rFonts w:hint="default" w:ascii="Times New Roman" w:hAnsi="Times New Roman" w:cs="Times New Roman"/>
                <w:color w:val="auto"/>
                <w:kern w:val="0"/>
                <w:highlight w:val="none"/>
                <w:u w:val="none" w:color="auto"/>
                <w:lang w:val="en-US" w:eastAsia="zh-CN"/>
              </w:rPr>
            </w:pPr>
            <w:r>
              <w:rPr>
                <w:rFonts w:hint="default" w:ascii="Times New Roman" w:hAnsi="Times New Roman" w:cs="Times New Roman"/>
                <w:color w:val="auto"/>
                <w:kern w:val="0"/>
                <w:highlight w:val="none"/>
                <w:u w:val="none" w:color="auto"/>
                <w:lang w:val="en-US" w:eastAsia="zh-CN"/>
              </w:rPr>
              <w:t>（4）按渣土管理相关规定，使用封闭式渣土运输车。渣土车要严格限制装载量，尽量避免沿途撒漏；</w:t>
            </w:r>
          </w:p>
          <w:p w14:paraId="42A371D5">
            <w:pPr>
              <w:spacing w:line="360" w:lineRule="auto"/>
              <w:ind w:firstLine="480"/>
              <w:rPr>
                <w:rFonts w:hint="default" w:ascii="Times New Roman" w:hAnsi="Times New Roman" w:cs="Times New Roman"/>
                <w:color w:val="auto"/>
                <w:kern w:val="0"/>
                <w:highlight w:val="none"/>
                <w:u w:val="none" w:color="auto"/>
                <w:lang w:val="en-US" w:eastAsia="zh-CN"/>
              </w:rPr>
            </w:pPr>
            <w:r>
              <w:rPr>
                <w:rFonts w:hint="default" w:ascii="Times New Roman" w:hAnsi="Times New Roman" w:cs="Times New Roman"/>
                <w:color w:val="auto"/>
                <w:kern w:val="0"/>
                <w:highlight w:val="none"/>
                <w:u w:val="none" w:color="auto"/>
                <w:lang w:val="en-US" w:eastAsia="zh-CN"/>
              </w:rPr>
              <w:t>（5）定时喷洒水，对重点扬尘点进行局部降尘，尤其是敏感目标附近要加大洒水抑尘力度。</w:t>
            </w:r>
          </w:p>
          <w:p w14:paraId="255AF872">
            <w:pPr>
              <w:spacing w:line="360" w:lineRule="auto"/>
              <w:ind w:firstLine="480"/>
              <w:rPr>
                <w:rFonts w:hint="default" w:ascii="Times New Roman" w:hAnsi="Times New Roman" w:cs="Times New Roman"/>
                <w:color w:val="auto"/>
                <w:kern w:val="0"/>
                <w:highlight w:val="none"/>
                <w:u w:val="none" w:color="auto"/>
                <w:lang w:val="en-US" w:eastAsia="zh-CN"/>
              </w:rPr>
            </w:pPr>
            <w:r>
              <w:rPr>
                <w:rFonts w:hint="default" w:ascii="Times New Roman" w:hAnsi="Times New Roman" w:cs="Times New Roman"/>
                <w:color w:val="auto"/>
                <w:kern w:val="0"/>
                <w:highlight w:val="none"/>
                <w:u w:val="none" w:color="auto"/>
                <w:lang w:val="en-US" w:eastAsia="zh-CN"/>
              </w:rPr>
              <w:t>（6）要围档作业，及时压实填方，控制扬尘污染；</w:t>
            </w:r>
          </w:p>
          <w:p w14:paraId="65ACE46F">
            <w:pPr>
              <w:spacing w:line="360" w:lineRule="auto"/>
              <w:ind w:firstLine="480"/>
              <w:rPr>
                <w:rFonts w:hint="default" w:ascii="Times New Roman" w:hAnsi="Times New Roman" w:cs="Times New Roman"/>
                <w:color w:val="auto"/>
                <w:kern w:val="0"/>
                <w:highlight w:val="none"/>
                <w:u w:val="none" w:color="auto"/>
                <w:lang w:val="en-US" w:eastAsia="zh-CN"/>
              </w:rPr>
            </w:pPr>
            <w:r>
              <w:rPr>
                <w:rFonts w:hint="default" w:ascii="Times New Roman" w:hAnsi="Times New Roman" w:cs="Times New Roman"/>
                <w:color w:val="auto"/>
                <w:kern w:val="0"/>
                <w:highlight w:val="none"/>
                <w:u w:val="none" w:color="auto"/>
                <w:lang w:val="en-US" w:eastAsia="zh-CN"/>
              </w:rPr>
              <w:t>（7）大风天气下停止施工；</w:t>
            </w:r>
          </w:p>
          <w:p w14:paraId="1989D009">
            <w:pPr>
              <w:spacing w:line="360" w:lineRule="auto"/>
              <w:ind w:firstLine="480"/>
              <w:rPr>
                <w:rFonts w:hint="default" w:ascii="Times New Roman" w:hAnsi="Times New Roman" w:cs="Times New Roman"/>
                <w:color w:val="auto"/>
                <w:kern w:val="0"/>
                <w:highlight w:val="none"/>
                <w:u w:val="none" w:color="auto"/>
                <w:lang w:val="en-US" w:eastAsia="zh-CN"/>
              </w:rPr>
            </w:pPr>
            <w:r>
              <w:rPr>
                <w:rFonts w:hint="default" w:ascii="Times New Roman" w:hAnsi="Times New Roman" w:cs="Times New Roman"/>
                <w:color w:val="auto"/>
                <w:kern w:val="0"/>
                <w:highlight w:val="none"/>
                <w:u w:val="none" w:color="auto"/>
                <w:lang w:val="en-US" w:eastAsia="zh-CN"/>
              </w:rPr>
              <w:t>（8）屋装饰装修工程施工时，在易产生扬尘污染的装饰装修材料采取覆盖措施，及时封闭清运装饰装修垃圾，禁止高空抛掷、扬撒。</w:t>
            </w:r>
          </w:p>
          <w:p w14:paraId="37D675E9">
            <w:pPr>
              <w:spacing w:line="360" w:lineRule="auto"/>
              <w:ind w:firstLine="480"/>
              <w:rPr>
                <w:rFonts w:hint="default" w:ascii="Times New Roman" w:hAnsi="Times New Roman" w:cs="Times New Roman"/>
                <w:color w:val="auto"/>
                <w:kern w:val="0"/>
                <w:highlight w:val="none"/>
                <w:u w:val="none" w:color="auto"/>
                <w:lang w:val="en-US" w:eastAsia="zh-CN"/>
              </w:rPr>
            </w:pPr>
            <w:r>
              <w:rPr>
                <w:rFonts w:hint="default" w:ascii="Times New Roman" w:hAnsi="Times New Roman" w:cs="Times New Roman"/>
                <w:color w:val="auto"/>
                <w:kern w:val="0"/>
                <w:highlight w:val="none"/>
                <w:u w:val="none" w:color="auto"/>
                <w:lang w:val="en-US" w:eastAsia="zh-CN"/>
              </w:rPr>
              <w:t>通过采取以上措施，加强施工管理，可大大减少施工扬尘的产生，不会对周围环境空气敏感点（临近的居民点）造成较大的污染影响。</w:t>
            </w:r>
          </w:p>
          <w:p w14:paraId="32592985">
            <w:pPr>
              <w:spacing w:line="360" w:lineRule="auto"/>
              <w:ind w:firstLine="480"/>
              <w:rPr>
                <w:rFonts w:hint="default" w:ascii="Times New Roman" w:hAnsi="Times New Roman" w:cs="Times New Roman"/>
                <w:color w:val="auto"/>
                <w:kern w:val="0"/>
                <w:highlight w:val="none"/>
                <w:u w:val="none" w:color="auto"/>
                <w:lang w:val="en-US" w:eastAsia="zh-CN"/>
              </w:rPr>
            </w:pPr>
            <w:r>
              <w:rPr>
                <w:rFonts w:hint="default" w:ascii="Times New Roman" w:hAnsi="Times New Roman" w:cs="Times New Roman"/>
                <w:color w:val="auto"/>
                <w:kern w:val="0"/>
                <w:highlight w:val="none"/>
                <w:u w:val="none" w:color="auto"/>
                <w:lang w:val="en-US" w:eastAsia="zh-CN"/>
              </w:rPr>
              <w:t>为了缓解施工期产生扬尘对周边敏感点的影响，本环评要求施工单位必须严格按照《防治城市扬尘污染技术规范》（HJ/T393-2007）及其它有关法律法规落实相关措施，以降低施工期扬尘对环境空气的影响。</w:t>
            </w:r>
          </w:p>
          <w:p w14:paraId="12A281C6">
            <w:pPr>
              <w:spacing w:line="360" w:lineRule="auto"/>
              <w:ind w:firstLine="480"/>
              <w:rPr>
                <w:rFonts w:hint="default" w:ascii="Times New Roman" w:hAnsi="Times New Roman"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2、施工废水防治措施</w:t>
            </w:r>
          </w:p>
          <w:p w14:paraId="705BA3C4">
            <w:pPr>
              <w:spacing w:line="360" w:lineRule="auto"/>
              <w:ind w:firstLine="480"/>
              <w:rPr>
                <w:rFonts w:hint="default" w:ascii="Times New Roman" w:hAnsi="Times New Roman" w:cs="Times New Roman"/>
                <w:color w:val="auto"/>
                <w:kern w:val="0"/>
                <w:highlight w:val="none"/>
                <w:u w:val="none" w:color="auto"/>
                <w:lang w:val="en-US" w:eastAsia="zh-CN"/>
              </w:rPr>
            </w:pPr>
            <w:r>
              <w:rPr>
                <w:rFonts w:hint="default" w:ascii="Times New Roman" w:hAnsi="Times New Roman" w:cs="Times New Roman"/>
                <w:color w:val="auto"/>
                <w:kern w:val="0"/>
                <w:highlight w:val="none"/>
                <w:u w:val="none" w:color="auto"/>
                <w:lang w:val="en-US" w:eastAsia="zh-CN"/>
              </w:rPr>
              <w:t>（1）生活污水</w:t>
            </w:r>
          </w:p>
          <w:p w14:paraId="5BD82F25">
            <w:pPr>
              <w:spacing w:line="360" w:lineRule="auto"/>
              <w:ind w:firstLine="480"/>
              <w:rPr>
                <w:rFonts w:hint="default" w:ascii="Times New Roman" w:hAnsi="Times New Roman" w:cs="Times New Roman"/>
                <w:color w:val="auto"/>
                <w:kern w:val="0"/>
                <w:highlight w:val="none"/>
                <w:u w:val="none" w:color="auto"/>
                <w:lang w:val="en-US" w:eastAsia="zh-CN"/>
              </w:rPr>
            </w:pPr>
            <w:r>
              <w:rPr>
                <w:rFonts w:hint="default" w:ascii="Times New Roman" w:hAnsi="Times New Roman" w:cs="Times New Roman"/>
                <w:color w:val="auto"/>
                <w:kern w:val="0"/>
                <w:highlight w:val="none"/>
                <w:u w:val="none" w:color="auto"/>
                <w:lang w:val="en-US" w:eastAsia="zh-CN"/>
              </w:rPr>
              <w:t>本项目施工期产生的生活污水其主要污染因子为 pH、COD</w:t>
            </w:r>
            <w:r>
              <w:rPr>
                <w:rFonts w:hint="default" w:ascii="Times New Roman" w:hAnsi="Times New Roman" w:cs="Times New Roman"/>
                <w:color w:val="auto"/>
                <w:kern w:val="0"/>
                <w:highlight w:val="none"/>
                <w:u w:val="none" w:color="auto"/>
                <w:vertAlign w:val="subscript"/>
                <w:lang w:val="en-US" w:eastAsia="zh-CN"/>
              </w:rPr>
              <w:t>cr</w:t>
            </w:r>
            <w:r>
              <w:rPr>
                <w:rFonts w:hint="default" w:ascii="Times New Roman" w:hAnsi="Times New Roman" w:cs="Times New Roman"/>
                <w:color w:val="auto"/>
                <w:kern w:val="0"/>
                <w:highlight w:val="none"/>
                <w:u w:val="none" w:color="auto"/>
                <w:lang w:val="en-US" w:eastAsia="zh-CN"/>
              </w:rPr>
              <w:t>、BOD</w:t>
            </w:r>
            <w:r>
              <w:rPr>
                <w:rFonts w:hint="default" w:ascii="Times New Roman" w:hAnsi="Times New Roman" w:cs="Times New Roman"/>
                <w:color w:val="auto"/>
                <w:kern w:val="0"/>
                <w:highlight w:val="none"/>
                <w:u w:val="none" w:color="auto"/>
                <w:vertAlign w:val="subscript"/>
                <w:lang w:val="en-US" w:eastAsia="zh-CN"/>
              </w:rPr>
              <w:t>5</w:t>
            </w:r>
            <w:r>
              <w:rPr>
                <w:rFonts w:hint="default" w:ascii="Times New Roman" w:hAnsi="Times New Roman" w:cs="Times New Roman"/>
                <w:color w:val="auto"/>
                <w:kern w:val="0"/>
                <w:highlight w:val="none"/>
                <w:u w:val="none" w:color="auto"/>
                <w:lang w:val="en-US" w:eastAsia="zh-CN"/>
              </w:rPr>
              <w:t>、NH</w:t>
            </w:r>
            <w:r>
              <w:rPr>
                <w:rFonts w:hint="default" w:ascii="Times New Roman" w:hAnsi="Times New Roman" w:cs="Times New Roman"/>
                <w:color w:val="auto"/>
                <w:kern w:val="0"/>
                <w:highlight w:val="none"/>
                <w:u w:val="none" w:color="auto"/>
                <w:vertAlign w:val="subscript"/>
                <w:lang w:val="en-US" w:eastAsia="zh-CN"/>
              </w:rPr>
              <w:t>3</w:t>
            </w:r>
            <w:r>
              <w:rPr>
                <w:rFonts w:hint="default" w:ascii="Times New Roman" w:hAnsi="Times New Roman" w:cs="Times New Roman"/>
                <w:color w:val="auto"/>
                <w:kern w:val="0"/>
                <w:highlight w:val="none"/>
                <w:u w:val="none" w:color="auto"/>
                <w:lang w:val="en-US" w:eastAsia="zh-CN"/>
              </w:rPr>
              <w:t>-N、SS、TP。项目施工人员生活污水</w:t>
            </w:r>
            <w:r>
              <w:rPr>
                <w:rFonts w:hint="eastAsia" w:cs="Times New Roman"/>
                <w:color w:val="auto"/>
                <w:highlight w:val="none"/>
                <w:u w:val="none" w:color="auto"/>
                <w:lang w:val="en-US" w:eastAsia="zh-CN"/>
              </w:rPr>
              <w:t>经化粪池处理后</w:t>
            </w:r>
            <w:r>
              <w:rPr>
                <w:rFonts w:hint="eastAsia" w:cs="Times New Roman"/>
                <w:color w:val="auto"/>
                <w:sz w:val="24"/>
                <w:szCs w:val="24"/>
                <w:highlight w:val="none"/>
                <w:u w:val="none" w:color="auto"/>
                <w:lang w:val="en-US" w:eastAsia="zh-CN"/>
              </w:rPr>
              <w:t>经槽车运往汨罗市大荆镇古仑片区污水处理站处理</w:t>
            </w:r>
            <w:r>
              <w:rPr>
                <w:rFonts w:hint="default" w:ascii="Times New Roman" w:hAnsi="Times New Roman" w:cs="Times New Roman"/>
                <w:color w:val="auto"/>
                <w:kern w:val="0"/>
                <w:highlight w:val="none"/>
                <w:u w:val="none" w:color="auto"/>
                <w:lang w:val="en-US" w:eastAsia="zh-CN"/>
              </w:rPr>
              <w:t>，对周围地表水环境无影响。</w:t>
            </w:r>
          </w:p>
          <w:p w14:paraId="728DEC75">
            <w:pPr>
              <w:spacing w:line="360" w:lineRule="auto"/>
              <w:ind w:firstLine="480"/>
              <w:rPr>
                <w:rFonts w:hint="default" w:ascii="Times New Roman" w:hAnsi="Times New Roman" w:cs="Times New Roman"/>
                <w:color w:val="auto"/>
                <w:kern w:val="0"/>
                <w:highlight w:val="none"/>
                <w:u w:val="none" w:color="auto"/>
                <w:lang w:val="en-US" w:eastAsia="zh-CN"/>
              </w:rPr>
            </w:pPr>
            <w:r>
              <w:rPr>
                <w:rFonts w:hint="default" w:ascii="Times New Roman" w:hAnsi="Times New Roman" w:cs="Times New Roman"/>
                <w:color w:val="auto"/>
                <w:kern w:val="0"/>
                <w:highlight w:val="none"/>
                <w:u w:val="none" w:color="auto"/>
                <w:lang w:val="en-US" w:eastAsia="zh-CN"/>
              </w:rPr>
              <w:t>（2）施工废水</w:t>
            </w:r>
          </w:p>
          <w:p w14:paraId="78C900F1">
            <w:pPr>
              <w:spacing w:line="360" w:lineRule="auto"/>
              <w:ind w:firstLine="480"/>
              <w:rPr>
                <w:rFonts w:hint="default" w:ascii="Times New Roman" w:hAnsi="Times New Roman" w:cs="Times New Roman"/>
                <w:color w:val="auto"/>
                <w:kern w:val="0"/>
                <w:highlight w:val="none"/>
                <w:u w:val="none" w:color="auto"/>
                <w:lang w:val="en-US" w:eastAsia="zh-CN"/>
              </w:rPr>
            </w:pPr>
            <w:r>
              <w:rPr>
                <w:rFonts w:hint="default" w:ascii="Times New Roman" w:hAnsi="Times New Roman" w:cs="Times New Roman"/>
                <w:color w:val="auto"/>
                <w:kern w:val="0"/>
                <w:highlight w:val="none"/>
                <w:u w:val="none" w:color="auto"/>
                <w:lang w:val="en-US" w:eastAsia="zh-CN"/>
              </w:rPr>
              <w:t>建筑施工废水主要是施工设备清洗及进出车辆冲洗废水，同时施工材料被雨水冲刷以及施工机械跑、冒、滴、漏的油污随地表径流形成污水。施工废水往往呈偏碱性，含有石油类污染物和大量悬浮物。据类比调查，建筑类施工废水产生量约为0.5kg/m</w:t>
            </w:r>
            <w:r>
              <w:rPr>
                <w:rFonts w:hint="default" w:ascii="Times New Roman" w:hAnsi="Times New Roman" w:cs="Times New Roman"/>
                <w:color w:val="auto"/>
                <w:kern w:val="0"/>
                <w:highlight w:val="none"/>
                <w:u w:val="none" w:color="auto"/>
                <w:vertAlign w:val="superscript"/>
                <w:lang w:val="en-US" w:eastAsia="zh-CN"/>
              </w:rPr>
              <w:t>2</w:t>
            </w:r>
            <w:r>
              <w:rPr>
                <w:rFonts w:hint="default" w:ascii="Times New Roman" w:hAnsi="Times New Roman" w:cs="Times New Roman"/>
                <w:color w:val="auto"/>
                <w:kern w:val="0"/>
                <w:highlight w:val="none"/>
                <w:u w:val="none" w:color="auto"/>
                <w:lang w:val="en-US" w:eastAsia="zh-CN"/>
              </w:rPr>
              <w:t xml:space="preserve"> ，主要污染物浓度为：CODcr为300mg/L，石油类为40mg/L，SS为500mg/L。施工废水经过隔油、沉淀处理后，用于车辆、机械冲洗和施工场地洒水防尘，禁止外排至水体。</w:t>
            </w:r>
          </w:p>
          <w:p w14:paraId="5E719FE8">
            <w:pPr>
              <w:spacing w:line="360" w:lineRule="auto"/>
              <w:ind w:firstLine="480"/>
              <w:rPr>
                <w:rFonts w:hint="default" w:ascii="Times New Roman" w:hAnsi="Times New Roman" w:cs="Times New Roman"/>
                <w:color w:val="auto"/>
                <w:kern w:val="0"/>
                <w:highlight w:val="none"/>
                <w:u w:val="none" w:color="auto"/>
                <w:lang w:val="en-US" w:eastAsia="zh-CN"/>
              </w:rPr>
            </w:pPr>
            <w:r>
              <w:rPr>
                <w:rFonts w:hint="default" w:ascii="Times New Roman" w:hAnsi="Times New Roman" w:cs="Times New Roman"/>
                <w:color w:val="auto"/>
                <w:kern w:val="0"/>
                <w:highlight w:val="none"/>
                <w:u w:val="none" w:color="auto"/>
                <w:lang w:val="en-US" w:eastAsia="zh-CN"/>
              </w:rPr>
              <w:t>项目各种建筑材料运输过程均会引起扬尘，而这些尘埃会随风飘落到靠路较近到水体，将会对水体产生一定的影响。此外，一些施工材料，如砂石、水泥等物质在其堆放处若保管不善，被雨水冲刷而进入水体，将污染水环境。因此，必须严格按照交通部有关规范规定，在施工中应根据不同建筑材料的特点，有针对性的加强保护管理措施，禁止废物进入水体，使其对水环境水质的影响程度降低到最小。此外，施工单位要做好建筑材料和建筑废料的管理，防止它们成为地面水的二次污染源。建议在施工工地周围设置排水明沟，径流水经沉淀池沉淀后排放。</w:t>
            </w:r>
          </w:p>
          <w:p w14:paraId="678C1236">
            <w:pPr>
              <w:spacing w:line="360" w:lineRule="auto"/>
              <w:ind w:firstLine="480"/>
              <w:rPr>
                <w:rFonts w:hint="default" w:ascii="Times New Roman" w:hAnsi="Times New Roman" w:cs="Times New Roman"/>
                <w:color w:val="auto"/>
                <w:kern w:val="0"/>
                <w:highlight w:val="none"/>
                <w:u w:val="none" w:color="auto"/>
                <w:lang w:val="en-US" w:eastAsia="zh-CN"/>
              </w:rPr>
            </w:pPr>
            <w:r>
              <w:rPr>
                <w:rFonts w:hint="default" w:ascii="Times New Roman" w:hAnsi="Times New Roman" w:cs="Times New Roman"/>
                <w:color w:val="auto"/>
                <w:kern w:val="0"/>
                <w:highlight w:val="none"/>
                <w:u w:val="none" w:color="auto"/>
                <w:lang w:val="en-US" w:eastAsia="zh-CN"/>
              </w:rPr>
              <w:t>3、噪声防治措施</w:t>
            </w:r>
          </w:p>
          <w:p w14:paraId="1E667B87">
            <w:pPr>
              <w:spacing w:line="360" w:lineRule="auto"/>
              <w:ind w:firstLine="480"/>
              <w:rPr>
                <w:rFonts w:hint="default" w:ascii="Times New Roman" w:hAnsi="Times New Roman" w:cs="Times New Roman"/>
                <w:color w:val="auto"/>
                <w:kern w:val="0"/>
                <w:highlight w:val="none"/>
                <w:u w:val="none" w:color="auto"/>
                <w:lang w:val="en-US" w:eastAsia="zh-CN"/>
              </w:rPr>
            </w:pPr>
            <w:r>
              <w:rPr>
                <w:rFonts w:hint="default" w:ascii="Times New Roman" w:hAnsi="Times New Roman" w:cs="Times New Roman"/>
                <w:color w:val="auto"/>
                <w:kern w:val="0"/>
                <w:highlight w:val="none"/>
                <w:u w:val="none" w:color="auto"/>
                <w:lang w:val="en-US" w:eastAsia="zh-CN"/>
              </w:rPr>
              <w:t>施工期噪声具有阶段性、临时性和不固定性。在施工期的主要噪声源是各类施工机械的辐射噪声及车辆噪声。</w:t>
            </w:r>
          </w:p>
          <w:p w14:paraId="789904C5">
            <w:pPr>
              <w:spacing w:line="360" w:lineRule="auto"/>
              <w:ind w:firstLine="480"/>
              <w:rPr>
                <w:rFonts w:hint="default" w:ascii="Times New Roman" w:hAnsi="Times New Roman" w:cs="Times New Roman"/>
                <w:color w:val="auto"/>
                <w:kern w:val="0"/>
                <w:highlight w:val="none"/>
                <w:u w:val="none" w:color="auto"/>
                <w:lang w:val="en-US" w:eastAsia="zh-CN"/>
              </w:rPr>
            </w:pPr>
            <w:r>
              <w:rPr>
                <w:rFonts w:hint="default" w:ascii="Times New Roman" w:hAnsi="Times New Roman" w:cs="Times New Roman"/>
                <w:color w:val="auto"/>
                <w:kern w:val="0"/>
                <w:highlight w:val="none"/>
                <w:u w:val="none" w:color="auto"/>
                <w:lang w:val="en-US" w:eastAsia="zh-CN"/>
              </w:rPr>
              <w:t>防止噪声影响周围环境和人们的正常生活，必须采取以下措施：</w:t>
            </w:r>
          </w:p>
          <w:p w14:paraId="6FA718BC">
            <w:pPr>
              <w:spacing w:line="360" w:lineRule="auto"/>
              <w:ind w:firstLine="480"/>
              <w:rPr>
                <w:rFonts w:hint="default" w:ascii="Times New Roman" w:hAnsi="Times New Roman" w:cs="Times New Roman"/>
                <w:color w:val="auto"/>
                <w:kern w:val="0"/>
                <w:highlight w:val="none"/>
                <w:u w:val="none" w:color="auto"/>
                <w:lang w:val="en-US" w:eastAsia="zh-CN"/>
              </w:rPr>
            </w:pPr>
            <w:r>
              <w:rPr>
                <w:rFonts w:hint="default" w:ascii="Times New Roman" w:hAnsi="Times New Roman" w:cs="Times New Roman"/>
                <w:color w:val="auto"/>
                <w:kern w:val="0"/>
                <w:highlight w:val="none"/>
                <w:u w:val="none" w:color="auto"/>
                <w:lang w:val="en-US" w:eastAsia="zh-CN"/>
              </w:rPr>
              <w:t>a、严格执行政府城建施工有关规定，合理安排施工工作时间和施工设备数量，避免在打夯、挖掘等过程中影响居民休息。</w:t>
            </w:r>
          </w:p>
          <w:p w14:paraId="594940C4">
            <w:pPr>
              <w:spacing w:line="360" w:lineRule="auto"/>
              <w:ind w:firstLine="480"/>
              <w:rPr>
                <w:rFonts w:hint="default" w:ascii="Times New Roman" w:hAnsi="Times New Roman" w:cs="Times New Roman"/>
                <w:color w:val="auto"/>
                <w:kern w:val="0"/>
                <w:highlight w:val="none"/>
                <w:u w:val="none" w:color="auto"/>
                <w:lang w:val="en-US" w:eastAsia="zh-CN"/>
              </w:rPr>
            </w:pPr>
            <w:r>
              <w:rPr>
                <w:rFonts w:hint="default" w:ascii="Times New Roman" w:hAnsi="Times New Roman" w:cs="Times New Roman"/>
                <w:color w:val="auto"/>
                <w:kern w:val="0"/>
                <w:highlight w:val="none"/>
                <w:u w:val="none" w:color="auto"/>
                <w:lang w:val="en-US" w:eastAsia="zh-CN"/>
              </w:rPr>
              <w:t>b、禁止高噪声设备在午休时间和夜间 22：00 至次日 6：00 作业；应避免在同一时间集中使用大量的高噪声动力机械设备。</w:t>
            </w:r>
          </w:p>
          <w:p w14:paraId="79BF0774">
            <w:pPr>
              <w:spacing w:line="360" w:lineRule="auto"/>
              <w:ind w:firstLine="480"/>
              <w:rPr>
                <w:rFonts w:hint="default" w:ascii="Times New Roman" w:hAnsi="Times New Roman" w:cs="Times New Roman"/>
                <w:color w:val="auto"/>
                <w:kern w:val="0"/>
                <w:highlight w:val="none"/>
                <w:u w:val="none" w:color="auto"/>
                <w:lang w:val="en-US" w:eastAsia="zh-CN"/>
              </w:rPr>
            </w:pPr>
            <w:r>
              <w:rPr>
                <w:rFonts w:hint="default" w:ascii="Times New Roman" w:hAnsi="Times New Roman" w:cs="Times New Roman"/>
                <w:color w:val="auto"/>
                <w:kern w:val="0"/>
                <w:highlight w:val="none"/>
                <w:u w:val="none" w:color="auto"/>
                <w:lang w:val="en-US" w:eastAsia="zh-CN"/>
              </w:rPr>
              <w:t>c、合理布局施工场地，同时避免局部声级过高。</w:t>
            </w:r>
          </w:p>
          <w:p w14:paraId="68475F32">
            <w:pPr>
              <w:spacing w:line="360" w:lineRule="auto"/>
              <w:ind w:firstLine="480"/>
              <w:rPr>
                <w:rFonts w:hint="default" w:ascii="Times New Roman" w:hAnsi="Times New Roman" w:cs="Times New Roman"/>
                <w:color w:val="auto"/>
                <w:kern w:val="0"/>
                <w:highlight w:val="none"/>
                <w:u w:val="none" w:color="auto"/>
                <w:lang w:val="en-US" w:eastAsia="zh-CN"/>
              </w:rPr>
            </w:pPr>
            <w:r>
              <w:rPr>
                <w:rFonts w:hint="default" w:ascii="Times New Roman" w:hAnsi="Times New Roman" w:cs="Times New Roman"/>
                <w:color w:val="auto"/>
                <w:kern w:val="0"/>
                <w:highlight w:val="none"/>
                <w:u w:val="none" w:color="auto"/>
                <w:lang w:val="en-US" w:eastAsia="zh-CN"/>
              </w:rPr>
              <w:t>d、建立临时屏障。对位置相对固定的机械设备，尽可能采用隔声措施；机械设备应尽量入棚操作，并布置在场地的中间并设简易隔声围挡，不能入棚入室的可适当建立单面声障。</w:t>
            </w:r>
          </w:p>
          <w:p w14:paraId="2246D3F3">
            <w:pPr>
              <w:spacing w:line="360" w:lineRule="auto"/>
              <w:ind w:firstLine="480"/>
              <w:rPr>
                <w:rFonts w:hint="default" w:ascii="Times New Roman" w:hAnsi="Times New Roman" w:cs="Times New Roman"/>
                <w:color w:val="auto"/>
                <w:kern w:val="0"/>
                <w:highlight w:val="none"/>
                <w:u w:val="none" w:color="auto"/>
                <w:lang w:val="en-US" w:eastAsia="zh-CN"/>
              </w:rPr>
            </w:pPr>
            <w:r>
              <w:rPr>
                <w:rFonts w:hint="default" w:ascii="Times New Roman" w:hAnsi="Times New Roman" w:cs="Times New Roman"/>
                <w:color w:val="auto"/>
                <w:kern w:val="0"/>
                <w:highlight w:val="none"/>
                <w:u w:val="none" w:color="auto"/>
                <w:lang w:val="en-US" w:eastAsia="zh-CN"/>
              </w:rPr>
              <w:t>e、加强对施工设备的维护保养，减少设备噪声。</w:t>
            </w:r>
          </w:p>
          <w:p w14:paraId="07A62242">
            <w:pPr>
              <w:spacing w:line="360" w:lineRule="auto"/>
              <w:ind w:firstLine="480"/>
              <w:rPr>
                <w:rFonts w:hint="default" w:ascii="Times New Roman" w:hAnsi="Times New Roman" w:cs="Times New Roman"/>
                <w:color w:val="auto"/>
                <w:kern w:val="0"/>
                <w:highlight w:val="none"/>
                <w:u w:val="none" w:color="auto"/>
                <w:lang w:val="en-US" w:eastAsia="zh-CN"/>
              </w:rPr>
            </w:pPr>
            <w:r>
              <w:rPr>
                <w:rFonts w:hint="default" w:ascii="Times New Roman" w:hAnsi="Times New Roman" w:cs="Times New Roman"/>
                <w:color w:val="auto"/>
                <w:kern w:val="0"/>
                <w:highlight w:val="none"/>
                <w:u w:val="none" w:color="auto"/>
                <w:lang w:val="en-US" w:eastAsia="zh-CN"/>
              </w:rPr>
              <w:t>综上所述，该项目建设过程中产生的施工噪声具有阶段性、临时性和不固定性，随着施工阶段的不同，施工噪声影响也不同。施工结束时，施工噪声也自行结束，采取相应的措施后，对周边敏感点影响小。</w:t>
            </w:r>
          </w:p>
          <w:p w14:paraId="45DAFADF">
            <w:pPr>
              <w:spacing w:line="360" w:lineRule="auto"/>
              <w:ind w:firstLine="480"/>
              <w:rPr>
                <w:rFonts w:hint="default" w:ascii="Times New Roman" w:hAnsi="Times New Roman" w:cs="Times New Roman"/>
                <w:color w:val="auto"/>
                <w:kern w:val="0"/>
                <w:highlight w:val="none"/>
                <w:u w:val="none" w:color="auto"/>
                <w:lang w:val="en-US" w:eastAsia="zh-CN"/>
              </w:rPr>
            </w:pPr>
            <w:r>
              <w:rPr>
                <w:rFonts w:hint="default" w:ascii="Times New Roman" w:hAnsi="Times New Roman" w:cs="Times New Roman"/>
                <w:color w:val="auto"/>
                <w:kern w:val="0"/>
                <w:highlight w:val="none"/>
                <w:u w:val="none" w:color="auto"/>
                <w:lang w:val="en-US" w:eastAsia="zh-CN"/>
              </w:rPr>
              <w:t>4、固体废物防治措施</w:t>
            </w:r>
          </w:p>
          <w:p w14:paraId="3A542629">
            <w:pPr>
              <w:spacing w:line="360" w:lineRule="auto"/>
              <w:ind w:firstLine="480"/>
              <w:rPr>
                <w:rFonts w:hint="default" w:ascii="Times New Roman" w:hAnsi="Times New Roman" w:cs="Times New Roman"/>
                <w:color w:val="auto"/>
                <w:kern w:val="0"/>
                <w:highlight w:val="none"/>
                <w:u w:val="none" w:color="auto"/>
                <w:lang w:val="en-US" w:eastAsia="zh-CN"/>
              </w:rPr>
            </w:pPr>
            <w:r>
              <w:rPr>
                <w:rFonts w:hint="default" w:ascii="Times New Roman" w:hAnsi="Times New Roman" w:cs="Times New Roman"/>
                <w:color w:val="auto"/>
                <w:kern w:val="0"/>
                <w:highlight w:val="none"/>
                <w:u w:val="none" w:color="auto"/>
                <w:lang w:val="en-US" w:eastAsia="zh-CN"/>
              </w:rPr>
              <w:t>主要指建筑物建设过程中产生的建筑垃圾、生活垃圾。</w:t>
            </w:r>
          </w:p>
          <w:p w14:paraId="32951652">
            <w:pPr>
              <w:spacing w:line="360" w:lineRule="auto"/>
              <w:ind w:firstLine="480"/>
              <w:rPr>
                <w:rFonts w:hint="default" w:ascii="Times New Roman" w:hAnsi="Times New Roman" w:cs="Times New Roman"/>
                <w:color w:val="auto"/>
                <w:kern w:val="0"/>
                <w:highlight w:val="none"/>
                <w:u w:val="none" w:color="auto"/>
                <w:lang w:val="en-US" w:eastAsia="zh-CN"/>
              </w:rPr>
            </w:pPr>
            <w:r>
              <w:rPr>
                <w:rFonts w:hint="default" w:ascii="Times New Roman" w:hAnsi="Times New Roman" w:cs="Times New Roman"/>
                <w:color w:val="auto"/>
                <w:kern w:val="0"/>
                <w:highlight w:val="none"/>
                <w:u w:val="none" w:color="auto"/>
                <w:lang w:val="en-US" w:eastAsia="zh-CN"/>
              </w:rPr>
              <w:t>在施工现场设置临时建筑废物堆放场并进行密闭处理，建筑垃圾除部分用于回收，不得随意处置；剩余部分堆放达一定量时及时清运到指定的建筑垃圾场处理。</w:t>
            </w:r>
          </w:p>
          <w:p w14:paraId="3304D8D5">
            <w:pPr>
              <w:spacing w:line="360" w:lineRule="auto"/>
              <w:ind w:firstLine="480"/>
              <w:rPr>
                <w:rFonts w:hint="default" w:ascii="Times New Roman" w:hAnsi="Times New Roman" w:cs="Times New Roman"/>
                <w:color w:val="auto"/>
                <w:kern w:val="0"/>
                <w:highlight w:val="none"/>
                <w:u w:val="none" w:color="auto"/>
                <w:lang w:val="en-US" w:eastAsia="zh-CN"/>
              </w:rPr>
            </w:pPr>
            <w:r>
              <w:rPr>
                <w:rFonts w:hint="default" w:ascii="Times New Roman" w:hAnsi="Times New Roman" w:cs="Times New Roman"/>
                <w:color w:val="auto"/>
                <w:kern w:val="0"/>
                <w:highlight w:val="none"/>
                <w:u w:val="none" w:color="auto"/>
                <w:lang w:val="en-US" w:eastAsia="zh-CN"/>
              </w:rPr>
              <w:t>建筑垃圾应由依法取得《建筑垃圾运输许可证》的单位承运，承运单位必须拥有合法的车辆行驶证、合法的道路运输营运许可证、运输车辆具备全密闭运输机械装置、安装行驶及装卸记录仪和相应的建筑垃圾分类运输设备；清运建筑垃圾的车辆应按指定的地点、时间、路线装载和处置建筑垃圾，避开交通高峰期，积极与交通管理部门相互配合，根据区域道路的交通流量状况灵活调整车辆的运输途径，以减小施工运输对区域沿线道路的交通负荷；尽量避开沿线敏感点较多的运输路线；</w:t>
            </w:r>
          </w:p>
          <w:p w14:paraId="645EE370">
            <w:pPr>
              <w:spacing w:line="360" w:lineRule="auto"/>
              <w:ind w:firstLine="480"/>
              <w:rPr>
                <w:rFonts w:hint="default" w:ascii="Times New Roman" w:hAnsi="Times New Roman" w:cs="Times New Roman"/>
                <w:color w:val="auto"/>
                <w:kern w:val="0"/>
                <w:highlight w:val="none"/>
                <w:u w:val="none" w:color="auto"/>
                <w:lang w:val="en-US" w:eastAsia="zh-CN"/>
              </w:rPr>
            </w:pPr>
            <w:r>
              <w:rPr>
                <w:rFonts w:hint="default" w:ascii="Times New Roman" w:hAnsi="Times New Roman" w:cs="Times New Roman"/>
                <w:color w:val="auto"/>
                <w:kern w:val="0"/>
                <w:highlight w:val="none"/>
                <w:u w:val="none" w:color="auto"/>
                <w:lang w:val="en-US" w:eastAsia="zh-CN"/>
              </w:rPr>
              <w:t>不得随意倾倒、沿途丢弃、遗撒建筑垃圾；建筑垃圾运输车驶出施工场地和消纳场地前，应冲洗车体，净车出场，并且避免从人流、客流量大的交通要道及市中心繁华区域穿行。</w:t>
            </w:r>
          </w:p>
          <w:p w14:paraId="47079328">
            <w:pPr>
              <w:spacing w:line="360" w:lineRule="auto"/>
              <w:ind w:firstLine="480"/>
              <w:rPr>
                <w:rFonts w:hint="default" w:ascii="Times New Roman" w:hAnsi="Times New Roman"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施工人员垃圾集中入垃圾箱，由环卫部门统一收集处理。</w:t>
            </w:r>
          </w:p>
          <w:p w14:paraId="500D237E">
            <w:pPr>
              <w:spacing w:line="360" w:lineRule="auto"/>
              <w:ind w:firstLine="480"/>
              <w:rPr>
                <w:rFonts w:hint="default" w:ascii="Times New Roman" w:hAnsi="Times New Roman" w:cs="Times New Roman"/>
                <w:color w:val="auto"/>
                <w:kern w:val="0"/>
                <w:highlight w:val="none"/>
                <w:u w:val="none" w:color="auto"/>
                <w:lang w:val="en-US" w:eastAsia="zh-CN"/>
              </w:rPr>
            </w:pPr>
            <w:r>
              <w:rPr>
                <w:rFonts w:hint="default" w:ascii="Times New Roman" w:hAnsi="Times New Roman" w:cs="Times New Roman"/>
                <w:color w:val="auto"/>
                <w:kern w:val="0"/>
                <w:highlight w:val="none"/>
                <w:u w:val="none" w:color="auto"/>
                <w:lang w:val="en-US" w:eastAsia="zh-CN"/>
              </w:rPr>
              <w:t>综合以上，施工固体废物均可得到有效处理，不会对区域环境构成明显影响。</w:t>
            </w:r>
          </w:p>
          <w:p w14:paraId="4EBA402D">
            <w:pPr>
              <w:spacing w:line="360" w:lineRule="auto"/>
              <w:ind w:firstLine="480"/>
              <w:rPr>
                <w:rFonts w:hint="default" w:ascii="Times New Roman" w:hAnsi="Times New Roman" w:cs="Times New Roman"/>
                <w:color w:val="auto"/>
                <w:kern w:val="0"/>
                <w:highlight w:val="none"/>
                <w:u w:val="none" w:color="auto"/>
                <w:lang w:val="en-US" w:eastAsia="zh-CN"/>
              </w:rPr>
            </w:pPr>
          </w:p>
          <w:p w14:paraId="37368AB3">
            <w:pPr>
              <w:spacing w:line="360" w:lineRule="auto"/>
              <w:ind w:firstLine="480"/>
              <w:rPr>
                <w:rFonts w:hint="default" w:ascii="Times New Roman" w:hAnsi="Times New Roman" w:cs="Times New Roman"/>
                <w:color w:val="auto"/>
                <w:kern w:val="0"/>
                <w:highlight w:val="none"/>
                <w:u w:val="none" w:color="auto"/>
                <w:lang w:val="en-US" w:eastAsia="zh-CN"/>
              </w:rPr>
            </w:pPr>
          </w:p>
          <w:p w14:paraId="5E6EBFC3">
            <w:pPr>
              <w:spacing w:line="360" w:lineRule="auto"/>
              <w:ind w:firstLine="480"/>
              <w:rPr>
                <w:rFonts w:hint="default" w:ascii="Times New Roman" w:hAnsi="Times New Roman" w:eastAsia="宋体" w:cs="Times New Roman"/>
                <w:color w:val="auto"/>
                <w:highlight w:val="none"/>
                <w:u w:val="none" w:color="auto"/>
                <w:lang w:val="en-US" w:eastAsia="zh-CN"/>
              </w:rPr>
            </w:pPr>
          </w:p>
        </w:tc>
      </w:tr>
      <w:tr w14:paraId="27D1163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37" w:type="dxa"/>
            <w:shd w:val="clear" w:color="auto" w:fill="auto"/>
            <w:tcMar>
              <w:left w:w="28" w:type="dxa"/>
              <w:right w:w="28" w:type="dxa"/>
            </w:tcMar>
            <w:vAlign w:val="center"/>
          </w:tcPr>
          <w:p w14:paraId="2D5AF1DC">
            <w:pPr>
              <w:pStyle w:val="40"/>
              <w:adjustRightInd w:val="0"/>
              <w:snapToGrid w:val="0"/>
              <w:spacing w:before="0" w:beforeAutospacing="0" w:after="0" w:afterAutospacing="0"/>
              <w:jc w:val="center"/>
              <w:rPr>
                <w:rFonts w:hint="default" w:ascii="Times New Roman" w:hAnsi="Times New Roman" w:eastAsia="宋体" w:cs="Times New Roman"/>
                <w:color w:val="auto"/>
                <w:kern w:val="2"/>
                <w:sz w:val="24"/>
                <w:szCs w:val="24"/>
                <w:highlight w:val="none"/>
                <w:u w:val="none" w:color="auto"/>
              </w:rPr>
            </w:pPr>
            <w:r>
              <w:rPr>
                <w:rFonts w:hint="default" w:ascii="Times New Roman" w:hAnsi="Times New Roman" w:eastAsia="宋体" w:cs="Times New Roman"/>
                <w:color w:val="auto"/>
                <w:kern w:val="2"/>
                <w:sz w:val="24"/>
                <w:szCs w:val="24"/>
                <w:highlight w:val="none"/>
                <w:u w:val="none" w:color="auto"/>
              </w:rPr>
              <w:t>运营</w:t>
            </w:r>
          </w:p>
          <w:p w14:paraId="469DB170">
            <w:pPr>
              <w:pStyle w:val="40"/>
              <w:adjustRightInd w:val="0"/>
              <w:snapToGrid w:val="0"/>
              <w:spacing w:before="0" w:beforeAutospacing="0" w:after="0" w:afterAutospacing="0"/>
              <w:jc w:val="center"/>
              <w:rPr>
                <w:rFonts w:hint="default" w:ascii="Times New Roman" w:hAnsi="Times New Roman" w:eastAsia="宋体" w:cs="Times New Roman"/>
                <w:color w:val="auto"/>
                <w:kern w:val="2"/>
                <w:sz w:val="24"/>
                <w:szCs w:val="24"/>
                <w:highlight w:val="none"/>
                <w:u w:val="none" w:color="auto"/>
              </w:rPr>
            </w:pPr>
            <w:r>
              <w:rPr>
                <w:rFonts w:hint="default" w:ascii="Times New Roman" w:hAnsi="Times New Roman" w:eastAsia="宋体" w:cs="Times New Roman"/>
                <w:color w:val="auto"/>
                <w:kern w:val="2"/>
                <w:sz w:val="24"/>
                <w:szCs w:val="24"/>
                <w:highlight w:val="none"/>
                <w:u w:val="none" w:color="auto"/>
              </w:rPr>
              <w:t>期环</w:t>
            </w:r>
          </w:p>
          <w:p w14:paraId="01A5F90A">
            <w:pPr>
              <w:pStyle w:val="40"/>
              <w:adjustRightInd w:val="0"/>
              <w:snapToGrid w:val="0"/>
              <w:spacing w:before="0" w:beforeAutospacing="0" w:after="0" w:afterAutospacing="0"/>
              <w:jc w:val="center"/>
              <w:rPr>
                <w:rFonts w:hint="default" w:ascii="Times New Roman" w:hAnsi="Times New Roman" w:eastAsia="宋体" w:cs="Times New Roman"/>
                <w:color w:val="auto"/>
                <w:kern w:val="2"/>
                <w:sz w:val="24"/>
                <w:szCs w:val="24"/>
                <w:highlight w:val="none"/>
                <w:u w:val="none" w:color="auto"/>
              </w:rPr>
            </w:pPr>
            <w:r>
              <w:rPr>
                <w:rFonts w:hint="default" w:ascii="Times New Roman" w:hAnsi="Times New Roman" w:eastAsia="宋体" w:cs="Times New Roman"/>
                <w:color w:val="auto"/>
                <w:kern w:val="2"/>
                <w:sz w:val="24"/>
                <w:szCs w:val="24"/>
                <w:highlight w:val="none"/>
                <w:u w:val="none" w:color="auto"/>
              </w:rPr>
              <w:t>境影</w:t>
            </w:r>
          </w:p>
          <w:p w14:paraId="6378260C">
            <w:pPr>
              <w:pStyle w:val="40"/>
              <w:adjustRightInd w:val="0"/>
              <w:snapToGrid w:val="0"/>
              <w:spacing w:before="0" w:beforeAutospacing="0" w:after="0" w:afterAutospacing="0"/>
              <w:jc w:val="center"/>
              <w:rPr>
                <w:rFonts w:hint="default" w:ascii="Times New Roman" w:hAnsi="Times New Roman" w:eastAsia="宋体" w:cs="Times New Roman"/>
                <w:color w:val="auto"/>
                <w:kern w:val="2"/>
                <w:sz w:val="24"/>
                <w:szCs w:val="24"/>
                <w:highlight w:val="none"/>
                <w:u w:val="none" w:color="auto"/>
              </w:rPr>
            </w:pPr>
            <w:r>
              <w:rPr>
                <w:rFonts w:hint="default" w:ascii="Times New Roman" w:hAnsi="Times New Roman" w:eastAsia="宋体" w:cs="Times New Roman"/>
                <w:color w:val="auto"/>
                <w:kern w:val="2"/>
                <w:sz w:val="24"/>
                <w:szCs w:val="24"/>
                <w:highlight w:val="none"/>
                <w:u w:val="none" w:color="auto"/>
              </w:rPr>
              <w:t>响和</w:t>
            </w:r>
          </w:p>
          <w:p w14:paraId="1CB404DF">
            <w:pPr>
              <w:pStyle w:val="40"/>
              <w:adjustRightInd w:val="0"/>
              <w:snapToGrid w:val="0"/>
              <w:spacing w:before="0" w:beforeAutospacing="0" w:after="0" w:afterAutospacing="0"/>
              <w:jc w:val="center"/>
              <w:rPr>
                <w:rFonts w:hint="default" w:ascii="Times New Roman" w:hAnsi="Times New Roman" w:eastAsia="宋体" w:cs="Times New Roman"/>
                <w:color w:val="auto"/>
                <w:kern w:val="2"/>
                <w:sz w:val="24"/>
                <w:szCs w:val="24"/>
                <w:highlight w:val="none"/>
                <w:u w:val="none" w:color="auto"/>
              </w:rPr>
            </w:pPr>
            <w:r>
              <w:rPr>
                <w:rFonts w:hint="default" w:ascii="Times New Roman" w:hAnsi="Times New Roman" w:eastAsia="宋体" w:cs="Times New Roman"/>
                <w:color w:val="auto"/>
                <w:kern w:val="2"/>
                <w:sz w:val="24"/>
                <w:szCs w:val="24"/>
                <w:highlight w:val="none"/>
                <w:u w:val="none" w:color="auto"/>
              </w:rPr>
              <w:t>保护</w:t>
            </w:r>
          </w:p>
          <w:p w14:paraId="2BB96E2C">
            <w:pPr>
              <w:pStyle w:val="40"/>
              <w:adjustRightInd w:val="0"/>
              <w:snapToGrid w:val="0"/>
              <w:spacing w:before="0" w:beforeAutospacing="0" w:after="0" w:afterAutospacing="0"/>
              <w:jc w:val="center"/>
              <w:rPr>
                <w:rFonts w:hint="default" w:ascii="Times New Roman" w:hAnsi="Times New Roman" w:eastAsia="宋体" w:cs="Times New Roman"/>
                <w:color w:val="auto"/>
                <w:kern w:val="2"/>
                <w:sz w:val="24"/>
                <w:szCs w:val="24"/>
                <w:highlight w:val="none"/>
                <w:u w:val="none" w:color="auto"/>
                <w:lang w:val="en-US" w:eastAsia="zh-CN" w:bidi="ar-SA"/>
              </w:rPr>
            </w:pPr>
            <w:r>
              <w:rPr>
                <w:rFonts w:hint="default" w:ascii="Times New Roman" w:hAnsi="Times New Roman" w:eastAsia="宋体" w:cs="Times New Roman"/>
                <w:color w:val="auto"/>
                <w:kern w:val="2"/>
                <w:sz w:val="24"/>
                <w:szCs w:val="24"/>
                <w:highlight w:val="none"/>
                <w:u w:val="none" w:color="auto"/>
              </w:rPr>
              <w:t>措施</w:t>
            </w:r>
          </w:p>
        </w:tc>
        <w:tc>
          <w:tcPr>
            <w:tcW w:w="8222" w:type="dxa"/>
            <w:shd w:val="clear" w:color="auto" w:fill="auto"/>
            <w:vAlign w:val="top"/>
          </w:tcPr>
          <w:p w14:paraId="06742C82">
            <w:pPr>
              <w:spacing w:line="360" w:lineRule="auto"/>
              <w:ind w:firstLine="482" w:firstLineChars="200"/>
              <w:rPr>
                <w:rStyle w:val="70"/>
                <w:rFonts w:hint="default" w:ascii="Times New Roman" w:hAnsi="Times New Roman" w:eastAsia="宋体" w:cs="Times New Roman"/>
                <w:color w:val="auto"/>
                <w:sz w:val="24"/>
                <w:szCs w:val="24"/>
                <w:highlight w:val="none"/>
                <w:u w:val="none" w:color="auto"/>
              </w:rPr>
            </w:pPr>
            <w:r>
              <w:rPr>
                <w:rStyle w:val="70"/>
                <w:rFonts w:hint="default" w:ascii="Times New Roman" w:hAnsi="Times New Roman" w:eastAsia="宋体" w:cs="Times New Roman"/>
                <w:color w:val="auto"/>
                <w:sz w:val="24"/>
                <w:szCs w:val="24"/>
                <w:highlight w:val="none"/>
                <w:u w:val="none" w:color="auto"/>
              </w:rPr>
              <w:t>一、大气污染源分析</w:t>
            </w:r>
          </w:p>
          <w:p w14:paraId="5C674F49">
            <w:pPr>
              <w:spacing w:line="360" w:lineRule="auto"/>
              <w:ind w:firstLine="480" w:firstLineChars="200"/>
              <w:rPr>
                <w:rStyle w:val="70"/>
                <w:rFonts w:hint="default" w:ascii="Times New Roman" w:hAnsi="Times New Roman" w:eastAsia="宋体" w:cs="Times New Roman"/>
                <w:b w:val="0"/>
                <w:bCs w:val="0"/>
                <w:color w:val="auto"/>
                <w:sz w:val="24"/>
                <w:szCs w:val="24"/>
                <w:highlight w:val="none"/>
                <w:u w:val="none" w:color="auto"/>
                <w:lang w:val="en-US" w:eastAsia="zh-CN"/>
              </w:rPr>
            </w:pPr>
            <w:r>
              <w:rPr>
                <w:rStyle w:val="70"/>
                <w:rFonts w:hint="default" w:ascii="Times New Roman" w:hAnsi="Times New Roman" w:eastAsia="宋体" w:cs="Times New Roman"/>
                <w:b w:val="0"/>
                <w:bCs w:val="0"/>
                <w:color w:val="auto"/>
                <w:sz w:val="24"/>
                <w:szCs w:val="24"/>
                <w:highlight w:val="none"/>
                <w:u w:val="none" w:color="auto"/>
                <w:lang w:val="en-US" w:eastAsia="zh-CN"/>
              </w:rPr>
              <w:t>1、污染物产生情况</w:t>
            </w:r>
          </w:p>
          <w:p w14:paraId="1AB3A004">
            <w:pPr>
              <w:spacing w:line="360" w:lineRule="auto"/>
              <w:ind w:firstLine="480" w:firstLineChars="200"/>
              <w:rPr>
                <w:rStyle w:val="70"/>
                <w:rFonts w:hint="default" w:ascii="Times New Roman" w:hAnsi="Times New Roman" w:eastAsia="宋体" w:cs="Times New Roman"/>
                <w:b w:val="0"/>
                <w:bCs w:val="0"/>
                <w:color w:val="auto"/>
                <w:sz w:val="24"/>
                <w:szCs w:val="24"/>
                <w:highlight w:val="none"/>
                <w:u w:val="none" w:color="auto"/>
                <w:lang w:val="en-US" w:eastAsia="zh-CN"/>
              </w:rPr>
            </w:pPr>
            <w:r>
              <w:rPr>
                <w:rStyle w:val="70"/>
                <w:rFonts w:hint="default" w:ascii="Times New Roman" w:hAnsi="Times New Roman" w:eastAsia="宋体" w:cs="Times New Roman"/>
                <w:b w:val="0"/>
                <w:bCs w:val="0"/>
                <w:color w:val="auto"/>
                <w:sz w:val="24"/>
                <w:szCs w:val="24"/>
                <w:highlight w:val="none"/>
                <w:u w:val="none" w:color="auto"/>
                <w:lang w:eastAsia="zh-CN"/>
              </w:rPr>
              <w:t>（</w:t>
            </w:r>
            <w:r>
              <w:rPr>
                <w:rStyle w:val="70"/>
                <w:rFonts w:hint="default" w:ascii="Times New Roman" w:hAnsi="Times New Roman" w:eastAsia="宋体" w:cs="Times New Roman"/>
                <w:b w:val="0"/>
                <w:bCs w:val="0"/>
                <w:color w:val="auto"/>
                <w:sz w:val="24"/>
                <w:szCs w:val="24"/>
                <w:highlight w:val="none"/>
                <w:u w:val="none" w:color="auto"/>
                <w:lang w:val="en-US" w:eastAsia="zh-CN"/>
              </w:rPr>
              <w:t>1</w:t>
            </w:r>
            <w:r>
              <w:rPr>
                <w:rStyle w:val="70"/>
                <w:rFonts w:hint="default" w:ascii="Times New Roman" w:hAnsi="Times New Roman" w:eastAsia="宋体" w:cs="Times New Roman"/>
                <w:b w:val="0"/>
                <w:bCs w:val="0"/>
                <w:color w:val="auto"/>
                <w:sz w:val="24"/>
                <w:szCs w:val="24"/>
                <w:highlight w:val="none"/>
                <w:u w:val="none" w:color="auto"/>
                <w:lang w:eastAsia="zh-CN"/>
              </w:rPr>
              <w:t>）</w:t>
            </w:r>
            <w:r>
              <w:rPr>
                <w:rStyle w:val="70"/>
                <w:rFonts w:hint="default" w:ascii="Times New Roman" w:hAnsi="Times New Roman" w:eastAsia="宋体" w:cs="Times New Roman"/>
                <w:b w:val="0"/>
                <w:bCs w:val="0"/>
                <w:color w:val="auto"/>
                <w:sz w:val="24"/>
                <w:szCs w:val="24"/>
                <w:highlight w:val="none"/>
                <w:u w:val="none" w:color="auto"/>
                <w:lang w:val="en-US" w:eastAsia="zh-CN"/>
              </w:rPr>
              <w:t>锅炉废气</w:t>
            </w:r>
          </w:p>
          <w:p w14:paraId="30B8FECF">
            <w:pPr>
              <w:spacing w:line="360" w:lineRule="auto"/>
              <w:ind w:firstLine="480" w:firstLineChars="200"/>
              <w:rPr>
                <w:rStyle w:val="70"/>
                <w:rFonts w:hint="eastAsia" w:ascii="Times New Roman" w:hAnsi="Times New Roman" w:eastAsia="宋体" w:cs="Times New Roman"/>
                <w:b w:val="0"/>
                <w:bCs w:val="0"/>
                <w:color w:val="auto"/>
                <w:sz w:val="24"/>
                <w:szCs w:val="24"/>
                <w:highlight w:val="none"/>
                <w:u w:val="none" w:color="auto"/>
                <w:lang w:val="en-US" w:eastAsia="zh-CN"/>
              </w:rPr>
            </w:pPr>
            <w:r>
              <w:rPr>
                <w:rStyle w:val="70"/>
                <w:rFonts w:hint="default" w:ascii="Times New Roman" w:hAnsi="Times New Roman" w:eastAsia="宋体" w:cs="Times New Roman"/>
                <w:b w:val="0"/>
                <w:bCs w:val="0"/>
                <w:color w:val="auto"/>
                <w:sz w:val="24"/>
                <w:szCs w:val="24"/>
                <w:highlight w:val="none"/>
                <w:u w:val="none" w:color="auto"/>
                <w:lang w:val="en-US" w:eastAsia="zh-CN"/>
              </w:rPr>
              <w:t>本项目设置1台2.2t/h的生物质蒸汽发生器、1台2.5t/h的生物质蒸汽发生器，以成型生物质颗粒为燃料，主要污染物为</w:t>
            </w:r>
            <w:r>
              <w:rPr>
                <w:rStyle w:val="70"/>
                <w:rFonts w:hint="eastAsia" w:ascii="Times New Roman" w:hAnsi="Times New Roman" w:eastAsia="宋体" w:cs="Times New Roman"/>
                <w:b w:val="0"/>
                <w:bCs w:val="0"/>
                <w:color w:val="auto"/>
                <w:sz w:val="24"/>
                <w:szCs w:val="24"/>
                <w:highlight w:val="none"/>
                <w:u w:val="none" w:color="auto"/>
                <w:lang w:val="en-US" w:eastAsia="zh-CN"/>
              </w:rPr>
              <w:t>颗粒物、</w:t>
            </w:r>
            <w:r>
              <w:rPr>
                <w:rStyle w:val="70"/>
                <w:rFonts w:hint="default" w:ascii="Times New Roman" w:hAnsi="Times New Roman" w:eastAsia="宋体" w:cs="Times New Roman"/>
                <w:b w:val="0"/>
                <w:bCs w:val="0"/>
                <w:color w:val="auto"/>
                <w:sz w:val="24"/>
                <w:szCs w:val="24"/>
                <w:highlight w:val="none"/>
                <w:u w:val="none" w:color="auto"/>
                <w:lang w:val="en-US" w:eastAsia="zh-CN"/>
              </w:rPr>
              <w:t>SO</w:t>
            </w:r>
            <w:r>
              <w:rPr>
                <w:rStyle w:val="70"/>
                <w:rFonts w:hint="default" w:ascii="Times New Roman" w:hAnsi="Times New Roman" w:eastAsia="宋体" w:cs="Times New Roman"/>
                <w:b w:val="0"/>
                <w:bCs w:val="0"/>
                <w:color w:val="auto"/>
                <w:sz w:val="24"/>
                <w:szCs w:val="24"/>
                <w:highlight w:val="none"/>
                <w:u w:val="none" w:color="auto"/>
                <w:vertAlign w:val="subscript"/>
                <w:lang w:val="en-US" w:eastAsia="zh-CN"/>
              </w:rPr>
              <w:t>2</w:t>
            </w:r>
            <w:r>
              <w:rPr>
                <w:rStyle w:val="70"/>
                <w:rFonts w:hint="default" w:ascii="Times New Roman" w:hAnsi="Times New Roman" w:eastAsia="宋体" w:cs="Times New Roman"/>
                <w:b w:val="0"/>
                <w:bCs w:val="0"/>
                <w:color w:val="auto"/>
                <w:sz w:val="24"/>
                <w:szCs w:val="24"/>
                <w:highlight w:val="none"/>
                <w:u w:val="none" w:color="auto"/>
                <w:lang w:val="en-US" w:eastAsia="zh-CN"/>
              </w:rPr>
              <w:t>、NOx</w:t>
            </w:r>
            <w:r>
              <w:rPr>
                <w:rStyle w:val="70"/>
                <w:rFonts w:hint="eastAsia" w:ascii="Times New Roman" w:hAnsi="Times New Roman" w:eastAsia="宋体" w:cs="Times New Roman"/>
                <w:b w:val="0"/>
                <w:bCs w:val="0"/>
                <w:color w:val="auto"/>
                <w:sz w:val="24"/>
                <w:szCs w:val="24"/>
                <w:highlight w:val="none"/>
                <w:u w:val="none" w:color="auto"/>
                <w:lang w:val="en-US" w:eastAsia="zh-CN"/>
              </w:rPr>
              <w:t>。根据《排放源统计调查产排污核算方法和系数手册》（生态环境部公告2021年第24号）中“锅炉产排污量核算系数手册”--4430工业锅炉（热力生产和供应行业）产污系数来核算锅炉废气源强。</w:t>
            </w:r>
          </w:p>
          <w:p w14:paraId="65C42412">
            <w:pPr>
              <w:widowControl w:val="0"/>
              <w:numPr>
                <w:ilvl w:val="0"/>
                <w:numId w:val="0"/>
              </w:numPr>
              <w:adjustRightInd w:val="0"/>
              <w:snapToGrid w:val="0"/>
              <w:spacing w:line="360" w:lineRule="auto"/>
              <w:jc w:val="center"/>
              <w:rPr>
                <w:rFonts w:hint="default" w:ascii="Times New Roman" w:hAnsi="Times New Roman" w:eastAsia="宋体" w:cs="Times New Roman"/>
                <w:b/>
                <w:bCs w:val="0"/>
                <w:color w:val="auto"/>
                <w:sz w:val="21"/>
                <w:szCs w:val="21"/>
                <w:u w:val="none"/>
                <w:lang w:val="en-US" w:eastAsia="zh-CN"/>
              </w:rPr>
            </w:pPr>
            <w:r>
              <w:rPr>
                <w:rFonts w:hint="default" w:ascii="Times New Roman" w:hAnsi="Times New Roman" w:eastAsia="宋体" w:cs="Times New Roman"/>
                <w:b/>
                <w:bCs w:val="0"/>
                <w:color w:val="auto"/>
                <w:sz w:val="21"/>
                <w:szCs w:val="21"/>
                <w:u w:val="none"/>
                <w:lang w:val="en-US" w:eastAsia="zh-CN"/>
              </w:rPr>
              <w:t>表4-1 工业锅炉（热力生产和供应行业）产排污系数表-生物质工业锅炉</w:t>
            </w:r>
          </w:p>
          <w:tbl>
            <w:tblPr>
              <w:tblStyle w:val="4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31"/>
              <w:gridCol w:w="1316"/>
              <w:gridCol w:w="1536"/>
              <w:gridCol w:w="2188"/>
              <w:gridCol w:w="1422"/>
            </w:tblGrid>
            <w:tr w14:paraId="53894C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8" w:type="pct"/>
                  <w:vAlign w:val="center"/>
                </w:tcPr>
                <w:p w14:paraId="281B87FF">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u w:val="none"/>
                      <w:vertAlign w:val="baseline"/>
                      <w:lang w:val="en-US" w:eastAsia="zh-CN"/>
                    </w:rPr>
                  </w:pPr>
                  <w:r>
                    <w:rPr>
                      <w:rFonts w:hint="default" w:ascii="Times New Roman" w:hAnsi="Times New Roman" w:eastAsia="宋体" w:cs="Times New Roman"/>
                      <w:b/>
                      <w:bCs w:val="0"/>
                      <w:color w:val="auto"/>
                      <w:sz w:val="21"/>
                      <w:szCs w:val="21"/>
                      <w:u w:val="none"/>
                      <w:vertAlign w:val="baseline"/>
                      <w:lang w:val="en-US" w:eastAsia="zh-CN"/>
                    </w:rPr>
                    <w:t>原料名称</w:t>
                  </w:r>
                </w:p>
              </w:tc>
              <w:tc>
                <w:tcPr>
                  <w:tcW w:w="823" w:type="pct"/>
                  <w:vAlign w:val="center"/>
                </w:tcPr>
                <w:p w14:paraId="12581B2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u w:val="none"/>
                      <w:vertAlign w:val="baseline"/>
                      <w:lang w:val="en-US" w:eastAsia="zh-CN"/>
                    </w:rPr>
                  </w:pPr>
                  <w:r>
                    <w:rPr>
                      <w:rFonts w:hint="default" w:ascii="Times New Roman" w:hAnsi="Times New Roman" w:eastAsia="宋体" w:cs="Times New Roman"/>
                      <w:b/>
                      <w:bCs w:val="0"/>
                      <w:color w:val="auto"/>
                      <w:sz w:val="21"/>
                      <w:szCs w:val="21"/>
                      <w:u w:val="none"/>
                      <w:vertAlign w:val="baseline"/>
                      <w:lang w:val="en-US" w:eastAsia="zh-CN"/>
                    </w:rPr>
                    <w:t>等级规模</w:t>
                  </w:r>
                </w:p>
              </w:tc>
              <w:tc>
                <w:tcPr>
                  <w:tcW w:w="961" w:type="pct"/>
                  <w:vAlign w:val="center"/>
                </w:tcPr>
                <w:p w14:paraId="06FBC365">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u w:val="none"/>
                      <w:vertAlign w:val="baseline"/>
                      <w:lang w:val="en-US" w:eastAsia="zh-CN"/>
                    </w:rPr>
                  </w:pPr>
                  <w:r>
                    <w:rPr>
                      <w:rFonts w:hint="default" w:ascii="Times New Roman" w:hAnsi="Times New Roman" w:eastAsia="宋体" w:cs="Times New Roman"/>
                      <w:b/>
                      <w:bCs w:val="0"/>
                      <w:color w:val="auto"/>
                      <w:sz w:val="21"/>
                      <w:szCs w:val="21"/>
                      <w:u w:val="none"/>
                      <w:vertAlign w:val="baseline"/>
                      <w:lang w:val="en-US" w:eastAsia="zh-CN"/>
                    </w:rPr>
                    <w:t>污染物指标</w:t>
                  </w:r>
                </w:p>
              </w:tc>
              <w:tc>
                <w:tcPr>
                  <w:tcW w:w="1369" w:type="pct"/>
                  <w:vAlign w:val="center"/>
                </w:tcPr>
                <w:p w14:paraId="07F5FA8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u w:val="none"/>
                      <w:vertAlign w:val="baseline"/>
                      <w:lang w:val="en-US" w:eastAsia="zh-CN"/>
                    </w:rPr>
                  </w:pPr>
                  <w:r>
                    <w:rPr>
                      <w:rFonts w:hint="default" w:ascii="Times New Roman" w:hAnsi="Times New Roman" w:eastAsia="宋体" w:cs="Times New Roman"/>
                      <w:b/>
                      <w:bCs w:val="0"/>
                      <w:color w:val="auto"/>
                      <w:sz w:val="21"/>
                      <w:szCs w:val="21"/>
                      <w:u w:val="none"/>
                      <w:vertAlign w:val="baseline"/>
                      <w:lang w:val="en-US" w:eastAsia="zh-CN"/>
                    </w:rPr>
                    <w:t>单位</w:t>
                  </w:r>
                </w:p>
              </w:tc>
              <w:tc>
                <w:tcPr>
                  <w:tcW w:w="888" w:type="pct"/>
                  <w:vAlign w:val="center"/>
                </w:tcPr>
                <w:p w14:paraId="6D13260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val="0"/>
                      <w:color w:val="auto"/>
                      <w:sz w:val="21"/>
                      <w:szCs w:val="21"/>
                      <w:u w:val="none"/>
                      <w:vertAlign w:val="baseline"/>
                      <w:lang w:val="en-US" w:eastAsia="zh-CN"/>
                    </w:rPr>
                  </w:pPr>
                  <w:r>
                    <w:rPr>
                      <w:rFonts w:hint="default" w:ascii="Times New Roman" w:hAnsi="Times New Roman" w:eastAsia="宋体" w:cs="Times New Roman"/>
                      <w:b/>
                      <w:bCs w:val="0"/>
                      <w:color w:val="auto"/>
                      <w:sz w:val="21"/>
                      <w:szCs w:val="21"/>
                      <w:u w:val="none"/>
                      <w:vertAlign w:val="baseline"/>
                      <w:lang w:val="en-US" w:eastAsia="zh-CN"/>
                    </w:rPr>
                    <w:t>产污系数</w:t>
                  </w:r>
                </w:p>
              </w:tc>
            </w:tr>
            <w:tr w14:paraId="79D25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8" w:type="pct"/>
                  <w:vMerge w:val="restart"/>
                  <w:vAlign w:val="center"/>
                </w:tcPr>
                <w:p w14:paraId="42425474">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u w:val="none"/>
                      <w:vertAlign w:val="baseline"/>
                      <w:lang w:val="en-US" w:eastAsia="zh-CN"/>
                    </w:rPr>
                  </w:pPr>
                  <w:r>
                    <w:rPr>
                      <w:rFonts w:hint="default" w:ascii="Times New Roman" w:hAnsi="Times New Roman" w:eastAsia="宋体" w:cs="Times New Roman"/>
                      <w:b w:val="0"/>
                      <w:bCs/>
                      <w:color w:val="auto"/>
                      <w:sz w:val="21"/>
                      <w:szCs w:val="21"/>
                      <w:u w:val="none"/>
                      <w:vertAlign w:val="baseline"/>
                      <w:lang w:val="en-US" w:eastAsia="zh-CN"/>
                    </w:rPr>
                    <w:t>生物质燃料</w:t>
                  </w:r>
                </w:p>
              </w:tc>
              <w:tc>
                <w:tcPr>
                  <w:tcW w:w="823" w:type="pct"/>
                  <w:vMerge w:val="restart"/>
                  <w:vAlign w:val="center"/>
                </w:tcPr>
                <w:p w14:paraId="1D56B3E6">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u w:val="none"/>
                      <w:vertAlign w:val="baseline"/>
                      <w:lang w:val="en-US" w:eastAsia="zh-CN"/>
                    </w:rPr>
                  </w:pPr>
                  <w:r>
                    <w:rPr>
                      <w:rFonts w:hint="default" w:ascii="Times New Roman" w:hAnsi="Times New Roman" w:eastAsia="宋体" w:cs="Times New Roman"/>
                      <w:b w:val="0"/>
                      <w:bCs/>
                      <w:color w:val="auto"/>
                      <w:sz w:val="21"/>
                      <w:szCs w:val="21"/>
                      <w:u w:val="none"/>
                      <w:vertAlign w:val="baseline"/>
                      <w:lang w:val="en-US" w:eastAsia="zh-CN"/>
                    </w:rPr>
                    <w:t>所有规模</w:t>
                  </w:r>
                </w:p>
              </w:tc>
              <w:tc>
                <w:tcPr>
                  <w:tcW w:w="961" w:type="pct"/>
                  <w:vAlign w:val="center"/>
                </w:tcPr>
                <w:p w14:paraId="2C2439A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u w:val="none"/>
                      <w:vertAlign w:val="baseline"/>
                      <w:lang w:val="en-US" w:eastAsia="zh-CN"/>
                    </w:rPr>
                  </w:pPr>
                  <w:r>
                    <w:rPr>
                      <w:rFonts w:hint="default" w:ascii="Times New Roman" w:hAnsi="Times New Roman" w:eastAsia="宋体" w:cs="Times New Roman"/>
                      <w:b w:val="0"/>
                      <w:bCs/>
                      <w:color w:val="auto"/>
                      <w:sz w:val="21"/>
                      <w:szCs w:val="21"/>
                      <w:u w:val="none"/>
                      <w:vertAlign w:val="baseline"/>
                      <w:lang w:val="en-US" w:eastAsia="zh-CN"/>
                    </w:rPr>
                    <w:t>工业废气量</w:t>
                  </w:r>
                </w:p>
              </w:tc>
              <w:tc>
                <w:tcPr>
                  <w:tcW w:w="1369" w:type="pct"/>
                  <w:vAlign w:val="center"/>
                </w:tcPr>
                <w:p w14:paraId="6C4FD35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u w:val="none"/>
                      <w:vertAlign w:val="baseline"/>
                      <w:lang w:val="en-US" w:eastAsia="zh-CN"/>
                    </w:rPr>
                  </w:pPr>
                  <w:r>
                    <w:rPr>
                      <w:rFonts w:hint="default" w:ascii="Times New Roman" w:hAnsi="Times New Roman" w:eastAsia="宋体" w:cs="Times New Roman"/>
                      <w:b w:val="0"/>
                      <w:bCs/>
                      <w:color w:val="auto"/>
                      <w:sz w:val="21"/>
                      <w:szCs w:val="21"/>
                      <w:u w:val="none"/>
                      <w:vertAlign w:val="baseline"/>
                      <w:lang w:val="en-US" w:eastAsia="zh-CN"/>
                    </w:rPr>
                    <w:t>标立方米/吨-原料</w:t>
                  </w:r>
                </w:p>
              </w:tc>
              <w:tc>
                <w:tcPr>
                  <w:tcW w:w="888" w:type="pct"/>
                  <w:vAlign w:val="center"/>
                </w:tcPr>
                <w:p w14:paraId="2DAFA3B2">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u w:val="none"/>
                      <w:vertAlign w:val="baseline"/>
                      <w:lang w:val="en-US" w:eastAsia="zh-CN"/>
                    </w:rPr>
                  </w:pPr>
                  <w:r>
                    <w:rPr>
                      <w:rFonts w:hint="default" w:ascii="Times New Roman" w:hAnsi="Times New Roman" w:eastAsia="宋体" w:cs="Times New Roman"/>
                      <w:b w:val="0"/>
                      <w:bCs/>
                      <w:color w:val="auto"/>
                      <w:sz w:val="21"/>
                      <w:szCs w:val="21"/>
                      <w:u w:val="none"/>
                      <w:vertAlign w:val="baseline"/>
                      <w:lang w:val="en-US" w:eastAsia="zh-CN"/>
                    </w:rPr>
                    <w:t>6240</w:t>
                  </w:r>
                </w:p>
              </w:tc>
            </w:tr>
            <w:tr w14:paraId="1AD8F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8" w:type="pct"/>
                  <w:vMerge w:val="continue"/>
                  <w:vAlign w:val="center"/>
                </w:tcPr>
                <w:p w14:paraId="239E338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u w:val="none"/>
                      <w:vertAlign w:val="baseline"/>
                      <w:lang w:val="en-US" w:eastAsia="zh-CN"/>
                    </w:rPr>
                  </w:pPr>
                </w:p>
              </w:tc>
              <w:tc>
                <w:tcPr>
                  <w:tcW w:w="823" w:type="pct"/>
                  <w:vMerge w:val="continue"/>
                  <w:vAlign w:val="center"/>
                </w:tcPr>
                <w:p w14:paraId="74BC68DA">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u w:val="none"/>
                      <w:vertAlign w:val="baseline"/>
                      <w:lang w:val="en-US" w:eastAsia="zh-CN"/>
                    </w:rPr>
                  </w:pPr>
                </w:p>
              </w:tc>
              <w:tc>
                <w:tcPr>
                  <w:tcW w:w="961" w:type="pct"/>
                  <w:vAlign w:val="center"/>
                </w:tcPr>
                <w:p w14:paraId="63122A2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u w:val="none"/>
                      <w:vertAlign w:val="baseline"/>
                      <w:lang w:val="en-US" w:eastAsia="zh-CN"/>
                    </w:rPr>
                  </w:pPr>
                  <w:r>
                    <w:rPr>
                      <w:rFonts w:hint="default" w:ascii="Times New Roman" w:hAnsi="Times New Roman" w:eastAsia="宋体" w:cs="Times New Roman"/>
                      <w:b w:val="0"/>
                      <w:bCs/>
                      <w:color w:val="auto"/>
                      <w:sz w:val="21"/>
                      <w:szCs w:val="21"/>
                      <w:u w:val="none"/>
                      <w:vertAlign w:val="baseline"/>
                      <w:lang w:val="en-US" w:eastAsia="zh-CN"/>
                    </w:rPr>
                    <w:t>颗粒物</w:t>
                  </w:r>
                </w:p>
              </w:tc>
              <w:tc>
                <w:tcPr>
                  <w:tcW w:w="1369" w:type="pct"/>
                  <w:vAlign w:val="center"/>
                </w:tcPr>
                <w:p w14:paraId="0D4ABD8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u w:val="none"/>
                      <w:vertAlign w:val="baseline"/>
                      <w:lang w:val="en-US" w:eastAsia="zh-CN"/>
                    </w:rPr>
                  </w:pPr>
                  <w:r>
                    <w:rPr>
                      <w:rFonts w:hint="default" w:ascii="Times New Roman" w:hAnsi="Times New Roman" w:eastAsia="宋体" w:cs="Times New Roman"/>
                      <w:b w:val="0"/>
                      <w:bCs/>
                      <w:color w:val="auto"/>
                      <w:sz w:val="21"/>
                      <w:szCs w:val="21"/>
                      <w:u w:val="none"/>
                      <w:vertAlign w:val="baseline"/>
                      <w:lang w:val="en-US" w:eastAsia="zh-CN"/>
                    </w:rPr>
                    <w:t>千克/吨-原料</w:t>
                  </w:r>
                </w:p>
              </w:tc>
              <w:tc>
                <w:tcPr>
                  <w:tcW w:w="888" w:type="pct"/>
                  <w:vAlign w:val="center"/>
                </w:tcPr>
                <w:p w14:paraId="1A7E3D81">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u w:val="none"/>
                      <w:vertAlign w:val="baseline"/>
                      <w:lang w:val="en-US" w:eastAsia="zh-CN"/>
                    </w:rPr>
                  </w:pPr>
                  <w:r>
                    <w:rPr>
                      <w:rFonts w:hint="default" w:ascii="Times New Roman" w:hAnsi="Times New Roman" w:eastAsia="宋体" w:cs="Times New Roman"/>
                      <w:b w:val="0"/>
                      <w:bCs/>
                      <w:color w:val="auto"/>
                      <w:sz w:val="21"/>
                      <w:szCs w:val="21"/>
                      <w:u w:val="none"/>
                      <w:vertAlign w:val="baseline"/>
                      <w:lang w:val="en-US" w:eastAsia="zh-CN"/>
                    </w:rPr>
                    <w:t>0.5</w:t>
                  </w:r>
                </w:p>
              </w:tc>
            </w:tr>
            <w:tr w14:paraId="5C764B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8" w:type="pct"/>
                  <w:vMerge w:val="continue"/>
                  <w:vAlign w:val="center"/>
                </w:tcPr>
                <w:p w14:paraId="31759B1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u w:val="none"/>
                      <w:vertAlign w:val="baseline"/>
                      <w:lang w:val="en-US" w:eastAsia="zh-CN"/>
                    </w:rPr>
                  </w:pPr>
                </w:p>
              </w:tc>
              <w:tc>
                <w:tcPr>
                  <w:tcW w:w="823" w:type="pct"/>
                  <w:vMerge w:val="continue"/>
                  <w:vAlign w:val="center"/>
                </w:tcPr>
                <w:p w14:paraId="0E4DEE5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u w:val="none"/>
                      <w:vertAlign w:val="baseline"/>
                      <w:lang w:val="en-US" w:eastAsia="zh-CN"/>
                    </w:rPr>
                  </w:pPr>
                </w:p>
              </w:tc>
              <w:tc>
                <w:tcPr>
                  <w:tcW w:w="961" w:type="pct"/>
                  <w:vAlign w:val="center"/>
                </w:tcPr>
                <w:p w14:paraId="12768F8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u w:val="none"/>
                      <w:vertAlign w:val="baseline"/>
                      <w:lang w:val="en-US" w:eastAsia="zh-CN"/>
                    </w:rPr>
                  </w:pPr>
                  <w:r>
                    <w:rPr>
                      <w:rFonts w:hint="default" w:ascii="Times New Roman" w:hAnsi="Times New Roman" w:eastAsia="宋体" w:cs="Times New Roman"/>
                      <w:b w:val="0"/>
                      <w:bCs/>
                      <w:color w:val="auto"/>
                      <w:sz w:val="21"/>
                      <w:szCs w:val="21"/>
                      <w:u w:val="none"/>
                      <w:vertAlign w:val="baseline"/>
                      <w:lang w:val="en-US" w:eastAsia="zh-CN"/>
                    </w:rPr>
                    <w:t>二氧化硫</w:t>
                  </w:r>
                </w:p>
              </w:tc>
              <w:tc>
                <w:tcPr>
                  <w:tcW w:w="1369" w:type="pct"/>
                  <w:vAlign w:val="center"/>
                </w:tcPr>
                <w:p w14:paraId="7F9E4A8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u w:val="none"/>
                      <w:vertAlign w:val="baseline"/>
                      <w:lang w:val="en-US" w:eastAsia="zh-CN"/>
                    </w:rPr>
                  </w:pPr>
                  <w:r>
                    <w:rPr>
                      <w:rFonts w:hint="default" w:ascii="Times New Roman" w:hAnsi="Times New Roman" w:eastAsia="宋体" w:cs="Times New Roman"/>
                      <w:b w:val="0"/>
                      <w:bCs/>
                      <w:color w:val="auto"/>
                      <w:sz w:val="21"/>
                      <w:szCs w:val="21"/>
                      <w:u w:val="none"/>
                      <w:vertAlign w:val="baseline"/>
                      <w:lang w:val="en-US" w:eastAsia="zh-CN"/>
                    </w:rPr>
                    <w:t>千克/吨-原料</w:t>
                  </w:r>
                </w:p>
              </w:tc>
              <w:tc>
                <w:tcPr>
                  <w:tcW w:w="888" w:type="pct"/>
                  <w:vAlign w:val="center"/>
                </w:tcPr>
                <w:p w14:paraId="6E3A2B2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u w:val="none"/>
                      <w:vertAlign w:val="baseline"/>
                      <w:lang w:val="en-US" w:eastAsia="zh-CN"/>
                    </w:rPr>
                  </w:pPr>
                  <w:r>
                    <w:rPr>
                      <w:rFonts w:hint="default" w:ascii="Times New Roman" w:hAnsi="Times New Roman" w:eastAsia="宋体" w:cs="Times New Roman"/>
                      <w:b w:val="0"/>
                      <w:bCs/>
                      <w:color w:val="auto"/>
                      <w:sz w:val="21"/>
                      <w:szCs w:val="21"/>
                      <w:u w:val="none"/>
                      <w:vertAlign w:val="baseline"/>
                      <w:lang w:val="en-US" w:eastAsia="zh-CN"/>
                    </w:rPr>
                    <w:t>17S</w:t>
                  </w:r>
                </w:p>
              </w:tc>
            </w:tr>
            <w:tr w14:paraId="5D50D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8" w:type="pct"/>
                  <w:vMerge w:val="continue"/>
                  <w:vAlign w:val="center"/>
                </w:tcPr>
                <w:p w14:paraId="58D115E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u w:val="none"/>
                      <w:vertAlign w:val="baseline"/>
                      <w:lang w:val="en-US" w:eastAsia="zh-CN"/>
                    </w:rPr>
                  </w:pPr>
                </w:p>
              </w:tc>
              <w:tc>
                <w:tcPr>
                  <w:tcW w:w="823" w:type="pct"/>
                  <w:vMerge w:val="continue"/>
                  <w:vAlign w:val="center"/>
                </w:tcPr>
                <w:p w14:paraId="6F06527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u w:val="none"/>
                      <w:vertAlign w:val="baseline"/>
                      <w:lang w:val="en-US" w:eastAsia="zh-CN"/>
                    </w:rPr>
                  </w:pPr>
                </w:p>
              </w:tc>
              <w:tc>
                <w:tcPr>
                  <w:tcW w:w="961" w:type="pct"/>
                  <w:vAlign w:val="center"/>
                </w:tcPr>
                <w:p w14:paraId="394095C9">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u w:val="none"/>
                      <w:vertAlign w:val="baseline"/>
                      <w:lang w:val="en-US" w:eastAsia="zh-CN"/>
                    </w:rPr>
                  </w:pPr>
                  <w:r>
                    <w:rPr>
                      <w:rFonts w:hint="default" w:ascii="Times New Roman" w:hAnsi="Times New Roman" w:eastAsia="宋体" w:cs="Times New Roman"/>
                      <w:b w:val="0"/>
                      <w:bCs/>
                      <w:color w:val="auto"/>
                      <w:sz w:val="21"/>
                      <w:szCs w:val="21"/>
                      <w:u w:val="none"/>
                      <w:vertAlign w:val="baseline"/>
                      <w:lang w:val="en-US" w:eastAsia="zh-CN"/>
                    </w:rPr>
                    <w:t>氮氧化物</w:t>
                  </w:r>
                </w:p>
              </w:tc>
              <w:tc>
                <w:tcPr>
                  <w:tcW w:w="1369" w:type="pct"/>
                  <w:vAlign w:val="center"/>
                </w:tcPr>
                <w:p w14:paraId="3C538E97">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u w:val="none"/>
                      <w:vertAlign w:val="baseline"/>
                      <w:lang w:val="en-US" w:eastAsia="zh-CN"/>
                    </w:rPr>
                  </w:pPr>
                  <w:r>
                    <w:rPr>
                      <w:rFonts w:hint="default" w:ascii="Times New Roman" w:hAnsi="Times New Roman" w:eastAsia="宋体" w:cs="Times New Roman"/>
                      <w:b w:val="0"/>
                      <w:bCs/>
                      <w:color w:val="auto"/>
                      <w:sz w:val="21"/>
                      <w:szCs w:val="21"/>
                      <w:u w:val="none"/>
                      <w:vertAlign w:val="baseline"/>
                      <w:lang w:val="en-US" w:eastAsia="zh-CN"/>
                    </w:rPr>
                    <w:t>千克/吨-原料</w:t>
                  </w:r>
                </w:p>
              </w:tc>
              <w:tc>
                <w:tcPr>
                  <w:tcW w:w="888" w:type="pct"/>
                  <w:vAlign w:val="center"/>
                </w:tcPr>
                <w:p w14:paraId="1820E2C0">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color w:val="auto"/>
                      <w:sz w:val="21"/>
                      <w:szCs w:val="21"/>
                      <w:u w:val="none"/>
                      <w:vertAlign w:val="baseline"/>
                      <w:lang w:val="en-US" w:eastAsia="zh-CN"/>
                    </w:rPr>
                  </w:pPr>
                  <w:r>
                    <w:rPr>
                      <w:rFonts w:hint="default" w:ascii="Times New Roman" w:hAnsi="Times New Roman" w:eastAsia="宋体" w:cs="Times New Roman"/>
                      <w:b w:val="0"/>
                      <w:bCs/>
                      <w:color w:val="auto"/>
                      <w:sz w:val="21"/>
                      <w:szCs w:val="21"/>
                      <w:u w:val="none"/>
                      <w:vertAlign w:val="baseline"/>
                      <w:lang w:val="en-US" w:eastAsia="zh-CN"/>
                    </w:rPr>
                    <w:t>1.02</w:t>
                  </w:r>
                </w:p>
              </w:tc>
            </w:tr>
            <w:tr w14:paraId="41675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vAlign w:val="center"/>
                </w:tcPr>
                <w:p w14:paraId="6542082E">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left"/>
                    <w:textAlignment w:val="auto"/>
                    <w:rPr>
                      <w:rFonts w:hint="default" w:ascii="Times New Roman" w:hAnsi="Times New Roman" w:eastAsia="宋体" w:cs="Times New Roman"/>
                      <w:b w:val="0"/>
                      <w:bCs/>
                      <w:color w:val="auto"/>
                      <w:sz w:val="21"/>
                      <w:szCs w:val="21"/>
                      <w:u w:val="none"/>
                      <w:vertAlign w:val="baseline"/>
                      <w:lang w:val="en-US" w:eastAsia="zh-CN"/>
                    </w:rPr>
                  </w:pPr>
                  <w:r>
                    <w:rPr>
                      <w:rFonts w:hint="default" w:ascii="Times New Roman" w:hAnsi="Times New Roman" w:eastAsia="宋体" w:cs="Times New Roman"/>
                      <w:b w:val="0"/>
                      <w:bCs/>
                      <w:color w:val="auto"/>
                      <w:sz w:val="21"/>
                      <w:szCs w:val="21"/>
                      <w:u w:val="none"/>
                      <w:vertAlign w:val="baseline"/>
                      <w:lang w:val="en-US" w:eastAsia="zh-CN"/>
                    </w:rPr>
                    <w:t>注：产排污系数表中二氧化硫的产排污系数是以含硫量（S%）的形式表示的，其中含硫量（S%）是指生物质收到基硫分含量，以质量百分数的形式表示。</w:t>
                  </w:r>
                </w:p>
              </w:tc>
            </w:tr>
          </w:tbl>
          <w:p w14:paraId="5C08C939">
            <w:pPr>
              <w:spacing w:line="360" w:lineRule="auto"/>
              <w:ind w:firstLine="480" w:firstLineChars="200"/>
              <w:rPr>
                <w:rStyle w:val="70"/>
                <w:rFonts w:hint="default" w:ascii="Times New Roman" w:hAnsi="Times New Roman" w:eastAsia="宋体" w:cs="Times New Roman"/>
                <w:b w:val="0"/>
                <w:bCs w:val="0"/>
                <w:color w:val="auto"/>
                <w:sz w:val="24"/>
                <w:szCs w:val="24"/>
                <w:highlight w:val="none"/>
                <w:u w:val="none" w:color="auto"/>
                <w:lang w:val="en-US" w:eastAsia="zh-CN"/>
              </w:rPr>
            </w:pPr>
            <w:r>
              <w:rPr>
                <w:rStyle w:val="70"/>
                <w:rFonts w:hint="eastAsia" w:ascii="Times New Roman" w:hAnsi="Times New Roman" w:eastAsia="宋体" w:cs="Times New Roman"/>
                <w:b w:val="0"/>
                <w:bCs w:val="0"/>
                <w:color w:val="auto"/>
                <w:sz w:val="24"/>
                <w:szCs w:val="24"/>
                <w:highlight w:val="none"/>
                <w:u w:val="none" w:color="auto"/>
                <w:lang w:val="en-US" w:eastAsia="zh-CN"/>
              </w:rPr>
              <w:t>2.2t/h的生物质蒸汽发生器年使用时间280天，每天使用时间按最大9小时计，2.5t/h的生物质蒸汽发生器年使用时间350天，每天使用时间按最大9小时计，生物质燃料年消耗量分别为378t和725t。</w:t>
            </w:r>
            <w:r>
              <w:rPr>
                <w:rStyle w:val="70"/>
                <w:rFonts w:hint="default" w:ascii="Times New Roman" w:hAnsi="Times New Roman" w:eastAsia="宋体" w:cs="Times New Roman"/>
                <w:b w:val="0"/>
                <w:bCs w:val="0"/>
                <w:color w:val="auto"/>
                <w:sz w:val="24"/>
                <w:szCs w:val="24"/>
                <w:highlight w:val="none"/>
                <w:u w:val="none" w:color="auto"/>
                <w:lang w:val="en-US" w:eastAsia="zh-CN"/>
              </w:rPr>
              <w:t>本项目生物质燃料使用木质颗粒，</w:t>
            </w:r>
            <w:r>
              <w:rPr>
                <w:rStyle w:val="70"/>
                <w:rFonts w:hint="eastAsia" w:ascii="宋体" w:hAnsi="宋体" w:eastAsia="宋体" w:cs="宋体"/>
                <w:b w:val="0"/>
                <w:bCs w:val="0"/>
                <w:color w:val="auto"/>
                <w:sz w:val="24"/>
                <w:szCs w:val="24"/>
                <w:highlight w:val="none"/>
                <w:u w:val="none" w:color="auto"/>
                <w:lang w:val="en-US" w:eastAsia="zh-CN"/>
              </w:rPr>
              <w:t>含硫量非常低，</w:t>
            </w:r>
            <w:r>
              <w:rPr>
                <w:rStyle w:val="70"/>
                <w:rFonts w:hint="default" w:ascii="Times New Roman" w:hAnsi="Times New Roman" w:eastAsia="宋体" w:cs="Times New Roman"/>
                <w:b w:val="0"/>
                <w:bCs w:val="0"/>
                <w:color w:val="auto"/>
                <w:sz w:val="24"/>
                <w:szCs w:val="24"/>
                <w:highlight w:val="none"/>
                <w:u w:val="none" w:color="auto"/>
                <w:lang w:val="en-US" w:eastAsia="zh-CN"/>
              </w:rPr>
              <w:t>生物质燃料需符合《生物质成型燃料质量分级》（NB/T 34024-2015）</w:t>
            </w:r>
            <w:r>
              <w:rPr>
                <w:rStyle w:val="70"/>
                <w:rFonts w:hint="eastAsia" w:ascii="Times New Roman" w:hAnsi="Times New Roman" w:eastAsia="宋体" w:cs="Times New Roman"/>
                <w:b w:val="0"/>
                <w:bCs w:val="0"/>
                <w:color w:val="auto"/>
                <w:sz w:val="24"/>
                <w:szCs w:val="24"/>
                <w:highlight w:val="none"/>
                <w:u w:val="none" w:color="auto"/>
                <w:lang w:val="en-US" w:eastAsia="zh-CN"/>
              </w:rPr>
              <w:t>，含硫量按《生物质成型燃料质量分级》中表7林业生物质颗粒燃料分级指标中</w:t>
            </w:r>
            <w:r>
              <w:rPr>
                <w:rStyle w:val="70"/>
                <w:rFonts w:hint="eastAsia" w:ascii="Times New Roman" w:hAnsi="Times New Roman" w:cs="Times New Roman"/>
                <w:b w:val="0"/>
                <w:bCs w:val="0"/>
                <w:color w:val="auto"/>
                <w:sz w:val="24"/>
                <w:szCs w:val="24"/>
                <w:highlight w:val="none"/>
                <w:u w:val="none" w:color="auto"/>
                <w:lang w:val="en-US" w:eastAsia="zh-CN"/>
              </w:rPr>
              <w:t>1</w:t>
            </w:r>
            <w:r>
              <w:rPr>
                <w:rStyle w:val="70"/>
                <w:rFonts w:hint="eastAsia" w:ascii="Times New Roman" w:hAnsi="Times New Roman" w:eastAsia="宋体" w:cs="Times New Roman"/>
                <w:b w:val="0"/>
                <w:bCs w:val="0"/>
                <w:color w:val="auto"/>
                <w:sz w:val="24"/>
                <w:szCs w:val="24"/>
                <w:highlight w:val="none"/>
                <w:u w:val="none" w:color="auto"/>
                <w:lang w:val="en-US" w:eastAsia="zh-CN"/>
              </w:rPr>
              <w:t>级计，为</w:t>
            </w:r>
            <w:r>
              <w:rPr>
                <w:rStyle w:val="70"/>
                <w:rFonts w:hint="default" w:ascii="Times New Roman" w:hAnsi="Times New Roman" w:cs="Times New Roman"/>
                <w:b w:val="0"/>
                <w:bCs w:val="0"/>
                <w:color w:val="auto"/>
                <w:sz w:val="24"/>
                <w:szCs w:val="24"/>
                <w:highlight w:val="none"/>
                <w:u w:val="none" w:color="auto"/>
                <w:lang w:val="en-US" w:eastAsia="zh-CN"/>
              </w:rPr>
              <w:t>0.0</w:t>
            </w:r>
            <w:r>
              <w:rPr>
                <w:rStyle w:val="70"/>
                <w:rFonts w:hint="eastAsia" w:ascii="Times New Roman" w:hAnsi="Times New Roman" w:cs="Times New Roman"/>
                <w:b w:val="0"/>
                <w:bCs w:val="0"/>
                <w:color w:val="auto"/>
                <w:sz w:val="24"/>
                <w:szCs w:val="24"/>
                <w:highlight w:val="none"/>
                <w:u w:val="none" w:color="auto"/>
                <w:lang w:val="en-US" w:eastAsia="zh-CN"/>
              </w:rPr>
              <w:t>5</w:t>
            </w:r>
            <w:r>
              <w:rPr>
                <w:rStyle w:val="70"/>
                <w:rFonts w:hint="eastAsia" w:ascii="Times New Roman" w:hAnsi="Times New Roman" w:eastAsia="宋体" w:cs="Times New Roman"/>
                <w:b w:val="0"/>
                <w:bCs w:val="0"/>
                <w:color w:val="auto"/>
                <w:sz w:val="24"/>
                <w:szCs w:val="24"/>
                <w:highlight w:val="none"/>
                <w:u w:val="none" w:color="auto"/>
                <w:lang w:val="en-US" w:eastAsia="zh-CN"/>
              </w:rPr>
              <w:t>%。本项目蒸汽发生器经布袋除尘器处理后经</w:t>
            </w:r>
            <w:r>
              <w:rPr>
                <w:rStyle w:val="70"/>
                <w:rFonts w:hint="default" w:ascii="Times New Roman" w:hAnsi="Times New Roman" w:cs="Times New Roman"/>
                <w:b w:val="0"/>
                <w:bCs w:val="0"/>
                <w:color w:val="auto"/>
                <w:sz w:val="24"/>
                <w:szCs w:val="24"/>
                <w:highlight w:val="none"/>
                <w:u w:val="none" w:color="auto"/>
                <w:lang w:val="en-US" w:eastAsia="zh-CN"/>
              </w:rPr>
              <w:t>30</w:t>
            </w:r>
            <w:r>
              <w:rPr>
                <w:rStyle w:val="70"/>
                <w:rFonts w:hint="eastAsia" w:ascii="Times New Roman" w:hAnsi="Times New Roman" w:eastAsia="宋体" w:cs="Times New Roman"/>
                <w:b w:val="0"/>
                <w:bCs w:val="0"/>
                <w:color w:val="auto"/>
                <w:sz w:val="24"/>
                <w:szCs w:val="24"/>
                <w:highlight w:val="none"/>
                <w:u w:val="none" w:color="auto"/>
                <w:lang w:val="en-US" w:eastAsia="zh-CN"/>
              </w:rPr>
              <w:t>m排气筒排放，根据《排放源统计调查产排污核算方法和系数手册》，袋式除尘去除效率为98.4%。</w:t>
            </w:r>
          </w:p>
          <w:p w14:paraId="4DF1B119">
            <w:pPr>
              <w:keepNext w:val="0"/>
              <w:keepLines w:val="0"/>
              <w:widowControl w:val="0"/>
              <w:suppressLineNumbers w:val="0"/>
              <w:bidi w:val="0"/>
              <w:adjustRightInd w:val="0"/>
              <w:spacing w:before="0" w:beforeLines="0" w:beforeAutospacing="0" w:after="0" w:afterLines="0" w:afterAutospacing="0" w:line="240" w:lineRule="auto"/>
              <w:ind w:left="0" w:right="0" w:firstLine="0" w:firstLineChars="0"/>
              <w:jc w:val="center"/>
              <w:textAlignment w:val="baseline"/>
              <w:rPr>
                <w:rFonts w:hint="eastAsia" w:ascii="Times New Roman" w:hAnsi="Times New Roman" w:eastAsia="宋体" w:cs="Times New Roman"/>
                <w:b/>
                <w:bCs/>
                <w:color w:val="auto"/>
                <w:kern w:val="0"/>
                <w:sz w:val="21"/>
                <w:szCs w:val="20"/>
                <w:u w:val="none" w:color="auto"/>
                <w:lang w:val="en-US" w:eastAsia="zh-CN" w:bidi="ar-SA"/>
              </w:rPr>
            </w:pPr>
            <w:r>
              <w:rPr>
                <w:rFonts w:hint="eastAsia" w:ascii="Times New Roman" w:hAnsi="Times New Roman" w:eastAsia="宋体" w:cs="Times New Roman"/>
                <w:b/>
                <w:bCs/>
                <w:color w:val="auto"/>
                <w:kern w:val="0"/>
                <w:sz w:val="21"/>
                <w:szCs w:val="20"/>
                <w:u w:val="none" w:color="auto"/>
                <w:lang w:val="en-US" w:eastAsia="zh-CN" w:bidi="ar-SA"/>
              </w:rPr>
              <w:t>表4-2 燃烧废气产生情况</w:t>
            </w:r>
          </w:p>
          <w:tbl>
            <w:tblPr>
              <w:tblStyle w:val="42"/>
              <w:tblW w:w="4996"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73"/>
              <w:gridCol w:w="755"/>
              <w:gridCol w:w="755"/>
              <w:gridCol w:w="755"/>
              <w:gridCol w:w="755"/>
              <w:gridCol w:w="755"/>
              <w:gridCol w:w="755"/>
              <w:gridCol w:w="755"/>
              <w:gridCol w:w="755"/>
              <w:gridCol w:w="1157"/>
            </w:tblGrid>
            <w:tr w14:paraId="357D73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4" w:type="pct"/>
                  <w:tcBorders>
                    <w:tl2br w:val="nil"/>
                    <w:tr2bl w:val="nil"/>
                  </w:tcBorders>
                  <w:noWrap w:val="0"/>
                  <w:vAlign w:val="center"/>
                </w:tcPr>
                <w:p w14:paraId="4F23C61D">
                  <w:pPr>
                    <w:keepNext w:val="0"/>
                    <w:keepLines w:val="0"/>
                    <w:widowControl w:val="0"/>
                    <w:suppressLineNumbers w:val="0"/>
                    <w:bidi w:val="0"/>
                    <w:spacing w:before="0" w:beforeLines="0" w:beforeAutospacing="0" w:after="0" w:afterLines="0" w:afterAutospacing="0" w:line="240" w:lineRule="auto"/>
                    <w:ind w:left="0" w:right="0" w:firstLine="0" w:firstLineChars="0"/>
                    <w:jc w:val="center"/>
                    <w:rPr>
                      <w:rFonts w:hint="eastAsia"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污染源</w:t>
                  </w:r>
                </w:p>
              </w:tc>
              <w:tc>
                <w:tcPr>
                  <w:tcW w:w="473" w:type="pct"/>
                  <w:tcBorders>
                    <w:tl2br w:val="nil"/>
                    <w:tr2bl w:val="nil"/>
                  </w:tcBorders>
                  <w:noWrap w:val="0"/>
                  <w:vAlign w:val="center"/>
                </w:tcPr>
                <w:p w14:paraId="372A24CD">
                  <w:pPr>
                    <w:keepNext w:val="0"/>
                    <w:keepLines w:val="0"/>
                    <w:widowControl w:val="0"/>
                    <w:suppressLineNumbers w:val="0"/>
                    <w:bidi w:val="0"/>
                    <w:spacing w:before="0" w:beforeLines="0" w:beforeAutospacing="0" w:after="0" w:afterLines="0" w:afterAutospacing="0" w:line="240" w:lineRule="auto"/>
                    <w:ind w:left="0" w:right="0" w:firstLine="0" w:firstLineChars="0"/>
                    <w:jc w:val="center"/>
                    <w:rPr>
                      <w:rFonts w:hint="eastAsia"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项目</w:t>
                  </w:r>
                </w:p>
              </w:tc>
              <w:tc>
                <w:tcPr>
                  <w:tcW w:w="473" w:type="pct"/>
                  <w:tcBorders>
                    <w:tl2br w:val="nil"/>
                    <w:tr2bl w:val="nil"/>
                  </w:tcBorders>
                  <w:noWrap w:val="0"/>
                  <w:vAlign w:val="center"/>
                </w:tcPr>
                <w:p w14:paraId="0959DD48">
                  <w:pPr>
                    <w:keepNext w:val="0"/>
                    <w:keepLines w:val="0"/>
                    <w:widowControl w:val="0"/>
                    <w:suppressLineNumbers w:val="0"/>
                    <w:bidi w:val="0"/>
                    <w:spacing w:before="0" w:beforeLines="0" w:beforeAutospacing="0" w:after="0" w:afterLines="0" w:afterAutospacing="0" w:line="240" w:lineRule="auto"/>
                    <w:ind w:left="0" w:right="0" w:firstLine="0" w:firstLineChars="0"/>
                    <w:jc w:val="center"/>
                    <w:rPr>
                      <w:rFonts w:hint="eastAsia"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烟气量Nm</w:t>
                  </w:r>
                  <w:r>
                    <w:rPr>
                      <w:rFonts w:hint="eastAsia" w:ascii="Times New Roman" w:hAnsi="Times New Roman" w:eastAsia="宋体" w:cs="Times New Roman"/>
                      <w:color w:val="auto"/>
                      <w:kern w:val="2"/>
                      <w:sz w:val="21"/>
                      <w:szCs w:val="24"/>
                      <w:u w:val="none" w:color="auto"/>
                      <w:vertAlign w:val="superscript"/>
                      <w:lang w:val="en-US" w:eastAsia="zh-CN" w:bidi="ar-SA"/>
                    </w:rPr>
                    <w:t>3</w:t>
                  </w:r>
                  <w:r>
                    <w:rPr>
                      <w:rFonts w:hint="eastAsia" w:ascii="Times New Roman" w:hAnsi="Times New Roman" w:eastAsia="宋体" w:cs="Times New Roman"/>
                      <w:color w:val="auto"/>
                      <w:kern w:val="2"/>
                      <w:sz w:val="21"/>
                      <w:szCs w:val="24"/>
                      <w:u w:val="none" w:color="auto"/>
                      <w:lang w:val="en-US" w:eastAsia="zh-CN" w:bidi="ar-SA"/>
                    </w:rPr>
                    <w:t>/a</w:t>
                  </w:r>
                </w:p>
              </w:tc>
              <w:tc>
                <w:tcPr>
                  <w:tcW w:w="473" w:type="pct"/>
                  <w:tcBorders>
                    <w:tl2br w:val="nil"/>
                    <w:tr2bl w:val="nil"/>
                  </w:tcBorders>
                  <w:noWrap w:val="0"/>
                  <w:vAlign w:val="center"/>
                </w:tcPr>
                <w:p w14:paraId="3D612E6C">
                  <w:pPr>
                    <w:keepNext w:val="0"/>
                    <w:keepLines w:val="0"/>
                    <w:widowControl w:val="0"/>
                    <w:suppressLineNumbers w:val="0"/>
                    <w:bidi w:val="0"/>
                    <w:spacing w:before="0" w:beforeLines="0" w:beforeAutospacing="0" w:after="0" w:afterLines="0" w:afterAutospacing="0" w:line="240" w:lineRule="auto"/>
                    <w:ind w:left="0" w:right="0" w:firstLine="0" w:firstLineChars="0"/>
                    <w:jc w:val="center"/>
                    <w:rPr>
                      <w:rFonts w:hint="eastAsia"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产生量t/a</w:t>
                  </w:r>
                </w:p>
              </w:tc>
              <w:tc>
                <w:tcPr>
                  <w:tcW w:w="473" w:type="pct"/>
                  <w:tcBorders>
                    <w:tl2br w:val="nil"/>
                    <w:tr2bl w:val="nil"/>
                  </w:tcBorders>
                  <w:noWrap w:val="0"/>
                  <w:vAlign w:val="center"/>
                </w:tcPr>
                <w:p w14:paraId="1B99A4DB">
                  <w:pPr>
                    <w:keepNext w:val="0"/>
                    <w:keepLines w:val="0"/>
                    <w:widowControl w:val="0"/>
                    <w:suppressLineNumbers w:val="0"/>
                    <w:bidi w:val="0"/>
                    <w:spacing w:before="0" w:beforeLines="0" w:beforeAutospacing="0" w:after="0" w:afterLines="0" w:afterAutospacing="0" w:line="240" w:lineRule="auto"/>
                    <w:ind w:left="0" w:right="0" w:firstLine="0" w:firstLineChars="0"/>
                    <w:jc w:val="center"/>
                    <w:rPr>
                      <w:rFonts w:hint="eastAsia"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产生浓度mg/m</w:t>
                  </w:r>
                  <w:r>
                    <w:rPr>
                      <w:rFonts w:hint="eastAsia" w:ascii="Times New Roman" w:hAnsi="Times New Roman" w:eastAsia="宋体" w:cs="Times New Roman"/>
                      <w:color w:val="auto"/>
                      <w:kern w:val="2"/>
                      <w:sz w:val="21"/>
                      <w:szCs w:val="24"/>
                      <w:u w:val="none" w:color="auto"/>
                      <w:vertAlign w:val="superscript"/>
                      <w:lang w:val="en-US" w:eastAsia="zh-CN" w:bidi="ar-SA"/>
                    </w:rPr>
                    <w:t>3</w:t>
                  </w:r>
                </w:p>
              </w:tc>
              <w:tc>
                <w:tcPr>
                  <w:tcW w:w="473" w:type="pct"/>
                  <w:tcBorders>
                    <w:tl2br w:val="nil"/>
                    <w:tr2bl w:val="nil"/>
                  </w:tcBorders>
                  <w:noWrap w:val="0"/>
                  <w:vAlign w:val="center"/>
                </w:tcPr>
                <w:p w14:paraId="73807C8B">
                  <w:pPr>
                    <w:keepNext w:val="0"/>
                    <w:keepLines w:val="0"/>
                    <w:widowControl w:val="0"/>
                    <w:suppressLineNumbers w:val="0"/>
                    <w:bidi w:val="0"/>
                    <w:spacing w:before="0" w:beforeLines="0" w:beforeAutospacing="0" w:after="0" w:afterLines="0" w:afterAutospacing="0" w:line="240" w:lineRule="auto"/>
                    <w:ind w:left="0" w:right="0" w:firstLine="0" w:firstLineChars="0"/>
                    <w:jc w:val="center"/>
                    <w:rPr>
                      <w:rFonts w:hint="eastAsia"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产生速率kg/h</w:t>
                  </w:r>
                </w:p>
              </w:tc>
              <w:tc>
                <w:tcPr>
                  <w:tcW w:w="473" w:type="pct"/>
                  <w:tcBorders>
                    <w:tl2br w:val="nil"/>
                    <w:tr2bl w:val="nil"/>
                  </w:tcBorders>
                  <w:noWrap w:val="0"/>
                  <w:vAlign w:val="center"/>
                </w:tcPr>
                <w:p w14:paraId="44C7C857">
                  <w:pPr>
                    <w:keepNext w:val="0"/>
                    <w:keepLines w:val="0"/>
                    <w:widowControl w:val="0"/>
                    <w:suppressLineNumbers w:val="0"/>
                    <w:bidi w:val="0"/>
                    <w:spacing w:before="0" w:beforeLines="0" w:beforeAutospacing="0" w:after="0" w:afterLines="0" w:afterAutospacing="0" w:line="240" w:lineRule="auto"/>
                    <w:ind w:left="0" w:right="0" w:firstLine="0" w:firstLineChars="0"/>
                    <w:jc w:val="center"/>
                    <w:rPr>
                      <w:rFonts w:hint="eastAsia"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排放量t/a</w:t>
                  </w:r>
                </w:p>
              </w:tc>
              <w:tc>
                <w:tcPr>
                  <w:tcW w:w="473" w:type="pct"/>
                  <w:tcBorders>
                    <w:tl2br w:val="nil"/>
                    <w:tr2bl w:val="nil"/>
                  </w:tcBorders>
                  <w:noWrap w:val="0"/>
                  <w:vAlign w:val="center"/>
                </w:tcPr>
                <w:p w14:paraId="2C0FE471">
                  <w:pPr>
                    <w:keepNext w:val="0"/>
                    <w:keepLines w:val="0"/>
                    <w:widowControl w:val="0"/>
                    <w:suppressLineNumbers w:val="0"/>
                    <w:bidi w:val="0"/>
                    <w:spacing w:before="0" w:beforeLines="0" w:beforeAutospacing="0" w:after="0" w:afterLines="0" w:afterAutospacing="0" w:line="240" w:lineRule="auto"/>
                    <w:ind w:left="0" w:right="0" w:firstLine="0" w:firstLineChars="0"/>
                    <w:jc w:val="center"/>
                    <w:rPr>
                      <w:rFonts w:hint="eastAsia"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排放浓度mg/m</w:t>
                  </w:r>
                  <w:r>
                    <w:rPr>
                      <w:rFonts w:hint="eastAsia" w:ascii="Times New Roman" w:hAnsi="Times New Roman" w:eastAsia="宋体" w:cs="Times New Roman"/>
                      <w:color w:val="auto"/>
                      <w:kern w:val="2"/>
                      <w:sz w:val="21"/>
                      <w:szCs w:val="24"/>
                      <w:u w:val="none" w:color="auto"/>
                      <w:vertAlign w:val="superscript"/>
                      <w:lang w:val="en-US" w:eastAsia="zh-CN" w:bidi="ar-SA"/>
                    </w:rPr>
                    <w:t>3</w:t>
                  </w:r>
                </w:p>
              </w:tc>
              <w:tc>
                <w:tcPr>
                  <w:tcW w:w="473" w:type="pct"/>
                  <w:tcBorders>
                    <w:tl2br w:val="nil"/>
                    <w:tr2bl w:val="nil"/>
                  </w:tcBorders>
                  <w:noWrap w:val="0"/>
                  <w:vAlign w:val="center"/>
                </w:tcPr>
                <w:p w14:paraId="34FCF7B5">
                  <w:pPr>
                    <w:keepNext w:val="0"/>
                    <w:keepLines w:val="0"/>
                    <w:widowControl w:val="0"/>
                    <w:suppressLineNumbers w:val="0"/>
                    <w:bidi w:val="0"/>
                    <w:spacing w:before="0" w:beforeLines="0" w:beforeAutospacing="0" w:after="0" w:afterLines="0" w:afterAutospacing="0" w:line="240" w:lineRule="auto"/>
                    <w:ind w:left="0" w:right="0" w:firstLine="0" w:firstLineChars="0"/>
                    <w:jc w:val="center"/>
                    <w:rPr>
                      <w:rFonts w:hint="eastAsia"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排放速率kg/h</w:t>
                  </w:r>
                </w:p>
              </w:tc>
              <w:tc>
                <w:tcPr>
                  <w:tcW w:w="725" w:type="pct"/>
                  <w:tcBorders>
                    <w:tl2br w:val="nil"/>
                    <w:tr2bl w:val="nil"/>
                  </w:tcBorders>
                  <w:noWrap w:val="0"/>
                  <w:vAlign w:val="center"/>
                </w:tcPr>
                <w:p w14:paraId="524DB454">
                  <w:pPr>
                    <w:keepNext w:val="0"/>
                    <w:keepLines w:val="0"/>
                    <w:widowControl w:val="0"/>
                    <w:suppressLineNumbers w:val="0"/>
                    <w:bidi w:val="0"/>
                    <w:spacing w:before="0" w:beforeLines="0" w:beforeAutospacing="0" w:after="0" w:afterLines="0" w:afterAutospacing="0" w:line="240" w:lineRule="auto"/>
                    <w:ind w:left="0" w:right="0" w:firstLine="0" w:firstLineChars="0"/>
                    <w:jc w:val="center"/>
                    <w:rPr>
                      <w:rFonts w:hint="eastAsia"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处理措施</w:t>
                  </w:r>
                </w:p>
              </w:tc>
            </w:tr>
            <w:tr w14:paraId="7BB32E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4" w:type="pct"/>
                  <w:vMerge w:val="restart"/>
                  <w:tcBorders>
                    <w:tl2br w:val="nil"/>
                    <w:tr2bl w:val="nil"/>
                  </w:tcBorders>
                  <w:noWrap w:val="0"/>
                  <w:vAlign w:val="center"/>
                </w:tcPr>
                <w:p w14:paraId="7425FCD1">
                  <w:pPr>
                    <w:keepNext w:val="0"/>
                    <w:keepLines w:val="0"/>
                    <w:widowControl w:val="0"/>
                    <w:suppressLineNumbers w:val="0"/>
                    <w:bidi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2.2t/h蒸汽发生器</w:t>
                  </w:r>
                </w:p>
              </w:tc>
              <w:tc>
                <w:tcPr>
                  <w:tcW w:w="473" w:type="pct"/>
                  <w:tcBorders>
                    <w:tl2br w:val="nil"/>
                    <w:tr2bl w:val="nil"/>
                  </w:tcBorders>
                  <w:noWrap w:val="0"/>
                  <w:vAlign w:val="center"/>
                </w:tcPr>
                <w:p w14:paraId="5AAF098C">
                  <w:pPr>
                    <w:keepNext w:val="0"/>
                    <w:keepLines w:val="0"/>
                    <w:widowControl w:val="0"/>
                    <w:suppressLineNumbers w:val="0"/>
                    <w:bidi w:val="0"/>
                    <w:spacing w:before="0" w:beforeLines="0" w:beforeAutospacing="0" w:after="0" w:afterLines="0" w:afterAutospacing="0" w:line="240" w:lineRule="auto"/>
                    <w:ind w:left="0" w:right="0" w:firstLine="0" w:firstLineChars="0"/>
                    <w:jc w:val="center"/>
                    <w:rPr>
                      <w:rFonts w:hint="eastAsia"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SO</w:t>
                  </w:r>
                  <w:r>
                    <w:rPr>
                      <w:rFonts w:hint="eastAsia" w:ascii="Times New Roman" w:hAnsi="Times New Roman" w:eastAsia="宋体" w:cs="Times New Roman"/>
                      <w:color w:val="auto"/>
                      <w:kern w:val="2"/>
                      <w:sz w:val="21"/>
                      <w:szCs w:val="24"/>
                      <w:u w:val="none" w:color="auto"/>
                      <w:vertAlign w:val="subscript"/>
                      <w:lang w:val="en-US" w:eastAsia="zh-CN" w:bidi="ar-SA"/>
                    </w:rPr>
                    <w:t>2</w:t>
                  </w:r>
                </w:p>
              </w:tc>
              <w:tc>
                <w:tcPr>
                  <w:tcW w:w="473" w:type="pct"/>
                  <w:vMerge w:val="restart"/>
                  <w:tcBorders>
                    <w:tl2br w:val="nil"/>
                    <w:tr2bl w:val="nil"/>
                  </w:tcBorders>
                  <w:noWrap w:val="0"/>
                  <w:vAlign w:val="center"/>
                </w:tcPr>
                <w:p w14:paraId="5105C82C">
                  <w:pPr>
                    <w:keepNext w:val="0"/>
                    <w:keepLines w:val="0"/>
                    <w:widowControl w:val="0"/>
                    <w:suppressLineNumbers w:val="0"/>
                    <w:bidi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2358720</w:t>
                  </w:r>
                </w:p>
              </w:tc>
              <w:tc>
                <w:tcPr>
                  <w:tcW w:w="473" w:type="pct"/>
                  <w:tcBorders>
                    <w:tl2br w:val="nil"/>
                    <w:tr2bl w:val="nil"/>
                  </w:tcBorders>
                  <w:noWrap w:val="0"/>
                  <w:vAlign w:val="center"/>
                </w:tcPr>
                <w:p w14:paraId="37C711A0">
                  <w:pPr>
                    <w:keepNext w:val="0"/>
                    <w:keepLines w:val="0"/>
                    <w:widowControl w:val="0"/>
                    <w:suppressLineNumbers w:val="0"/>
                    <w:bidi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0.321</w:t>
                  </w:r>
                </w:p>
              </w:tc>
              <w:tc>
                <w:tcPr>
                  <w:tcW w:w="473" w:type="pct"/>
                  <w:tcBorders>
                    <w:tl2br w:val="nil"/>
                    <w:tr2bl w:val="nil"/>
                  </w:tcBorders>
                  <w:noWrap w:val="0"/>
                  <w:vAlign w:val="center"/>
                </w:tcPr>
                <w:p w14:paraId="6275A0C4">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135.7</w:t>
                  </w:r>
                </w:p>
              </w:tc>
              <w:tc>
                <w:tcPr>
                  <w:tcW w:w="473" w:type="pct"/>
                  <w:tcBorders>
                    <w:tl2br w:val="nil"/>
                    <w:tr2bl w:val="nil"/>
                  </w:tcBorders>
                  <w:noWrap w:val="0"/>
                  <w:vAlign w:val="center"/>
                </w:tcPr>
                <w:p w14:paraId="05433185">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0.127</w:t>
                  </w:r>
                </w:p>
              </w:tc>
              <w:tc>
                <w:tcPr>
                  <w:tcW w:w="473" w:type="pct"/>
                  <w:tcBorders>
                    <w:tl2br w:val="nil"/>
                    <w:tr2bl w:val="nil"/>
                  </w:tcBorders>
                  <w:shd w:val="clear" w:color="auto" w:fill="auto"/>
                  <w:noWrap w:val="0"/>
                  <w:vAlign w:val="center"/>
                </w:tcPr>
                <w:p w14:paraId="69AF6FC9">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0.321</w:t>
                  </w:r>
                </w:p>
              </w:tc>
              <w:tc>
                <w:tcPr>
                  <w:tcW w:w="473" w:type="pct"/>
                  <w:tcBorders>
                    <w:tl2br w:val="nil"/>
                    <w:tr2bl w:val="nil"/>
                  </w:tcBorders>
                  <w:shd w:val="clear" w:color="auto" w:fill="auto"/>
                  <w:noWrap w:val="0"/>
                  <w:vAlign w:val="center"/>
                </w:tcPr>
                <w:p w14:paraId="6E3BE43F">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135.7</w:t>
                  </w:r>
                </w:p>
              </w:tc>
              <w:tc>
                <w:tcPr>
                  <w:tcW w:w="473" w:type="pct"/>
                  <w:tcBorders>
                    <w:tl2br w:val="nil"/>
                    <w:tr2bl w:val="nil"/>
                  </w:tcBorders>
                  <w:shd w:val="clear" w:color="auto" w:fill="auto"/>
                  <w:noWrap w:val="0"/>
                  <w:vAlign w:val="center"/>
                </w:tcPr>
                <w:p w14:paraId="3781D964">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0.127</w:t>
                  </w:r>
                </w:p>
              </w:tc>
              <w:tc>
                <w:tcPr>
                  <w:tcW w:w="725" w:type="pct"/>
                  <w:vMerge w:val="restart"/>
                  <w:tcBorders>
                    <w:tl2br w:val="nil"/>
                    <w:tr2bl w:val="nil"/>
                  </w:tcBorders>
                  <w:noWrap w:val="0"/>
                  <w:vAlign w:val="center"/>
                </w:tcPr>
                <w:p w14:paraId="5E062B36">
                  <w:pPr>
                    <w:keepNext w:val="0"/>
                    <w:keepLines w:val="0"/>
                    <w:widowControl w:val="0"/>
                    <w:suppressLineNumbers w:val="0"/>
                    <w:bidi w:val="0"/>
                    <w:spacing w:before="0" w:beforeLines="0" w:beforeAutospacing="0" w:after="0" w:afterLines="0" w:afterAutospacing="0" w:line="240" w:lineRule="auto"/>
                    <w:ind w:left="0" w:right="0" w:firstLine="0" w:firstLineChars="0"/>
                    <w:jc w:val="center"/>
                    <w:rPr>
                      <w:rFonts w:hint="eastAsia"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布袋除尘器+</w:t>
                  </w:r>
                  <w:r>
                    <w:rPr>
                      <w:rFonts w:hint="eastAsia" w:cs="Times New Roman"/>
                      <w:color w:val="auto"/>
                      <w:kern w:val="2"/>
                      <w:sz w:val="21"/>
                      <w:szCs w:val="24"/>
                      <w:u w:val="none" w:color="auto"/>
                      <w:lang w:val="en-US" w:eastAsia="zh-CN" w:bidi="ar-SA"/>
                    </w:rPr>
                    <w:t>30</w:t>
                  </w:r>
                  <w:r>
                    <w:rPr>
                      <w:rFonts w:hint="eastAsia" w:ascii="Times New Roman" w:hAnsi="Times New Roman" w:eastAsia="宋体" w:cs="Times New Roman"/>
                      <w:color w:val="auto"/>
                      <w:kern w:val="2"/>
                      <w:sz w:val="21"/>
                      <w:szCs w:val="24"/>
                      <w:u w:val="none" w:color="auto"/>
                      <w:lang w:val="en-US" w:eastAsia="zh-CN" w:bidi="ar-SA"/>
                    </w:rPr>
                    <w:t>米高排气筒（DA001）</w:t>
                  </w:r>
                </w:p>
              </w:tc>
            </w:tr>
            <w:tr w14:paraId="7DA296A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4" w:type="pct"/>
                  <w:vMerge w:val="continue"/>
                  <w:tcBorders>
                    <w:tl2br w:val="nil"/>
                    <w:tr2bl w:val="nil"/>
                  </w:tcBorders>
                  <w:noWrap w:val="0"/>
                  <w:vAlign w:val="center"/>
                </w:tcPr>
                <w:p w14:paraId="39B30C6B">
                  <w:pPr>
                    <w:keepNext w:val="0"/>
                    <w:keepLines w:val="0"/>
                    <w:widowControl w:val="0"/>
                    <w:suppressLineNumbers w:val="0"/>
                    <w:bidi w:val="0"/>
                    <w:spacing w:before="0" w:beforeLines="0" w:beforeAutospacing="0" w:after="0" w:afterLines="0" w:afterAutospacing="0" w:line="240" w:lineRule="auto"/>
                    <w:ind w:left="0" w:right="0" w:firstLine="0" w:firstLineChars="0"/>
                    <w:jc w:val="center"/>
                    <w:rPr>
                      <w:rFonts w:hint="eastAsia" w:ascii="Times New Roman" w:hAnsi="Times New Roman" w:eastAsia="宋体" w:cs="Times New Roman"/>
                      <w:color w:val="auto"/>
                      <w:kern w:val="2"/>
                      <w:sz w:val="21"/>
                      <w:szCs w:val="24"/>
                      <w:u w:val="none" w:color="auto"/>
                      <w:lang w:val="en-US" w:eastAsia="zh-CN" w:bidi="ar-SA"/>
                    </w:rPr>
                  </w:pPr>
                </w:p>
              </w:tc>
              <w:tc>
                <w:tcPr>
                  <w:tcW w:w="473" w:type="pct"/>
                  <w:tcBorders>
                    <w:tl2br w:val="nil"/>
                    <w:tr2bl w:val="nil"/>
                  </w:tcBorders>
                  <w:noWrap w:val="0"/>
                  <w:vAlign w:val="center"/>
                </w:tcPr>
                <w:p w14:paraId="7946AD28">
                  <w:pPr>
                    <w:keepNext w:val="0"/>
                    <w:keepLines w:val="0"/>
                    <w:widowControl w:val="0"/>
                    <w:suppressLineNumbers w:val="0"/>
                    <w:bidi w:val="0"/>
                    <w:spacing w:before="0" w:beforeLines="0" w:beforeAutospacing="0" w:after="0" w:afterLines="0" w:afterAutospacing="0" w:line="240" w:lineRule="auto"/>
                    <w:ind w:left="0" w:right="0" w:firstLine="0" w:firstLineChars="0"/>
                    <w:jc w:val="center"/>
                    <w:rPr>
                      <w:rFonts w:hint="eastAsia"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NOx</w:t>
                  </w:r>
                </w:p>
              </w:tc>
              <w:tc>
                <w:tcPr>
                  <w:tcW w:w="473" w:type="pct"/>
                  <w:vMerge w:val="continue"/>
                  <w:tcBorders>
                    <w:tl2br w:val="nil"/>
                    <w:tr2bl w:val="nil"/>
                  </w:tcBorders>
                  <w:noWrap w:val="0"/>
                  <w:vAlign w:val="center"/>
                </w:tcPr>
                <w:p w14:paraId="71D10993">
                  <w:pPr>
                    <w:keepNext w:val="0"/>
                    <w:keepLines w:val="0"/>
                    <w:widowControl w:val="0"/>
                    <w:suppressLineNumbers w:val="0"/>
                    <w:bidi w:val="0"/>
                    <w:spacing w:before="0" w:beforeLines="0" w:beforeAutospacing="0" w:after="0" w:afterLines="0" w:afterAutospacing="0" w:line="240" w:lineRule="auto"/>
                    <w:ind w:left="0" w:right="0" w:firstLine="0" w:firstLineChars="0"/>
                    <w:jc w:val="center"/>
                    <w:rPr>
                      <w:rFonts w:hint="eastAsia" w:ascii="Times New Roman" w:hAnsi="Times New Roman" w:eastAsia="宋体" w:cs="Times New Roman"/>
                      <w:color w:val="auto"/>
                      <w:kern w:val="2"/>
                      <w:sz w:val="21"/>
                      <w:szCs w:val="24"/>
                      <w:u w:val="none" w:color="auto"/>
                      <w:lang w:val="en-US" w:eastAsia="zh-CN" w:bidi="ar-SA"/>
                    </w:rPr>
                  </w:pPr>
                </w:p>
              </w:tc>
              <w:tc>
                <w:tcPr>
                  <w:tcW w:w="473" w:type="pct"/>
                  <w:tcBorders>
                    <w:tl2br w:val="nil"/>
                    <w:tr2bl w:val="nil"/>
                  </w:tcBorders>
                  <w:noWrap w:val="0"/>
                  <w:vAlign w:val="center"/>
                </w:tcPr>
                <w:p w14:paraId="18D969E2">
                  <w:pPr>
                    <w:keepNext w:val="0"/>
                    <w:keepLines w:val="0"/>
                    <w:widowControl w:val="0"/>
                    <w:suppressLineNumbers w:val="0"/>
                    <w:bidi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0.386</w:t>
                  </w:r>
                </w:p>
              </w:tc>
              <w:tc>
                <w:tcPr>
                  <w:tcW w:w="473" w:type="pct"/>
                  <w:tcBorders>
                    <w:tl2br w:val="nil"/>
                    <w:tr2bl w:val="nil"/>
                  </w:tcBorders>
                  <w:noWrap w:val="0"/>
                  <w:vAlign w:val="center"/>
                </w:tcPr>
                <w:p w14:paraId="5322E56B">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163.5</w:t>
                  </w:r>
                </w:p>
              </w:tc>
              <w:tc>
                <w:tcPr>
                  <w:tcW w:w="473" w:type="pct"/>
                  <w:tcBorders>
                    <w:tl2br w:val="nil"/>
                    <w:tr2bl w:val="nil"/>
                  </w:tcBorders>
                  <w:noWrap w:val="0"/>
                  <w:vAlign w:val="center"/>
                </w:tcPr>
                <w:p w14:paraId="0F786AB0">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0.153</w:t>
                  </w:r>
                </w:p>
              </w:tc>
              <w:tc>
                <w:tcPr>
                  <w:tcW w:w="473" w:type="pct"/>
                  <w:tcBorders>
                    <w:tl2br w:val="nil"/>
                    <w:tr2bl w:val="nil"/>
                  </w:tcBorders>
                  <w:shd w:val="clear" w:color="auto" w:fill="auto"/>
                  <w:noWrap w:val="0"/>
                  <w:vAlign w:val="center"/>
                </w:tcPr>
                <w:p w14:paraId="1ABA5EA2">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0.386</w:t>
                  </w:r>
                </w:p>
              </w:tc>
              <w:tc>
                <w:tcPr>
                  <w:tcW w:w="473" w:type="pct"/>
                  <w:tcBorders>
                    <w:tl2br w:val="nil"/>
                    <w:tr2bl w:val="nil"/>
                  </w:tcBorders>
                  <w:shd w:val="clear" w:color="auto" w:fill="auto"/>
                  <w:noWrap w:val="0"/>
                  <w:vAlign w:val="center"/>
                </w:tcPr>
                <w:p w14:paraId="0D914CED">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163.5</w:t>
                  </w:r>
                </w:p>
              </w:tc>
              <w:tc>
                <w:tcPr>
                  <w:tcW w:w="473" w:type="pct"/>
                  <w:tcBorders>
                    <w:tl2br w:val="nil"/>
                    <w:tr2bl w:val="nil"/>
                  </w:tcBorders>
                  <w:shd w:val="clear" w:color="auto" w:fill="auto"/>
                  <w:noWrap w:val="0"/>
                  <w:vAlign w:val="center"/>
                </w:tcPr>
                <w:p w14:paraId="7475D423">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0.153</w:t>
                  </w:r>
                </w:p>
              </w:tc>
              <w:tc>
                <w:tcPr>
                  <w:tcW w:w="725" w:type="pct"/>
                  <w:vMerge w:val="continue"/>
                  <w:tcBorders>
                    <w:tl2br w:val="nil"/>
                    <w:tr2bl w:val="nil"/>
                  </w:tcBorders>
                  <w:noWrap w:val="0"/>
                  <w:vAlign w:val="center"/>
                </w:tcPr>
                <w:p w14:paraId="1B6B9692">
                  <w:pPr>
                    <w:keepNext w:val="0"/>
                    <w:keepLines w:val="0"/>
                    <w:widowControl w:val="0"/>
                    <w:suppressLineNumbers w:val="0"/>
                    <w:bidi w:val="0"/>
                    <w:spacing w:before="0" w:beforeLines="0" w:beforeAutospacing="0" w:after="0" w:afterLines="0" w:afterAutospacing="0" w:line="240" w:lineRule="auto"/>
                    <w:ind w:left="0" w:right="0" w:firstLine="0" w:firstLineChars="0"/>
                    <w:jc w:val="center"/>
                    <w:rPr>
                      <w:rFonts w:hint="eastAsia" w:ascii="Times New Roman" w:hAnsi="Times New Roman" w:eastAsia="宋体" w:cs="Times New Roman"/>
                      <w:color w:val="auto"/>
                      <w:kern w:val="2"/>
                      <w:sz w:val="21"/>
                      <w:szCs w:val="24"/>
                      <w:u w:val="none" w:color="auto"/>
                      <w:lang w:val="en-US" w:eastAsia="zh-CN" w:bidi="ar-SA"/>
                    </w:rPr>
                  </w:pPr>
                </w:p>
              </w:tc>
            </w:tr>
            <w:tr w14:paraId="23BFA2A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4" w:type="pct"/>
                  <w:vMerge w:val="continue"/>
                  <w:tcBorders>
                    <w:tl2br w:val="nil"/>
                    <w:tr2bl w:val="nil"/>
                  </w:tcBorders>
                  <w:noWrap w:val="0"/>
                  <w:vAlign w:val="center"/>
                </w:tcPr>
                <w:p w14:paraId="1F35529D">
                  <w:pPr>
                    <w:keepNext w:val="0"/>
                    <w:keepLines w:val="0"/>
                    <w:widowControl w:val="0"/>
                    <w:suppressLineNumbers w:val="0"/>
                    <w:bidi w:val="0"/>
                    <w:spacing w:before="0" w:beforeLines="0" w:beforeAutospacing="0" w:after="0" w:afterLines="0" w:afterAutospacing="0" w:line="240" w:lineRule="auto"/>
                    <w:ind w:left="0" w:right="0" w:firstLine="0" w:firstLineChars="0"/>
                    <w:jc w:val="center"/>
                    <w:rPr>
                      <w:rFonts w:hint="eastAsia" w:ascii="Times New Roman" w:hAnsi="Times New Roman" w:eastAsia="宋体" w:cs="Times New Roman"/>
                      <w:color w:val="auto"/>
                      <w:kern w:val="2"/>
                      <w:sz w:val="21"/>
                      <w:szCs w:val="24"/>
                      <w:u w:val="none" w:color="auto"/>
                      <w:lang w:val="en-US" w:eastAsia="zh-CN" w:bidi="ar-SA"/>
                    </w:rPr>
                  </w:pPr>
                </w:p>
              </w:tc>
              <w:tc>
                <w:tcPr>
                  <w:tcW w:w="473" w:type="pct"/>
                  <w:tcBorders>
                    <w:tl2br w:val="nil"/>
                    <w:tr2bl w:val="nil"/>
                  </w:tcBorders>
                  <w:noWrap w:val="0"/>
                  <w:vAlign w:val="center"/>
                </w:tcPr>
                <w:p w14:paraId="038010F3">
                  <w:pPr>
                    <w:keepNext w:val="0"/>
                    <w:keepLines w:val="0"/>
                    <w:widowControl w:val="0"/>
                    <w:suppressLineNumbers w:val="0"/>
                    <w:bidi w:val="0"/>
                    <w:spacing w:before="0" w:beforeLines="0" w:beforeAutospacing="0" w:after="0" w:afterLines="0" w:afterAutospacing="0" w:line="240" w:lineRule="auto"/>
                    <w:ind w:left="0" w:right="0" w:firstLine="0" w:firstLineChars="0"/>
                    <w:jc w:val="center"/>
                    <w:rPr>
                      <w:rFonts w:hint="eastAsia"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颗粒物</w:t>
                  </w:r>
                </w:p>
              </w:tc>
              <w:tc>
                <w:tcPr>
                  <w:tcW w:w="473" w:type="pct"/>
                  <w:vMerge w:val="continue"/>
                  <w:tcBorders>
                    <w:tl2br w:val="nil"/>
                    <w:tr2bl w:val="nil"/>
                  </w:tcBorders>
                  <w:noWrap w:val="0"/>
                  <w:vAlign w:val="center"/>
                </w:tcPr>
                <w:p w14:paraId="41417DB2">
                  <w:pPr>
                    <w:keepNext w:val="0"/>
                    <w:keepLines w:val="0"/>
                    <w:widowControl w:val="0"/>
                    <w:suppressLineNumbers w:val="0"/>
                    <w:bidi w:val="0"/>
                    <w:spacing w:before="0" w:beforeLines="0" w:beforeAutospacing="0" w:after="0" w:afterLines="0" w:afterAutospacing="0" w:line="240" w:lineRule="auto"/>
                    <w:ind w:left="0" w:right="0" w:firstLine="0" w:firstLineChars="0"/>
                    <w:jc w:val="center"/>
                    <w:rPr>
                      <w:rFonts w:hint="eastAsia" w:ascii="Times New Roman" w:hAnsi="Times New Roman" w:eastAsia="宋体" w:cs="Times New Roman"/>
                      <w:color w:val="auto"/>
                      <w:kern w:val="2"/>
                      <w:sz w:val="21"/>
                      <w:szCs w:val="24"/>
                      <w:u w:val="none" w:color="auto"/>
                      <w:lang w:val="en-US" w:eastAsia="zh-CN" w:bidi="ar-SA"/>
                    </w:rPr>
                  </w:pPr>
                </w:p>
              </w:tc>
              <w:tc>
                <w:tcPr>
                  <w:tcW w:w="473" w:type="pct"/>
                  <w:tcBorders>
                    <w:tl2br w:val="nil"/>
                    <w:tr2bl w:val="nil"/>
                  </w:tcBorders>
                  <w:noWrap w:val="0"/>
                  <w:vAlign w:val="center"/>
                </w:tcPr>
                <w:p w14:paraId="58D6A465">
                  <w:pPr>
                    <w:keepNext w:val="0"/>
                    <w:keepLines w:val="0"/>
                    <w:widowControl w:val="0"/>
                    <w:suppressLineNumbers w:val="0"/>
                    <w:bidi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0.189</w:t>
                  </w:r>
                </w:p>
              </w:tc>
              <w:tc>
                <w:tcPr>
                  <w:tcW w:w="473" w:type="pct"/>
                  <w:tcBorders>
                    <w:tl2br w:val="nil"/>
                    <w:tr2bl w:val="nil"/>
                  </w:tcBorders>
                  <w:noWrap w:val="0"/>
                  <w:vAlign w:val="center"/>
                </w:tcPr>
                <w:p w14:paraId="33BA0908">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80.1</w:t>
                  </w:r>
                </w:p>
              </w:tc>
              <w:tc>
                <w:tcPr>
                  <w:tcW w:w="473" w:type="pct"/>
                  <w:tcBorders>
                    <w:tl2br w:val="nil"/>
                    <w:tr2bl w:val="nil"/>
                  </w:tcBorders>
                  <w:noWrap w:val="0"/>
                  <w:vAlign w:val="center"/>
                </w:tcPr>
                <w:p w14:paraId="5E462508">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0.075</w:t>
                  </w:r>
                </w:p>
              </w:tc>
              <w:tc>
                <w:tcPr>
                  <w:tcW w:w="473" w:type="pct"/>
                  <w:tcBorders>
                    <w:tl2br w:val="nil"/>
                    <w:tr2bl w:val="nil"/>
                  </w:tcBorders>
                  <w:shd w:val="clear" w:color="auto" w:fill="auto"/>
                  <w:noWrap w:val="0"/>
                  <w:vAlign w:val="center"/>
                </w:tcPr>
                <w:p w14:paraId="0EBD0ED0">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0.003</w:t>
                  </w:r>
                </w:p>
              </w:tc>
              <w:tc>
                <w:tcPr>
                  <w:tcW w:w="473" w:type="pct"/>
                  <w:tcBorders>
                    <w:tl2br w:val="nil"/>
                    <w:tr2bl w:val="nil"/>
                  </w:tcBorders>
                  <w:shd w:val="clear" w:color="auto" w:fill="auto"/>
                  <w:noWrap w:val="0"/>
                  <w:vAlign w:val="center"/>
                </w:tcPr>
                <w:p w14:paraId="2A7F8C53">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1.27</w:t>
                  </w:r>
                </w:p>
              </w:tc>
              <w:tc>
                <w:tcPr>
                  <w:tcW w:w="473" w:type="pct"/>
                  <w:tcBorders>
                    <w:tl2br w:val="nil"/>
                    <w:tr2bl w:val="nil"/>
                  </w:tcBorders>
                  <w:shd w:val="clear" w:color="auto" w:fill="auto"/>
                  <w:noWrap w:val="0"/>
                  <w:vAlign w:val="center"/>
                </w:tcPr>
                <w:p w14:paraId="10AA7F55">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0.001</w:t>
                  </w:r>
                </w:p>
              </w:tc>
              <w:tc>
                <w:tcPr>
                  <w:tcW w:w="725" w:type="pct"/>
                  <w:vMerge w:val="continue"/>
                  <w:tcBorders>
                    <w:tl2br w:val="nil"/>
                    <w:tr2bl w:val="nil"/>
                  </w:tcBorders>
                  <w:noWrap w:val="0"/>
                  <w:vAlign w:val="center"/>
                </w:tcPr>
                <w:p w14:paraId="27BD3082">
                  <w:pPr>
                    <w:keepNext w:val="0"/>
                    <w:keepLines w:val="0"/>
                    <w:widowControl w:val="0"/>
                    <w:suppressLineNumbers w:val="0"/>
                    <w:bidi w:val="0"/>
                    <w:spacing w:before="0" w:beforeLines="0" w:beforeAutospacing="0" w:after="0" w:afterLines="0" w:afterAutospacing="0" w:line="240" w:lineRule="auto"/>
                    <w:ind w:left="0" w:right="0" w:firstLine="0" w:firstLineChars="0"/>
                    <w:jc w:val="center"/>
                    <w:rPr>
                      <w:rFonts w:hint="eastAsia" w:ascii="Times New Roman" w:hAnsi="Times New Roman" w:eastAsia="宋体" w:cs="Times New Roman"/>
                      <w:color w:val="auto"/>
                      <w:kern w:val="2"/>
                      <w:sz w:val="21"/>
                      <w:szCs w:val="24"/>
                      <w:u w:val="none" w:color="auto"/>
                      <w:lang w:val="en-US" w:eastAsia="zh-CN" w:bidi="ar-SA"/>
                    </w:rPr>
                  </w:pPr>
                </w:p>
              </w:tc>
            </w:tr>
            <w:tr w14:paraId="491DE18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4" w:type="pct"/>
                  <w:vMerge w:val="restart"/>
                  <w:tcBorders>
                    <w:tl2br w:val="nil"/>
                    <w:tr2bl w:val="nil"/>
                  </w:tcBorders>
                  <w:noWrap w:val="0"/>
                  <w:vAlign w:val="center"/>
                </w:tcPr>
                <w:p w14:paraId="723D022F">
                  <w:pPr>
                    <w:keepNext w:val="0"/>
                    <w:keepLines w:val="0"/>
                    <w:widowControl w:val="0"/>
                    <w:suppressLineNumbers w:val="0"/>
                    <w:bidi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2.5t/h蒸汽发生器</w:t>
                  </w:r>
                </w:p>
              </w:tc>
              <w:tc>
                <w:tcPr>
                  <w:tcW w:w="473" w:type="pct"/>
                  <w:tcBorders>
                    <w:tl2br w:val="nil"/>
                    <w:tr2bl w:val="nil"/>
                  </w:tcBorders>
                  <w:shd w:val="clear" w:color="auto" w:fill="auto"/>
                  <w:noWrap w:val="0"/>
                  <w:vAlign w:val="center"/>
                </w:tcPr>
                <w:p w14:paraId="1F387933">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SO</w:t>
                  </w:r>
                  <w:r>
                    <w:rPr>
                      <w:rFonts w:hint="eastAsia" w:ascii="Times New Roman" w:hAnsi="Times New Roman" w:eastAsia="宋体" w:cs="Times New Roman"/>
                      <w:color w:val="auto"/>
                      <w:kern w:val="2"/>
                      <w:sz w:val="21"/>
                      <w:szCs w:val="24"/>
                      <w:u w:val="none" w:color="auto"/>
                      <w:vertAlign w:val="subscript"/>
                      <w:lang w:val="en-US" w:eastAsia="zh-CN" w:bidi="ar-SA"/>
                    </w:rPr>
                    <w:t>2</w:t>
                  </w:r>
                </w:p>
              </w:tc>
              <w:tc>
                <w:tcPr>
                  <w:tcW w:w="473" w:type="pct"/>
                  <w:vMerge w:val="restart"/>
                  <w:tcBorders>
                    <w:tl2br w:val="nil"/>
                    <w:tr2bl w:val="nil"/>
                  </w:tcBorders>
                  <w:shd w:val="clear" w:color="auto" w:fill="auto"/>
                  <w:noWrap w:val="0"/>
                  <w:vAlign w:val="center"/>
                </w:tcPr>
                <w:p w14:paraId="60BE8540">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4524000</w:t>
                  </w:r>
                </w:p>
              </w:tc>
              <w:tc>
                <w:tcPr>
                  <w:tcW w:w="473" w:type="pct"/>
                  <w:tcBorders>
                    <w:tl2br w:val="nil"/>
                    <w:tr2bl w:val="nil"/>
                  </w:tcBorders>
                  <w:noWrap w:val="0"/>
                  <w:vAlign w:val="center"/>
                </w:tcPr>
                <w:p w14:paraId="18525D21">
                  <w:pPr>
                    <w:keepNext w:val="0"/>
                    <w:keepLines w:val="0"/>
                    <w:widowControl w:val="0"/>
                    <w:suppressLineNumbers w:val="0"/>
                    <w:bidi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kern w:val="2"/>
                      <w:sz w:val="21"/>
                      <w:szCs w:val="24"/>
                      <w:highlight w:val="none"/>
                      <w:u w:val="none" w:color="auto"/>
                      <w:lang w:val="en-US" w:eastAsia="zh-CN" w:bidi="ar-SA"/>
                    </w:rPr>
                  </w:pPr>
                  <w:r>
                    <w:rPr>
                      <w:rFonts w:hint="eastAsia" w:cs="Times New Roman"/>
                      <w:color w:val="auto"/>
                      <w:kern w:val="2"/>
                      <w:sz w:val="21"/>
                      <w:szCs w:val="24"/>
                      <w:highlight w:val="none"/>
                      <w:u w:val="none" w:color="auto"/>
                      <w:lang w:val="en-US" w:eastAsia="zh-CN" w:bidi="ar-SA"/>
                    </w:rPr>
                    <w:t>0.616</w:t>
                  </w:r>
                </w:p>
              </w:tc>
              <w:tc>
                <w:tcPr>
                  <w:tcW w:w="473" w:type="pct"/>
                  <w:tcBorders>
                    <w:tl2br w:val="nil"/>
                    <w:tr2bl w:val="nil"/>
                  </w:tcBorders>
                  <w:noWrap w:val="0"/>
                  <w:vAlign w:val="center"/>
                </w:tcPr>
                <w:p w14:paraId="6821CF1B">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highlight w:val="none"/>
                      <w:u w:val="none" w:color="auto"/>
                      <w:lang w:val="en-US" w:eastAsia="zh-CN" w:bidi="ar-SA"/>
                    </w:rPr>
                  </w:pPr>
                  <w:r>
                    <w:rPr>
                      <w:rFonts w:hint="eastAsia" w:cs="Times New Roman"/>
                      <w:color w:val="auto"/>
                      <w:kern w:val="2"/>
                      <w:sz w:val="21"/>
                      <w:szCs w:val="24"/>
                      <w:highlight w:val="none"/>
                      <w:u w:val="none" w:color="auto"/>
                      <w:lang w:val="en-US" w:eastAsia="zh-CN" w:bidi="ar-SA"/>
                    </w:rPr>
                    <w:t>136.4</w:t>
                  </w:r>
                </w:p>
              </w:tc>
              <w:tc>
                <w:tcPr>
                  <w:tcW w:w="473" w:type="pct"/>
                  <w:tcBorders>
                    <w:tl2br w:val="nil"/>
                    <w:tr2bl w:val="nil"/>
                  </w:tcBorders>
                  <w:noWrap w:val="0"/>
                  <w:vAlign w:val="center"/>
                </w:tcPr>
                <w:p w14:paraId="1EB814EE">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highlight w:val="none"/>
                      <w:u w:val="none" w:color="auto"/>
                      <w:lang w:val="en-US" w:eastAsia="zh-CN" w:bidi="ar-SA"/>
                    </w:rPr>
                  </w:pPr>
                  <w:r>
                    <w:rPr>
                      <w:rFonts w:hint="eastAsia" w:cs="Times New Roman"/>
                      <w:color w:val="auto"/>
                      <w:kern w:val="2"/>
                      <w:sz w:val="21"/>
                      <w:szCs w:val="24"/>
                      <w:highlight w:val="none"/>
                      <w:u w:val="none" w:color="auto"/>
                      <w:lang w:val="en-US" w:eastAsia="zh-CN" w:bidi="ar-SA"/>
                    </w:rPr>
                    <w:t>0.196</w:t>
                  </w:r>
                </w:p>
              </w:tc>
              <w:tc>
                <w:tcPr>
                  <w:tcW w:w="473" w:type="pct"/>
                  <w:tcBorders>
                    <w:tl2br w:val="nil"/>
                    <w:tr2bl w:val="nil"/>
                  </w:tcBorders>
                  <w:shd w:val="clear" w:color="auto" w:fill="auto"/>
                  <w:noWrap w:val="0"/>
                  <w:vAlign w:val="center"/>
                </w:tcPr>
                <w:p w14:paraId="468045CA">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4"/>
                      <w:highlight w:val="none"/>
                      <w:u w:val="none" w:color="auto"/>
                      <w:lang w:val="en-US" w:eastAsia="zh-CN" w:bidi="ar-SA"/>
                    </w:rPr>
                  </w:pPr>
                  <w:r>
                    <w:rPr>
                      <w:rFonts w:hint="eastAsia" w:cs="Times New Roman"/>
                      <w:color w:val="auto"/>
                      <w:kern w:val="2"/>
                      <w:sz w:val="21"/>
                      <w:szCs w:val="24"/>
                      <w:highlight w:val="none"/>
                      <w:u w:val="none" w:color="auto"/>
                      <w:lang w:val="en-US" w:eastAsia="zh-CN" w:bidi="ar-SA"/>
                    </w:rPr>
                    <w:t>0.616</w:t>
                  </w:r>
                </w:p>
              </w:tc>
              <w:tc>
                <w:tcPr>
                  <w:tcW w:w="473" w:type="pct"/>
                  <w:tcBorders>
                    <w:tl2br w:val="nil"/>
                    <w:tr2bl w:val="nil"/>
                  </w:tcBorders>
                  <w:shd w:val="clear" w:color="auto" w:fill="auto"/>
                  <w:noWrap w:val="0"/>
                  <w:vAlign w:val="center"/>
                </w:tcPr>
                <w:p w14:paraId="175D2DFF">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4"/>
                      <w:highlight w:val="none"/>
                      <w:u w:val="none" w:color="auto"/>
                      <w:lang w:val="en-US" w:eastAsia="zh-CN" w:bidi="ar-SA"/>
                    </w:rPr>
                  </w:pPr>
                  <w:r>
                    <w:rPr>
                      <w:rFonts w:hint="eastAsia" w:cs="Times New Roman"/>
                      <w:color w:val="auto"/>
                      <w:kern w:val="2"/>
                      <w:sz w:val="21"/>
                      <w:szCs w:val="24"/>
                      <w:highlight w:val="none"/>
                      <w:u w:val="none" w:color="auto"/>
                      <w:lang w:val="en-US" w:eastAsia="zh-CN" w:bidi="ar-SA"/>
                    </w:rPr>
                    <w:t>136.4</w:t>
                  </w:r>
                </w:p>
              </w:tc>
              <w:tc>
                <w:tcPr>
                  <w:tcW w:w="473" w:type="pct"/>
                  <w:tcBorders>
                    <w:tl2br w:val="nil"/>
                    <w:tr2bl w:val="nil"/>
                  </w:tcBorders>
                  <w:shd w:val="clear" w:color="auto" w:fill="auto"/>
                  <w:noWrap w:val="0"/>
                  <w:vAlign w:val="center"/>
                </w:tcPr>
                <w:p w14:paraId="43FFD967">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4"/>
                      <w:highlight w:val="none"/>
                      <w:u w:val="none" w:color="auto"/>
                      <w:lang w:val="en-US" w:eastAsia="zh-CN" w:bidi="ar-SA"/>
                    </w:rPr>
                  </w:pPr>
                  <w:r>
                    <w:rPr>
                      <w:rFonts w:hint="eastAsia" w:cs="Times New Roman"/>
                      <w:color w:val="auto"/>
                      <w:kern w:val="2"/>
                      <w:sz w:val="21"/>
                      <w:szCs w:val="24"/>
                      <w:highlight w:val="none"/>
                      <w:u w:val="none" w:color="auto"/>
                      <w:lang w:val="en-US" w:eastAsia="zh-CN" w:bidi="ar-SA"/>
                    </w:rPr>
                    <w:t>0.196</w:t>
                  </w:r>
                </w:p>
              </w:tc>
              <w:tc>
                <w:tcPr>
                  <w:tcW w:w="725" w:type="pct"/>
                  <w:vMerge w:val="restart"/>
                  <w:tcBorders>
                    <w:tl2br w:val="nil"/>
                    <w:tr2bl w:val="nil"/>
                  </w:tcBorders>
                  <w:noWrap w:val="0"/>
                  <w:vAlign w:val="center"/>
                </w:tcPr>
                <w:p w14:paraId="1EDF9CEE">
                  <w:pPr>
                    <w:keepNext w:val="0"/>
                    <w:keepLines w:val="0"/>
                    <w:widowControl w:val="0"/>
                    <w:suppressLineNumbers w:val="0"/>
                    <w:bidi w:val="0"/>
                    <w:spacing w:before="0" w:beforeLines="0" w:beforeAutospacing="0" w:after="0" w:afterLines="0" w:afterAutospacing="0" w:line="240" w:lineRule="auto"/>
                    <w:ind w:left="0" w:right="0" w:firstLine="0" w:firstLineChars="0"/>
                    <w:jc w:val="center"/>
                    <w:rPr>
                      <w:rFonts w:hint="eastAsia"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布袋除尘器+</w:t>
                  </w:r>
                  <w:r>
                    <w:rPr>
                      <w:rFonts w:hint="eastAsia" w:cs="Times New Roman"/>
                      <w:color w:val="auto"/>
                      <w:kern w:val="2"/>
                      <w:sz w:val="21"/>
                      <w:szCs w:val="24"/>
                      <w:u w:val="none" w:color="auto"/>
                      <w:lang w:val="en-US" w:eastAsia="zh-CN" w:bidi="ar-SA"/>
                    </w:rPr>
                    <w:t>30</w:t>
                  </w:r>
                  <w:r>
                    <w:rPr>
                      <w:rFonts w:hint="eastAsia" w:ascii="Times New Roman" w:hAnsi="Times New Roman" w:eastAsia="宋体" w:cs="Times New Roman"/>
                      <w:color w:val="auto"/>
                      <w:kern w:val="2"/>
                      <w:sz w:val="21"/>
                      <w:szCs w:val="24"/>
                      <w:u w:val="none" w:color="auto"/>
                      <w:lang w:val="en-US" w:eastAsia="zh-CN" w:bidi="ar-SA"/>
                    </w:rPr>
                    <w:t>米高排气筒（DA002）</w:t>
                  </w:r>
                </w:p>
              </w:tc>
            </w:tr>
            <w:tr w14:paraId="71CA28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4" w:type="pct"/>
                  <w:vMerge w:val="continue"/>
                  <w:tcBorders>
                    <w:tl2br w:val="nil"/>
                    <w:tr2bl w:val="nil"/>
                  </w:tcBorders>
                  <w:noWrap w:val="0"/>
                  <w:vAlign w:val="center"/>
                </w:tcPr>
                <w:p w14:paraId="29BF1E95">
                  <w:pPr>
                    <w:keepNext w:val="0"/>
                    <w:keepLines w:val="0"/>
                    <w:widowControl w:val="0"/>
                    <w:suppressLineNumbers w:val="0"/>
                    <w:bidi w:val="0"/>
                    <w:spacing w:before="0" w:beforeLines="0" w:beforeAutospacing="0" w:after="0" w:afterLines="0" w:afterAutospacing="0" w:line="240" w:lineRule="auto"/>
                    <w:ind w:left="0" w:right="0" w:firstLine="0" w:firstLineChars="0"/>
                    <w:jc w:val="center"/>
                    <w:rPr>
                      <w:rFonts w:hint="eastAsia" w:ascii="Times New Roman" w:hAnsi="Times New Roman" w:eastAsia="宋体" w:cs="Times New Roman"/>
                      <w:color w:val="auto"/>
                      <w:kern w:val="2"/>
                      <w:sz w:val="21"/>
                      <w:szCs w:val="24"/>
                      <w:u w:val="none" w:color="auto"/>
                      <w:lang w:val="en-US" w:eastAsia="zh-CN" w:bidi="ar-SA"/>
                    </w:rPr>
                  </w:pPr>
                </w:p>
              </w:tc>
              <w:tc>
                <w:tcPr>
                  <w:tcW w:w="473" w:type="pct"/>
                  <w:tcBorders>
                    <w:tl2br w:val="nil"/>
                    <w:tr2bl w:val="nil"/>
                  </w:tcBorders>
                  <w:shd w:val="clear" w:color="auto" w:fill="auto"/>
                  <w:noWrap w:val="0"/>
                  <w:vAlign w:val="center"/>
                </w:tcPr>
                <w:p w14:paraId="63346309">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NOx</w:t>
                  </w:r>
                </w:p>
              </w:tc>
              <w:tc>
                <w:tcPr>
                  <w:tcW w:w="473" w:type="pct"/>
                  <w:vMerge w:val="continue"/>
                  <w:tcBorders>
                    <w:tl2br w:val="nil"/>
                    <w:tr2bl w:val="nil"/>
                  </w:tcBorders>
                  <w:shd w:val="clear" w:color="auto" w:fill="auto"/>
                  <w:noWrap w:val="0"/>
                  <w:vAlign w:val="center"/>
                </w:tcPr>
                <w:p w14:paraId="685667F7">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4"/>
                      <w:u w:val="none" w:color="auto"/>
                      <w:lang w:val="en-US" w:eastAsia="zh-CN" w:bidi="ar-SA"/>
                    </w:rPr>
                  </w:pPr>
                </w:p>
              </w:tc>
              <w:tc>
                <w:tcPr>
                  <w:tcW w:w="473" w:type="pct"/>
                  <w:tcBorders>
                    <w:tl2br w:val="nil"/>
                    <w:tr2bl w:val="nil"/>
                  </w:tcBorders>
                  <w:noWrap w:val="0"/>
                  <w:vAlign w:val="center"/>
                </w:tcPr>
                <w:p w14:paraId="1841F1E9">
                  <w:pPr>
                    <w:keepNext w:val="0"/>
                    <w:keepLines w:val="0"/>
                    <w:widowControl w:val="0"/>
                    <w:suppressLineNumbers w:val="0"/>
                    <w:bidi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0.740</w:t>
                  </w:r>
                </w:p>
              </w:tc>
              <w:tc>
                <w:tcPr>
                  <w:tcW w:w="473" w:type="pct"/>
                  <w:tcBorders>
                    <w:tl2br w:val="nil"/>
                    <w:tr2bl w:val="nil"/>
                  </w:tcBorders>
                  <w:noWrap w:val="0"/>
                  <w:vAlign w:val="center"/>
                </w:tcPr>
                <w:p w14:paraId="64FFE1FA">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163.6</w:t>
                  </w:r>
                </w:p>
              </w:tc>
              <w:tc>
                <w:tcPr>
                  <w:tcW w:w="473" w:type="pct"/>
                  <w:tcBorders>
                    <w:tl2br w:val="nil"/>
                    <w:tr2bl w:val="nil"/>
                  </w:tcBorders>
                  <w:noWrap w:val="0"/>
                  <w:vAlign w:val="center"/>
                </w:tcPr>
                <w:p w14:paraId="34BF0159">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0.235</w:t>
                  </w:r>
                </w:p>
              </w:tc>
              <w:tc>
                <w:tcPr>
                  <w:tcW w:w="473" w:type="pct"/>
                  <w:tcBorders>
                    <w:tl2br w:val="nil"/>
                    <w:tr2bl w:val="nil"/>
                  </w:tcBorders>
                  <w:shd w:val="clear" w:color="auto" w:fill="auto"/>
                  <w:noWrap w:val="0"/>
                  <w:vAlign w:val="center"/>
                </w:tcPr>
                <w:p w14:paraId="1E404941">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0.740</w:t>
                  </w:r>
                </w:p>
              </w:tc>
              <w:tc>
                <w:tcPr>
                  <w:tcW w:w="473" w:type="pct"/>
                  <w:tcBorders>
                    <w:tl2br w:val="nil"/>
                    <w:tr2bl w:val="nil"/>
                  </w:tcBorders>
                  <w:shd w:val="clear" w:color="auto" w:fill="auto"/>
                  <w:noWrap w:val="0"/>
                  <w:vAlign w:val="center"/>
                </w:tcPr>
                <w:p w14:paraId="7AB7EE80">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163.6</w:t>
                  </w:r>
                </w:p>
              </w:tc>
              <w:tc>
                <w:tcPr>
                  <w:tcW w:w="473" w:type="pct"/>
                  <w:tcBorders>
                    <w:tl2br w:val="nil"/>
                    <w:tr2bl w:val="nil"/>
                  </w:tcBorders>
                  <w:shd w:val="clear" w:color="auto" w:fill="auto"/>
                  <w:noWrap w:val="0"/>
                  <w:vAlign w:val="center"/>
                </w:tcPr>
                <w:p w14:paraId="4BA3CC02">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0.235</w:t>
                  </w:r>
                </w:p>
              </w:tc>
              <w:tc>
                <w:tcPr>
                  <w:tcW w:w="725" w:type="pct"/>
                  <w:vMerge w:val="continue"/>
                  <w:tcBorders>
                    <w:tl2br w:val="nil"/>
                    <w:tr2bl w:val="nil"/>
                  </w:tcBorders>
                  <w:noWrap w:val="0"/>
                  <w:vAlign w:val="center"/>
                </w:tcPr>
                <w:p w14:paraId="65FD54A9">
                  <w:pPr>
                    <w:keepNext w:val="0"/>
                    <w:keepLines w:val="0"/>
                    <w:widowControl w:val="0"/>
                    <w:suppressLineNumbers w:val="0"/>
                    <w:bidi w:val="0"/>
                    <w:spacing w:before="0" w:beforeLines="0" w:beforeAutospacing="0" w:after="0" w:afterLines="0" w:afterAutospacing="0" w:line="240" w:lineRule="auto"/>
                    <w:ind w:left="0" w:right="0" w:firstLine="0" w:firstLineChars="0"/>
                    <w:jc w:val="center"/>
                    <w:rPr>
                      <w:rFonts w:hint="eastAsia" w:ascii="Times New Roman" w:hAnsi="Times New Roman" w:eastAsia="宋体" w:cs="Times New Roman"/>
                      <w:color w:val="auto"/>
                      <w:kern w:val="2"/>
                      <w:sz w:val="21"/>
                      <w:szCs w:val="24"/>
                      <w:u w:val="none" w:color="auto"/>
                      <w:lang w:val="en-US" w:eastAsia="zh-CN" w:bidi="ar-SA"/>
                    </w:rPr>
                  </w:pPr>
                </w:p>
              </w:tc>
            </w:tr>
            <w:tr w14:paraId="49219A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84" w:type="pct"/>
                  <w:vMerge w:val="continue"/>
                  <w:tcBorders>
                    <w:tl2br w:val="nil"/>
                    <w:tr2bl w:val="nil"/>
                  </w:tcBorders>
                  <w:noWrap w:val="0"/>
                  <w:vAlign w:val="center"/>
                </w:tcPr>
                <w:p w14:paraId="64EFFCAD">
                  <w:pPr>
                    <w:keepNext w:val="0"/>
                    <w:keepLines w:val="0"/>
                    <w:widowControl w:val="0"/>
                    <w:suppressLineNumbers w:val="0"/>
                    <w:bidi w:val="0"/>
                    <w:spacing w:before="0" w:beforeLines="0" w:beforeAutospacing="0" w:after="0" w:afterLines="0" w:afterAutospacing="0" w:line="240" w:lineRule="auto"/>
                    <w:ind w:left="0" w:right="0" w:firstLine="0" w:firstLineChars="0"/>
                    <w:jc w:val="center"/>
                    <w:rPr>
                      <w:rFonts w:hint="eastAsia" w:ascii="Times New Roman" w:hAnsi="Times New Roman" w:eastAsia="宋体" w:cs="Times New Roman"/>
                      <w:color w:val="auto"/>
                      <w:kern w:val="2"/>
                      <w:sz w:val="21"/>
                      <w:szCs w:val="24"/>
                      <w:u w:val="none" w:color="auto"/>
                      <w:lang w:val="en-US" w:eastAsia="zh-CN" w:bidi="ar-SA"/>
                    </w:rPr>
                  </w:pPr>
                </w:p>
              </w:tc>
              <w:tc>
                <w:tcPr>
                  <w:tcW w:w="473" w:type="pct"/>
                  <w:tcBorders>
                    <w:tl2br w:val="nil"/>
                    <w:tr2bl w:val="nil"/>
                  </w:tcBorders>
                  <w:shd w:val="clear" w:color="auto" w:fill="auto"/>
                  <w:noWrap w:val="0"/>
                  <w:vAlign w:val="center"/>
                </w:tcPr>
                <w:p w14:paraId="78B02E06">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颗粒物</w:t>
                  </w:r>
                </w:p>
              </w:tc>
              <w:tc>
                <w:tcPr>
                  <w:tcW w:w="473" w:type="pct"/>
                  <w:vMerge w:val="continue"/>
                  <w:tcBorders>
                    <w:tl2br w:val="nil"/>
                    <w:tr2bl w:val="nil"/>
                  </w:tcBorders>
                  <w:shd w:val="clear" w:color="auto" w:fill="auto"/>
                  <w:noWrap w:val="0"/>
                  <w:vAlign w:val="center"/>
                </w:tcPr>
                <w:p w14:paraId="6D593E0F">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4"/>
                      <w:u w:val="none" w:color="auto"/>
                      <w:lang w:val="en-US" w:eastAsia="zh-CN" w:bidi="ar-SA"/>
                    </w:rPr>
                  </w:pPr>
                </w:p>
              </w:tc>
              <w:tc>
                <w:tcPr>
                  <w:tcW w:w="473" w:type="pct"/>
                  <w:tcBorders>
                    <w:tl2br w:val="nil"/>
                    <w:tr2bl w:val="nil"/>
                  </w:tcBorders>
                  <w:noWrap w:val="0"/>
                  <w:vAlign w:val="center"/>
                </w:tcPr>
                <w:p w14:paraId="69ED0E7B">
                  <w:pPr>
                    <w:keepNext w:val="0"/>
                    <w:keepLines w:val="0"/>
                    <w:widowControl w:val="0"/>
                    <w:suppressLineNumbers w:val="0"/>
                    <w:bidi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0.363</w:t>
                  </w:r>
                </w:p>
              </w:tc>
              <w:tc>
                <w:tcPr>
                  <w:tcW w:w="473" w:type="pct"/>
                  <w:tcBorders>
                    <w:tl2br w:val="nil"/>
                    <w:tr2bl w:val="nil"/>
                  </w:tcBorders>
                  <w:noWrap w:val="0"/>
                  <w:vAlign w:val="center"/>
                </w:tcPr>
                <w:p w14:paraId="65DC57DD">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80.1</w:t>
                  </w:r>
                </w:p>
              </w:tc>
              <w:tc>
                <w:tcPr>
                  <w:tcW w:w="473" w:type="pct"/>
                  <w:tcBorders>
                    <w:tl2br w:val="nil"/>
                    <w:tr2bl w:val="nil"/>
                  </w:tcBorders>
                  <w:noWrap w:val="0"/>
                  <w:vAlign w:val="center"/>
                </w:tcPr>
                <w:p w14:paraId="319D4D7C">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0.115</w:t>
                  </w:r>
                </w:p>
              </w:tc>
              <w:tc>
                <w:tcPr>
                  <w:tcW w:w="473" w:type="pct"/>
                  <w:tcBorders>
                    <w:tl2br w:val="nil"/>
                    <w:tr2bl w:val="nil"/>
                  </w:tcBorders>
                  <w:shd w:val="clear" w:color="auto" w:fill="auto"/>
                  <w:noWrap w:val="0"/>
                  <w:vAlign w:val="center"/>
                </w:tcPr>
                <w:p w14:paraId="45E39153">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0.006</w:t>
                  </w:r>
                </w:p>
              </w:tc>
              <w:tc>
                <w:tcPr>
                  <w:tcW w:w="473" w:type="pct"/>
                  <w:tcBorders>
                    <w:tl2br w:val="nil"/>
                    <w:tr2bl w:val="nil"/>
                  </w:tcBorders>
                  <w:shd w:val="clear" w:color="auto" w:fill="auto"/>
                  <w:noWrap w:val="0"/>
                  <w:vAlign w:val="center"/>
                </w:tcPr>
                <w:p w14:paraId="6C185E1D">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13.9</w:t>
                  </w:r>
                </w:p>
              </w:tc>
              <w:tc>
                <w:tcPr>
                  <w:tcW w:w="473" w:type="pct"/>
                  <w:tcBorders>
                    <w:tl2br w:val="nil"/>
                    <w:tr2bl w:val="nil"/>
                  </w:tcBorders>
                  <w:shd w:val="clear" w:color="auto" w:fill="auto"/>
                  <w:noWrap w:val="0"/>
                  <w:vAlign w:val="center"/>
                </w:tcPr>
                <w:p w14:paraId="207DA5A7">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0.002</w:t>
                  </w:r>
                </w:p>
              </w:tc>
              <w:tc>
                <w:tcPr>
                  <w:tcW w:w="725" w:type="pct"/>
                  <w:vMerge w:val="continue"/>
                  <w:tcBorders>
                    <w:tl2br w:val="nil"/>
                    <w:tr2bl w:val="nil"/>
                  </w:tcBorders>
                  <w:noWrap w:val="0"/>
                  <w:vAlign w:val="center"/>
                </w:tcPr>
                <w:p w14:paraId="7420A558">
                  <w:pPr>
                    <w:keepNext w:val="0"/>
                    <w:keepLines w:val="0"/>
                    <w:widowControl w:val="0"/>
                    <w:suppressLineNumbers w:val="0"/>
                    <w:bidi w:val="0"/>
                    <w:spacing w:before="0" w:beforeLines="0" w:beforeAutospacing="0" w:after="0" w:afterLines="0" w:afterAutospacing="0" w:line="240" w:lineRule="auto"/>
                    <w:ind w:left="0" w:right="0" w:firstLine="0" w:firstLineChars="0"/>
                    <w:jc w:val="center"/>
                    <w:rPr>
                      <w:rFonts w:hint="eastAsia" w:ascii="Times New Roman" w:hAnsi="Times New Roman" w:eastAsia="宋体" w:cs="Times New Roman"/>
                      <w:color w:val="auto"/>
                      <w:kern w:val="2"/>
                      <w:sz w:val="21"/>
                      <w:szCs w:val="24"/>
                      <w:u w:val="none" w:color="auto"/>
                      <w:lang w:val="en-US" w:eastAsia="zh-CN" w:bidi="ar-SA"/>
                    </w:rPr>
                  </w:pPr>
                </w:p>
              </w:tc>
            </w:tr>
          </w:tbl>
          <w:p w14:paraId="75EB9E2F">
            <w:pPr>
              <w:spacing w:line="360" w:lineRule="auto"/>
              <w:ind w:firstLine="480" w:firstLineChars="0"/>
              <w:rPr>
                <w:rFonts w:hint="eastAsia" w:cs="Times New Roman"/>
                <w:color w:val="auto"/>
                <w:kern w:val="2"/>
                <w:sz w:val="24"/>
                <w:szCs w:val="24"/>
                <w:highlight w:val="none"/>
                <w:u w:val="none" w:color="auto"/>
                <w:lang w:val="en-US" w:eastAsia="zh-CN" w:bidi="ar-SA"/>
              </w:rPr>
            </w:pPr>
            <w:r>
              <w:rPr>
                <w:rFonts w:hint="eastAsia" w:cs="Times New Roman"/>
                <w:color w:val="auto"/>
                <w:kern w:val="2"/>
                <w:sz w:val="24"/>
                <w:szCs w:val="24"/>
                <w:highlight w:val="none"/>
                <w:u w:val="none" w:color="auto"/>
                <w:lang w:val="en-US" w:eastAsia="zh-CN" w:bidi="ar-SA"/>
              </w:rPr>
              <w:t>（2）油炸过程油烟</w:t>
            </w:r>
          </w:p>
          <w:p w14:paraId="4BEA370A">
            <w:pPr>
              <w:spacing w:line="360" w:lineRule="auto"/>
              <w:ind w:firstLine="480" w:firstLineChars="0"/>
              <w:rPr>
                <w:rFonts w:hint="default"/>
                <w:color w:val="auto"/>
                <w:lang w:val="en-US" w:eastAsia="zh-CN"/>
              </w:rPr>
            </w:pPr>
            <w:r>
              <w:rPr>
                <w:rFonts w:hint="eastAsia" w:cs="Times New Roman"/>
                <w:color w:val="auto"/>
                <w:kern w:val="2"/>
                <w:sz w:val="24"/>
                <w:szCs w:val="24"/>
                <w:highlight w:val="none"/>
                <w:u w:val="none" w:color="auto"/>
                <w:lang w:val="en-US" w:eastAsia="zh-CN" w:bidi="ar-SA"/>
              </w:rPr>
              <w:t>本项目虎皮豆腐生产过程中需使用食用油进行油炸，油炸时间约为4h/d，350d，此过程会产生油烟废气。参考《社会区域类环境影响评价》第三版（环境保护部环境评估中心编）第136页表5-13中餐饮炉灶油烟排放因子：未装油烟净化器3.815kg/t，本项目年使用食用油35t，则油烟产生量为0.134t/a，0.095kg/h。</w:t>
            </w:r>
          </w:p>
          <w:p w14:paraId="7148D8BA">
            <w:pPr>
              <w:spacing w:line="360" w:lineRule="auto"/>
              <w:ind w:firstLine="480" w:firstLineChars="0"/>
              <w:rPr>
                <w:rFonts w:hint="default" w:cs="Times New Roman"/>
                <w:color w:val="auto"/>
                <w:kern w:val="2"/>
                <w:sz w:val="24"/>
                <w:szCs w:val="24"/>
                <w:highlight w:val="none"/>
                <w:u w:val="none" w:color="auto"/>
                <w:lang w:val="en-US" w:eastAsia="zh-CN" w:bidi="ar-SA"/>
              </w:rPr>
            </w:pPr>
            <w:r>
              <w:rPr>
                <w:rFonts w:hint="eastAsia" w:cs="Times New Roman"/>
                <w:color w:val="auto"/>
                <w:kern w:val="2"/>
                <w:sz w:val="24"/>
                <w:szCs w:val="24"/>
                <w:highlight w:val="none"/>
                <w:u w:val="none" w:color="auto"/>
                <w:lang w:val="en-US" w:eastAsia="zh-CN" w:bidi="ar-SA"/>
              </w:rPr>
              <w:t>油烟废气经集气罩收集后采用高效静电油烟净化器进行处理，处理后的废气经15m排气筒（DA003）排放。根据《餐饮业油烟污染防治可行技术指南（T/ACEF012-2020）》，静电沉积法对油烟的去处效率可达90%以上，项目以90%计。</w:t>
            </w:r>
          </w:p>
          <w:p w14:paraId="5467FF50">
            <w:pPr>
              <w:spacing w:line="360" w:lineRule="auto"/>
              <w:ind w:firstLine="480" w:firstLineChars="0"/>
              <w:rPr>
                <w:rFonts w:hint="default" w:cs="Times New Roman"/>
                <w:color w:val="auto"/>
                <w:kern w:val="2"/>
                <w:sz w:val="24"/>
                <w:szCs w:val="24"/>
                <w:highlight w:val="none"/>
                <w:u w:val="none" w:color="auto"/>
                <w:lang w:val="en-US" w:eastAsia="zh-CN" w:bidi="ar-SA"/>
              </w:rPr>
            </w:pPr>
            <w:r>
              <w:rPr>
                <w:rFonts w:hint="eastAsia" w:cs="Times New Roman"/>
                <w:color w:val="auto"/>
                <w:kern w:val="2"/>
                <w:sz w:val="24"/>
                <w:szCs w:val="24"/>
                <w:highlight w:val="none"/>
                <w:u w:val="none" w:color="auto"/>
                <w:lang w:val="en-US" w:eastAsia="zh-CN" w:bidi="ar-SA"/>
              </w:rPr>
              <w:t>本项目共使用4台油炸锅进行油炸，拟在油炸锅上方设置集气罩，单个集气罩尺寸为2.5m×0.8m，设置4个集气罩，参考《三废处理工程技术手册（废气卷）》（化学工业出版社，2013年版）中集气罩风量计算公式：</w:t>
            </w:r>
          </w:p>
          <w:p w14:paraId="2DD565BE">
            <w:pPr>
              <w:spacing w:line="360" w:lineRule="auto"/>
              <w:ind w:firstLine="480" w:firstLineChars="0"/>
              <w:jc w:val="center"/>
              <w:rPr>
                <w:rFonts w:hint="eastAsia" w:cs="Times New Roman"/>
                <w:color w:val="auto"/>
                <w:kern w:val="2"/>
                <w:sz w:val="24"/>
                <w:szCs w:val="24"/>
                <w:highlight w:val="none"/>
                <w:u w:val="none" w:color="auto"/>
                <w:lang w:val="en-US" w:eastAsia="zh-CN" w:bidi="ar-SA"/>
              </w:rPr>
            </w:pPr>
            <w:r>
              <w:rPr>
                <w:rFonts w:hint="eastAsia" w:cs="Times New Roman"/>
                <w:color w:val="auto"/>
                <w:kern w:val="2"/>
                <w:sz w:val="24"/>
                <w:szCs w:val="24"/>
                <w:highlight w:val="none"/>
                <w:u w:val="none" w:color="auto"/>
                <w:lang w:val="en-US" w:eastAsia="zh-CN" w:bidi="ar-SA"/>
              </w:rPr>
              <w:t>Q=（W+B）H×V</w:t>
            </w:r>
            <w:r>
              <w:rPr>
                <w:rFonts w:hint="eastAsia" w:cs="Times New Roman"/>
                <w:color w:val="auto"/>
                <w:kern w:val="2"/>
                <w:sz w:val="24"/>
                <w:szCs w:val="24"/>
                <w:highlight w:val="none"/>
                <w:u w:val="none" w:color="auto"/>
                <w:vertAlign w:val="subscript"/>
                <w:lang w:val="en-US" w:eastAsia="zh-CN" w:bidi="ar-SA"/>
              </w:rPr>
              <w:t>X</w:t>
            </w:r>
          </w:p>
          <w:p w14:paraId="4C109D6A">
            <w:pPr>
              <w:spacing w:line="360" w:lineRule="auto"/>
              <w:ind w:firstLine="480" w:firstLineChars="0"/>
              <w:rPr>
                <w:rFonts w:hint="eastAsia" w:cs="Times New Roman"/>
                <w:color w:val="auto"/>
                <w:kern w:val="2"/>
                <w:sz w:val="24"/>
                <w:szCs w:val="24"/>
                <w:highlight w:val="none"/>
                <w:u w:val="none" w:color="auto"/>
                <w:lang w:val="en-US" w:eastAsia="zh-CN" w:bidi="ar-SA"/>
              </w:rPr>
            </w:pPr>
            <w:r>
              <w:rPr>
                <w:rFonts w:hint="eastAsia" w:cs="Times New Roman"/>
                <w:color w:val="auto"/>
                <w:kern w:val="2"/>
                <w:sz w:val="24"/>
                <w:szCs w:val="24"/>
                <w:highlight w:val="none"/>
                <w:u w:val="none" w:color="auto"/>
                <w:lang w:val="en-US" w:eastAsia="zh-CN" w:bidi="ar-SA"/>
              </w:rPr>
              <w:t>式中：Q－集气罩排风量，m</w:t>
            </w:r>
            <w:r>
              <w:rPr>
                <w:rFonts w:hint="eastAsia" w:cs="Times New Roman"/>
                <w:color w:val="auto"/>
                <w:kern w:val="2"/>
                <w:sz w:val="24"/>
                <w:szCs w:val="24"/>
                <w:highlight w:val="none"/>
                <w:u w:val="none" w:color="auto"/>
                <w:vertAlign w:val="superscript"/>
                <w:lang w:val="en-US" w:eastAsia="zh-CN" w:bidi="ar-SA"/>
              </w:rPr>
              <w:t>3</w:t>
            </w:r>
            <w:r>
              <w:rPr>
                <w:rFonts w:hint="eastAsia" w:cs="Times New Roman"/>
                <w:color w:val="auto"/>
                <w:kern w:val="2"/>
                <w:sz w:val="24"/>
                <w:szCs w:val="24"/>
                <w:highlight w:val="none"/>
                <w:u w:val="none" w:color="auto"/>
                <w:lang w:val="en-US" w:eastAsia="zh-CN" w:bidi="ar-SA"/>
              </w:rPr>
              <w:t xml:space="preserve"> /s； </w:t>
            </w:r>
          </w:p>
          <w:p w14:paraId="1FCCED4C">
            <w:pPr>
              <w:spacing w:line="360" w:lineRule="auto"/>
              <w:ind w:firstLine="480" w:firstLineChars="0"/>
              <w:rPr>
                <w:rFonts w:hint="eastAsia" w:cs="Times New Roman"/>
                <w:color w:val="auto"/>
                <w:kern w:val="2"/>
                <w:sz w:val="24"/>
                <w:szCs w:val="24"/>
                <w:highlight w:val="none"/>
                <w:u w:val="none" w:color="auto"/>
                <w:lang w:val="en-US" w:eastAsia="zh-CN" w:bidi="ar-SA"/>
              </w:rPr>
            </w:pPr>
            <w:r>
              <w:rPr>
                <w:rFonts w:hint="eastAsia" w:cs="Times New Roman"/>
                <w:color w:val="auto"/>
                <w:kern w:val="2"/>
                <w:sz w:val="24"/>
                <w:szCs w:val="24"/>
                <w:highlight w:val="none"/>
                <w:u w:val="none" w:color="auto"/>
                <w:lang w:val="en-US" w:eastAsia="zh-CN" w:bidi="ar-SA"/>
              </w:rPr>
              <w:t>H－污染物产生点至罩口的距离，m，本项目取0.5m；</w:t>
            </w:r>
          </w:p>
          <w:p w14:paraId="7818AE78">
            <w:pPr>
              <w:spacing w:line="360" w:lineRule="auto"/>
              <w:ind w:firstLine="480" w:firstLineChars="0"/>
              <w:rPr>
                <w:rFonts w:hint="eastAsia" w:cs="Times New Roman"/>
                <w:color w:val="auto"/>
                <w:kern w:val="2"/>
                <w:sz w:val="24"/>
                <w:szCs w:val="24"/>
                <w:highlight w:val="none"/>
                <w:u w:val="none" w:color="auto"/>
                <w:lang w:val="en-US" w:eastAsia="zh-CN" w:bidi="ar-SA"/>
              </w:rPr>
            </w:pPr>
            <w:r>
              <w:rPr>
                <w:rFonts w:hint="eastAsia" w:cs="Times New Roman"/>
                <w:color w:val="auto"/>
                <w:kern w:val="2"/>
                <w:sz w:val="24"/>
                <w:szCs w:val="24"/>
                <w:highlight w:val="none"/>
                <w:u w:val="none" w:color="auto"/>
                <w:lang w:val="en-US" w:eastAsia="zh-CN" w:bidi="ar-SA"/>
              </w:rPr>
              <w:t xml:space="preserve">W－罩口长度，m； </w:t>
            </w:r>
          </w:p>
          <w:p w14:paraId="24454DDD">
            <w:pPr>
              <w:spacing w:line="360" w:lineRule="auto"/>
              <w:ind w:firstLine="480" w:firstLineChars="0"/>
              <w:rPr>
                <w:rFonts w:hint="eastAsia" w:cs="Times New Roman"/>
                <w:color w:val="auto"/>
                <w:kern w:val="2"/>
                <w:sz w:val="24"/>
                <w:szCs w:val="24"/>
                <w:highlight w:val="none"/>
                <w:u w:val="none" w:color="auto"/>
                <w:lang w:val="en-US" w:eastAsia="zh-CN" w:bidi="ar-SA"/>
              </w:rPr>
            </w:pPr>
            <w:r>
              <w:rPr>
                <w:rFonts w:hint="eastAsia" w:cs="Times New Roman"/>
                <w:color w:val="auto"/>
                <w:kern w:val="2"/>
                <w:sz w:val="24"/>
                <w:szCs w:val="24"/>
                <w:highlight w:val="none"/>
                <w:u w:val="none" w:color="auto"/>
                <w:lang w:val="en-US" w:eastAsia="zh-CN" w:bidi="ar-SA"/>
              </w:rPr>
              <w:t xml:space="preserve">B－罩口宽度，m； </w:t>
            </w:r>
          </w:p>
          <w:p w14:paraId="6D2858B2">
            <w:pPr>
              <w:spacing w:line="360" w:lineRule="auto"/>
              <w:ind w:firstLine="480" w:firstLineChars="0"/>
              <w:rPr>
                <w:rFonts w:hint="default" w:cs="Times New Roman"/>
                <w:color w:val="auto"/>
                <w:kern w:val="2"/>
                <w:sz w:val="24"/>
                <w:szCs w:val="24"/>
                <w:highlight w:val="none"/>
                <w:u w:val="none" w:color="auto"/>
                <w:lang w:val="en-US" w:eastAsia="zh-CN" w:bidi="ar-SA"/>
              </w:rPr>
            </w:pPr>
            <w:r>
              <w:rPr>
                <w:rFonts w:hint="eastAsia" w:cs="Times New Roman"/>
                <w:color w:val="auto"/>
                <w:kern w:val="2"/>
                <w:sz w:val="24"/>
                <w:szCs w:val="24"/>
                <w:highlight w:val="none"/>
                <w:u w:val="none" w:color="auto"/>
                <w:lang w:val="en-US" w:eastAsia="zh-CN" w:bidi="ar-SA"/>
              </w:rPr>
              <w:t>V</w:t>
            </w:r>
            <w:r>
              <w:rPr>
                <w:rFonts w:hint="eastAsia" w:cs="Times New Roman"/>
                <w:color w:val="auto"/>
                <w:kern w:val="2"/>
                <w:sz w:val="24"/>
                <w:szCs w:val="24"/>
                <w:highlight w:val="none"/>
                <w:u w:val="none" w:color="auto"/>
                <w:vertAlign w:val="subscript"/>
                <w:lang w:val="en-US" w:eastAsia="zh-CN" w:bidi="ar-SA"/>
              </w:rPr>
              <w:t>X</w:t>
            </w:r>
            <w:r>
              <w:rPr>
                <w:rFonts w:hint="eastAsia" w:cs="Times New Roman"/>
                <w:color w:val="auto"/>
                <w:kern w:val="2"/>
                <w:sz w:val="24"/>
                <w:szCs w:val="24"/>
                <w:highlight w:val="none"/>
                <w:u w:val="none" w:color="auto"/>
                <w:lang w:val="en-US" w:eastAsia="zh-CN" w:bidi="ar-SA"/>
              </w:rPr>
              <w:t>－最小控制风速，m/s，根据《饮食业环境保护技术规范》（HJ554-2010），油烟集气罩罩口风速不应小于0.6m/s，本项目取0.8。</w:t>
            </w:r>
          </w:p>
          <w:p w14:paraId="3D25CB57">
            <w:pPr>
              <w:spacing w:line="360" w:lineRule="auto"/>
              <w:ind w:firstLine="480" w:firstLineChars="0"/>
              <w:jc w:val="center"/>
              <w:rPr>
                <w:rFonts w:hint="default" w:ascii="Times New Roman" w:hAnsi="Times New Roman" w:eastAsia="宋体" w:cs="Times New Roman"/>
                <w:b/>
                <w:bCs/>
                <w:color w:val="auto"/>
                <w:kern w:val="2"/>
                <w:sz w:val="21"/>
                <w:szCs w:val="21"/>
                <w:highlight w:val="none"/>
                <w:u w:val="none" w:color="auto"/>
                <w:lang w:val="en-US" w:eastAsia="zh-CN" w:bidi="ar-SA"/>
              </w:rPr>
            </w:pPr>
            <w:r>
              <w:rPr>
                <w:rFonts w:hint="default" w:ascii="Times New Roman" w:hAnsi="Times New Roman" w:eastAsia="宋体" w:cs="Times New Roman"/>
                <w:b/>
                <w:bCs/>
                <w:color w:val="auto"/>
                <w:kern w:val="2"/>
                <w:sz w:val="21"/>
                <w:szCs w:val="21"/>
                <w:highlight w:val="none"/>
                <w:u w:val="none" w:color="auto"/>
                <w:lang w:val="en-US" w:eastAsia="zh-CN" w:bidi="ar-SA"/>
              </w:rPr>
              <w:t>表4-3 集气罩设计风量一览表</w:t>
            </w:r>
          </w:p>
          <w:tbl>
            <w:tblPr>
              <w:tblStyle w:val="43"/>
              <w:tblW w:w="8006"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00"/>
              <w:gridCol w:w="1000"/>
              <w:gridCol w:w="1001"/>
              <w:gridCol w:w="1001"/>
              <w:gridCol w:w="1001"/>
              <w:gridCol w:w="1001"/>
              <w:gridCol w:w="1001"/>
              <w:gridCol w:w="1001"/>
            </w:tblGrid>
            <w:tr w14:paraId="6853A0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0" w:type="dxa"/>
                  <w:tcBorders>
                    <w:tl2br w:val="nil"/>
                    <w:tr2bl w:val="nil"/>
                  </w:tcBorders>
                  <w:vAlign w:val="center"/>
                </w:tcPr>
                <w:p w14:paraId="702FE9F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kern w:val="2"/>
                      <w:sz w:val="21"/>
                      <w:szCs w:val="21"/>
                      <w:highlight w:val="none"/>
                      <w:u w:val="none" w:color="auto"/>
                      <w:vertAlign w:val="baseline"/>
                      <w:lang w:val="en-US" w:eastAsia="zh-CN" w:bidi="ar-SA"/>
                    </w:rPr>
                  </w:pPr>
                  <w:r>
                    <w:rPr>
                      <w:rFonts w:hint="eastAsia" w:cs="Times New Roman"/>
                      <w:color w:val="auto"/>
                      <w:kern w:val="2"/>
                      <w:sz w:val="21"/>
                      <w:szCs w:val="21"/>
                      <w:highlight w:val="none"/>
                      <w:u w:val="none" w:color="auto"/>
                      <w:vertAlign w:val="baseline"/>
                      <w:lang w:val="en-US" w:eastAsia="zh-CN" w:bidi="ar-SA"/>
                    </w:rPr>
                    <w:t>设备</w:t>
                  </w:r>
                </w:p>
              </w:tc>
              <w:tc>
                <w:tcPr>
                  <w:tcW w:w="1000" w:type="dxa"/>
                  <w:tcBorders>
                    <w:tl2br w:val="nil"/>
                    <w:tr2bl w:val="nil"/>
                  </w:tcBorders>
                  <w:vAlign w:val="center"/>
                </w:tcPr>
                <w:p w14:paraId="6C8038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2"/>
                      <w:sz w:val="21"/>
                      <w:szCs w:val="21"/>
                      <w:highlight w:val="none"/>
                      <w:u w:val="none" w:color="auto"/>
                      <w:vertAlign w:val="baseline"/>
                      <w:lang w:val="en-US" w:eastAsia="zh-CN" w:bidi="ar-SA"/>
                    </w:rPr>
                  </w:pPr>
                  <w:r>
                    <w:rPr>
                      <w:rFonts w:hint="eastAsia" w:cs="Times New Roman"/>
                      <w:color w:val="auto"/>
                      <w:kern w:val="2"/>
                      <w:sz w:val="21"/>
                      <w:szCs w:val="21"/>
                      <w:highlight w:val="none"/>
                      <w:u w:val="none" w:color="auto"/>
                      <w:vertAlign w:val="baseline"/>
                      <w:lang w:val="en-US" w:eastAsia="zh-CN" w:bidi="ar-SA"/>
                    </w:rPr>
                    <w:t>W</w:t>
                  </w:r>
                </w:p>
              </w:tc>
              <w:tc>
                <w:tcPr>
                  <w:tcW w:w="1001" w:type="dxa"/>
                  <w:tcBorders>
                    <w:tl2br w:val="nil"/>
                    <w:tr2bl w:val="nil"/>
                  </w:tcBorders>
                  <w:vAlign w:val="center"/>
                </w:tcPr>
                <w:p w14:paraId="360073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2"/>
                      <w:sz w:val="21"/>
                      <w:szCs w:val="21"/>
                      <w:highlight w:val="none"/>
                      <w:u w:val="none" w:color="auto"/>
                      <w:vertAlign w:val="baseline"/>
                      <w:lang w:val="en-US" w:eastAsia="zh-CN" w:bidi="ar-SA"/>
                    </w:rPr>
                  </w:pPr>
                  <w:r>
                    <w:rPr>
                      <w:rFonts w:hint="eastAsia" w:cs="Times New Roman"/>
                      <w:color w:val="auto"/>
                      <w:kern w:val="2"/>
                      <w:sz w:val="21"/>
                      <w:szCs w:val="21"/>
                      <w:highlight w:val="none"/>
                      <w:u w:val="none" w:color="auto"/>
                      <w:vertAlign w:val="baseline"/>
                      <w:lang w:val="en-US" w:eastAsia="zh-CN" w:bidi="ar-SA"/>
                    </w:rPr>
                    <w:t>B</w:t>
                  </w:r>
                </w:p>
              </w:tc>
              <w:tc>
                <w:tcPr>
                  <w:tcW w:w="1001" w:type="dxa"/>
                  <w:tcBorders>
                    <w:tl2br w:val="nil"/>
                    <w:tr2bl w:val="nil"/>
                  </w:tcBorders>
                  <w:vAlign w:val="center"/>
                </w:tcPr>
                <w:p w14:paraId="7DD7FB8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2"/>
                      <w:sz w:val="21"/>
                      <w:szCs w:val="21"/>
                      <w:highlight w:val="none"/>
                      <w:u w:val="none" w:color="auto"/>
                      <w:vertAlign w:val="baseline"/>
                      <w:lang w:val="en-US" w:eastAsia="zh-CN" w:bidi="ar-SA"/>
                    </w:rPr>
                  </w:pPr>
                  <w:r>
                    <w:rPr>
                      <w:rFonts w:hint="eastAsia" w:cs="Times New Roman"/>
                      <w:color w:val="auto"/>
                      <w:kern w:val="2"/>
                      <w:sz w:val="21"/>
                      <w:szCs w:val="21"/>
                      <w:highlight w:val="none"/>
                      <w:u w:val="none" w:color="auto"/>
                      <w:vertAlign w:val="baseline"/>
                      <w:lang w:val="en-US" w:eastAsia="zh-CN" w:bidi="ar-SA"/>
                    </w:rPr>
                    <w:t>H</w:t>
                  </w:r>
                </w:p>
              </w:tc>
              <w:tc>
                <w:tcPr>
                  <w:tcW w:w="1001" w:type="dxa"/>
                  <w:tcBorders>
                    <w:tl2br w:val="nil"/>
                    <w:tr2bl w:val="nil"/>
                  </w:tcBorders>
                  <w:vAlign w:val="center"/>
                </w:tcPr>
                <w:p w14:paraId="482B982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2"/>
                      <w:sz w:val="21"/>
                      <w:szCs w:val="21"/>
                      <w:highlight w:val="none"/>
                      <w:u w:val="none" w:color="auto"/>
                      <w:vertAlign w:val="baseline"/>
                      <w:lang w:val="en-US" w:eastAsia="zh-CN" w:bidi="ar-SA"/>
                    </w:rPr>
                  </w:pPr>
                  <w:r>
                    <w:rPr>
                      <w:rFonts w:hint="eastAsia" w:cs="Times New Roman"/>
                      <w:color w:val="auto"/>
                      <w:kern w:val="2"/>
                      <w:sz w:val="21"/>
                      <w:szCs w:val="21"/>
                      <w:highlight w:val="none"/>
                      <w:u w:val="none" w:color="auto"/>
                      <w:vertAlign w:val="baseline"/>
                      <w:lang w:val="en-US" w:eastAsia="zh-CN" w:bidi="ar-SA"/>
                    </w:rPr>
                    <w:t>Vx</w:t>
                  </w:r>
                </w:p>
              </w:tc>
              <w:tc>
                <w:tcPr>
                  <w:tcW w:w="1001" w:type="dxa"/>
                  <w:tcBorders>
                    <w:tl2br w:val="nil"/>
                    <w:tr2bl w:val="nil"/>
                  </w:tcBorders>
                  <w:vAlign w:val="center"/>
                </w:tcPr>
                <w:p w14:paraId="318532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kern w:val="2"/>
                      <w:sz w:val="21"/>
                      <w:szCs w:val="21"/>
                      <w:highlight w:val="none"/>
                      <w:u w:val="none" w:color="auto"/>
                      <w:vertAlign w:val="baseline"/>
                      <w:lang w:val="en-US" w:eastAsia="zh-CN" w:bidi="ar-SA"/>
                    </w:rPr>
                  </w:pPr>
                  <w:r>
                    <w:rPr>
                      <w:rFonts w:hint="eastAsia" w:cs="Times New Roman"/>
                      <w:color w:val="auto"/>
                      <w:kern w:val="2"/>
                      <w:sz w:val="21"/>
                      <w:szCs w:val="21"/>
                      <w:highlight w:val="none"/>
                      <w:u w:val="none" w:color="auto"/>
                      <w:vertAlign w:val="baseline"/>
                      <w:lang w:val="en-US" w:eastAsia="zh-CN" w:bidi="ar-SA"/>
                    </w:rPr>
                    <w:t>单个排风量（m</w:t>
                  </w:r>
                  <w:r>
                    <w:rPr>
                      <w:rFonts w:hint="eastAsia" w:cs="Times New Roman"/>
                      <w:color w:val="auto"/>
                      <w:kern w:val="2"/>
                      <w:sz w:val="21"/>
                      <w:szCs w:val="21"/>
                      <w:highlight w:val="none"/>
                      <w:u w:val="none" w:color="auto"/>
                      <w:vertAlign w:val="superscript"/>
                      <w:lang w:val="en-US" w:eastAsia="zh-CN" w:bidi="ar-SA"/>
                    </w:rPr>
                    <w:t>3</w:t>
                  </w:r>
                  <w:r>
                    <w:rPr>
                      <w:rFonts w:hint="eastAsia" w:cs="Times New Roman"/>
                      <w:color w:val="auto"/>
                      <w:kern w:val="2"/>
                      <w:sz w:val="21"/>
                      <w:szCs w:val="21"/>
                      <w:highlight w:val="none"/>
                      <w:u w:val="none" w:color="auto"/>
                      <w:vertAlign w:val="baseline"/>
                      <w:lang w:val="en-US" w:eastAsia="zh-CN" w:bidi="ar-SA"/>
                    </w:rPr>
                    <w:t>/h）</w:t>
                  </w:r>
                </w:p>
              </w:tc>
              <w:tc>
                <w:tcPr>
                  <w:tcW w:w="1001" w:type="dxa"/>
                  <w:tcBorders>
                    <w:tl2br w:val="nil"/>
                    <w:tr2bl w:val="nil"/>
                  </w:tcBorders>
                  <w:vAlign w:val="center"/>
                </w:tcPr>
                <w:p w14:paraId="7433E3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kern w:val="2"/>
                      <w:sz w:val="21"/>
                      <w:szCs w:val="21"/>
                      <w:highlight w:val="none"/>
                      <w:u w:val="none" w:color="auto"/>
                      <w:vertAlign w:val="baseline"/>
                      <w:lang w:val="en-US" w:eastAsia="zh-CN" w:bidi="ar-SA"/>
                    </w:rPr>
                  </w:pPr>
                  <w:r>
                    <w:rPr>
                      <w:rFonts w:hint="eastAsia" w:cs="Times New Roman"/>
                      <w:color w:val="auto"/>
                      <w:kern w:val="2"/>
                      <w:sz w:val="21"/>
                      <w:szCs w:val="21"/>
                      <w:highlight w:val="none"/>
                      <w:u w:val="none" w:color="auto"/>
                      <w:vertAlign w:val="baseline"/>
                      <w:lang w:val="en-US" w:eastAsia="zh-CN" w:bidi="ar-SA"/>
                    </w:rPr>
                    <w:t>集气罩数量</w:t>
                  </w:r>
                </w:p>
              </w:tc>
              <w:tc>
                <w:tcPr>
                  <w:tcW w:w="1001" w:type="dxa"/>
                  <w:tcBorders>
                    <w:tl2br w:val="nil"/>
                    <w:tr2bl w:val="nil"/>
                  </w:tcBorders>
                  <w:vAlign w:val="center"/>
                </w:tcPr>
                <w:p w14:paraId="752B8AF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kern w:val="2"/>
                      <w:sz w:val="21"/>
                      <w:szCs w:val="21"/>
                      <w:highlight w:val="none"/>
                      <w:u w:val="none" w:color="auto"/>
                      <w:vertAlign w:val="baseline"/>
                      <w:lang w:val="en-US" w:eastAsia="zh-CN" w:bidi="ar-SA"/>
                    </w:rPr>
                  </w:pPr>
                  <w:r>
                    <w:rPr>
                      <w:rFonts w:hint="eastAsia" w:cs="Times New Roman"/>
                      <w:color w:val="auto"/>
                      <w:kern w:val="2"/>
                      <w:sz w:val="21"/>
                      <w:szCs w:val="21"/>
                      <w:highlight w:val="none"/>
                      <w:u w:val="none" w:color="auto"/>
                      <w:vertAlign w:val="baseline"/>
                      <w:lang w:val="en-US" w:eastAsia="zh-CN" w:bidi="ar-SA"/>
                    </w:rPr>
                    <w:t>排风量总计</w:t>
                  </w:r>
                </w:p>
              </w:tc>
            </w:tr>
            <w:tr w14:paraId="4657DDD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1000" w:type="dxa"/>
                  <w:tcBorders>
                    <w:tl2br w:val="nil"/>
                    <w:tr2bl w:val="nil"/>
                  </w:tcBorders>
                  <w:vAlign w:val="center"/>
                </w:tcPr>
                <w:p w14:paraId="46AA0E6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kern w:val="2"/>
                      <w:sz w:val="21"/>
                      <w:szCs w:val="21"/>
                      <w:highlight w:val="none"/>
                      <w:u w:val="none" w:color="auto"/>
                      <w:vertAlign w:val="baseline"/>
                      <w:lang w:val="en-US" w:eastAsia="zh-CN" w:bidi="ar-SA"/>
                    </w:rPr>
                  </w:pPr>
                  <w:r>
                    <w:rPr>
                      <w:rFonts w:hint="eastAsia" w:cs="Times New Roman"/>
                      <w:color w:val="auto"/>
                      <w:kern w:val="2"/>
                      <w:sz w:val="21"/>
                      <w:szCs w:val="21"/>
                      <w:highlight w:val="none"/>
                      <w:u w:val="none" w:color="auto"/>
                      <w:vertAlign w:val="baseline"/>
                      <w:lang w:val="en-US" w:eastAsia="zh-CN" w:bidi="ar-SA"/>
                    </w:rPr>
                    <w:t>油炸锅</w:t>
                  </w:r>
                </w:p>
              </w:tc>
              <w:tc>
                <w:tcPr>
                  <w:tcW w:w="1000" w:type="dxa"/>
                  <w:tcBorders>
                    <w:tl2br w:val="nil"/>
                    <w:tr2bl w:val="nil"/>
                  </w:tcBorders>
                  <w:vAlign w:val="center"/>
                </w:tcPr>
                <w:p w14:paraId="53A6D9E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2"/>
                      <w:sz w:val="21"/>
                      <w:szCs w:val="21"/>
                      <w:highlight w:val="none"/>
                      <w:u w:val="none" w:color="auto"/>
                      <w:vertAlign w:val="baseline"/>
                      <w:lang w:val="en-US" w:eastAsia="zh-CN" w:bidi="ar-SA"/>
                    </w:rPr>
                  </w:pPr>
                  <w:r>
                    <w:rPr>
                      <w:rFonts w:hint="eastAsia" w:cs="Times New Roman"/>
                      <w:color w:val="auto"/>
                      <w:kern w:val="2"/>
                      <w:sz w:val="21"/>
                      <w:szCs w:val="21"/>
                      <w:highlight w:val="none"/>
                      <w:u w:val="none" w:color="auto"/>
                      <w:vertAlign w:val="baseline"/>
                      <w:lang w:val="en-US" w:eastAsia="zh-CN" w:bidi="ar-SA"/>
                    </w:rPr>
                    <w:t>2.5</w:t>
                  </w:r>
                </w:p>
              </w:tc>
              <w:tc>
                <w:tcPr>
                  <w:tcW w:w="1001" w:type="dxa"/>
                  <w:tcBorders>
                    <w:tl2br w:val="nil"/>
                    <w:tr2bl w:val="nil"/>
                  </w:tcBorders>
                  <w:vAlign w:val="center"/>
                </w:tcPr>
                <w:p w14:paraId="0637644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2"/>
                      <w:sz w:val="21"/>
                      <w:szCs w:val="21"/>
                      <w:highlight w:val="none"/>
                      <w:u w:val="none" w:color="auto"/>
                      <w:vertAlign w:val="baseline"/>
                      <w:lang w:val="en-US" w:eastAsia="zh-CN" w:bidi="ar-SA"/>
                    </w:rPr>
                  </w:pPr>
                  <w:r>
                    <w:rPr>
                      <w:rFonts w:hint="eastAsia" w:cs="Times New Roman"/>
                      <w:color w:val="auto"/>
                      <w:kern w:val="2"/>
                      <w:sz w:val="21"/>
                      <w:szCs w:val="21"/>
                      <w:highlight w:val="none"/>
                      <w:u w:val="none" w:color="auto"/>
                      <w:vertAlign w:val="baseline"/>
                      <w:lang w:val="en-US" w:eastAsia="zh-CN" w:bidi="ar-SA"/>
                    </w:rPr>
                    <w:t>1.8</w:t>
                  </w:r>
                </w:p>
              </w:tc>
              <w:tc>
                <w:tcPr>
                  <w:tcW w:w="1001" w:type="dxa"/>
                  <w:tcBorders>
                    <w:tl2br w:val="nil"/>
                    <w:tr2bl w:val="nil"/>
                  </w:tcBorders>
                  <w:vAlign w:val="center"/>
                </w:tcPr>
                <w:p w14:paraId="035C94C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2"/>
                      <w:sz w:val="21"/>
                      <w:szCs w:val="21"/>
                      <w:highlight w:val="none"/>
                      <w:u w:val="none" w:color="auto"/>
                      <w:vertAlign w:val="baseline"/>
                      <w:lang w:val="en-US" w:eastAsia="zh-CN" w:bidi="ar-SA"/>
                    </w:rPr>
                  </w:pPr>
                  <w:r>
                    <w:rPr>
                      <w:rFonts w:hint="eastAsia" w:cs="Times New Roman"/>
                      <w:color w:val="auto"/>
                      <w:kern w:val="2"/>
                      <w:sz w:val="21"/>
                      <w:szCs w:val="21"/>
                      <w:highlight w:val="none"/>
                      <w:u w:val="none" w:color="auto"/>
                      <w:vertAlign w:val="baseline"/>
                      <w:lang w:val="en-US" w:eastAsia="zh-CN" w:bidi="ar-SA"/>
                    </w:rPr>
                    <w:t>0.5</w:t>
                  </w:r>
                </w:p>
              </w:tc>
              <w:tc>
                <w:tcPr>
                  <w:tcW w:w="1001" w:type="dxa"/>
                  <w:tcBorders>
                    <w:tl2br w:val="nil"/>
                    <w:tr2bl w:val="nil"/>
                  </w:tcBorders>
                  <w:vAlign w:val="center"/>
                </w:tcPr>
                <w:p w14:paraId="11D229C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2"/>
                      <w:sz w:val="21"/>
                      <w:szCs w:val="21"/>
                      <w:highlight w:val="none"/>
                      <w:u w:val="none" w:color="auto"/>
                      <w:vertAlign w:val="baseline"/>
                      <w:lang w:val="en-US" w:eastAsia="zh-CN" w:bidi="ar-SA"/>
                    </w:rPr>
                  </w:pPr>
                  <w:r>
                    <w:rPr>
                      <w:rFonts w:hint="eastAsia" w:cs="Times New Roman"/>
                      <w:color w:val="auto"/>
                      <w:kern w:val="2"/>
                      <w:sz w:val="21"/>
                      <w:szCs w:val="21"/>
                      <w:highlight w:val="none"/>
                      <w:u w:val="none" w:color="auto"/>
                      <w:vertAlign w:val="baseline"/>
                      <w:lang w:val="en-US" w:eastAsia="zh-CN" w:bidi="ar-SA"/>
                    </w:rPr>
                    <w:t>0.8</w:t>
                  </w:r>
                </w:p>
              </w:tc>
              <w:tc>
                <w:tcPr>
                  <w:tcW w:w="1001" w:type="dxa"/>
                  <w:tcBorders>
                    <w:tl2br w:val="nil"/>
                    <w:tr2bl w:val="nil"/>
                  </w:tcBorders>
                  <w:vAlign w:val="center"/>
                </w:tcPr>
                <w:p w14:paraId="15ED355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2"/>
                      <w:sz w:val="21"/>
                      <w:szCs w:val="21"/>
                      <w:highlight w:val="none"/>
                      <w:u w:val="none" w:color="auto"/>
                      <w:vertAlign w:val="baseline"/>
                      <w:lang w:val="en-US" w:eastAsia="zh-CN" w:bidi="ar-SA"/>
                    </w:rPr>
                  </w:pPr>
                  <w:r>
                    <w:rPr>
                      <w:rFonts w:hint="eastAsia" w:cs="Times New Roman"/>
                      <w:color w:val="auto"/>
                      <w:kern w:val="2"/>
                      <w:sz w:val="21"/>
                      <w:szCs w:val="21"/>
                      <w:highlight w:val="none"/>
                      <w:u w:val="none" w:color="auto"/>
                      <w:vertAlign w:val="baseline"/>
                      <w:lang w:val="en-US" w:eastAsia="zh-CN" w:bidi="ar-SA"/>
                    </w:rPr>
                    <w:t>6192</w:t>
                  </w:r>
                </w:p>
              </w:tc>
              <w:tc>
                <w:tcPr>
                  <w:tcW w:w="1001" w:type="dxa"/>
                  <w:tcBorders>
                    <w:tl2br w:val="nil"/>
                    <w:tr2bl w:val="nil"/>
                  </w:tcBorders>
                  <w:vAlign w:val="center"/>
                </w:tcPr>
                <w:p w14:paraId="34524BA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2"/>
                      <w:sz w:val="21"/>
                      <w:szCs w:val="21"/>
                      <w:highlight w:val="none"/>
                      <w:u w:val="none" w:color="auto"/>
                      <w:vertAlign w:val="baseline"/>
                      <w:lang w:val="en-US" w:eastAsia="zh-CN" w:bidi="ar-SA"/>
                    </w:rPr>
                  </w:pPr>
                  <w:r>
                    <w:rPr>
                      <w:rFonts w:hint="eastAsia" w:cs="Times New Roman"/>
                      <w:color w:val="auto"/>
                      <w:kern w:val="2"/>
                      <w:sz w:val="21"/>
                      <w:szCs w:val="21"/>
                      <w:highlight w:val="none"/>
                      <w:u w:val="none" w:color="auto"/>
                      <w:vertAlign w:val="baseline"/>
                      <w:lang w:val="en-US" w:eastAsia="zh-CN" w:bidi="ar-SA"/>
                    </w:rPr>
                    <w:t>4</w:t>
                  </w:r>
                </w:p>
              </w:tc>
              <w:tc>
                <w:tcPr>
                  <w:tcW w:w="1001" w:type="dxa"/>
                  <w:tcBorders>
                    <w:tl2br w:val="nil"/>
                    <w:tr2bl w:val="nil"/>
                  </w:tcBorders>
                  <w:vAlign w:val="center"/>
                </w:tcPr>
                <w:p w14:paraId="6E80FE6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2"/>
                      <w:sz w:val="21"/>
                      <w:szCs w:val="21"/>
                      <w:highlight w:val="none"/>
                      <w:u w:val="none" w:color="auto"/>
                      <w:vertAlign w:val="baseline"/>
                      <w:lang w:val="en-US" w:eastAsia="zh-CN" w:bidi="ar-SA"/>
                    </w:rPr>
                  </w:pPr>
                  <w:r>
                    <w:rPr>
                      <w:rFonts w:hint="eastAsia" w:cs="Times New Roman"/>
                      <w:color w:val="auto"/>
                      <w:kern w:val="2"/>
                      <w:sz w:val="21"/>
                      <w:szCs w:val="21"/>
                      <w:highlight w:val="none"/>
                      <w:u w:val="none" w:color="auto"/>
                      <w:vertAlign w:val="baseline"/>
                      <w:lang w:val="en-US" w:eastAsia="zh-CN" w:bidi="ar-SA"/>
                    </w:rPr>
                    <w:t>24768</w:t>
                  </w:r>
                </w:p>
              </w:tc>
            </w:tr>
          </w:tbl>
          <w:p w14:paraId="114EC4AF">
            <w:pPr>
              <w:spacing w:line="360" w:lineRule="auto"/>
              <w:ind w:firstLine="480" w:firstLineChars="0"/>
              <w:rPr>
                <w:rFonts w:hint="default" w:cs="Times New Roman"/>
                <w:color w:val="auto"/>
                <w:kern w:val="2"/>
                <w:sz w:val="24"/>
                <w:szCs w:val="24"/>
                <w:highlight w:val="none"/>
                <w:u w:val="none" w:color="auto"/>
                <w:lang w:val="en-US" w:eastAsia="zh-CN" w:bidi="ar-SA"/>
              </w:rPr>
            </w:pPr>
            <w:r>
              <w:rPr>
                <w:rFonts w:hint="eastAsia" w:cs="Times New Roman"/>
                <w:color w:val="auto"/>
                <w:kern w:val="2"/>
                <w:sz w:val="24"/>
                <w:szCs w:val="24"/>
                <w:highlight w:val="none"/>
                <w:u w:val="none" w:color="auto"/>
                <w:lang w:val="en-US" w:eastAsia="zh-CN" w:bidi="ar-SA"/>
              </w:rPr>
              <w:t>本项目拟设置一套风量为25000m</w:t>
            </w:r>
            <w:r>
              <w:rPr>
                <w:rFonts w:hint="eastAsia" w:cs="Times New Roman"/>
                <w:color w:val="auto"/>
                <w:kern w:val="2"/>
                <w:sz w:val="24"/>
                <w:szCs w:val="24"/>
                <w:highlight w:val="none"/>
                <w:u w:val="none" w:color="auto"/>
                <w:vertAlign w:val="superscript"/>
                <w:lang w:val="en-US" w:eastAsia="zh-CN" w:bidi="ar-SA"/>
              </w:rPr>
              <w:t>3</w:t>
            </w:r>
            <w:r>
              <w:rPr>
                <w:rFonts w:hint="eastAsia" w:cs="Times New Roman"/>
                <w:color w:val="auto"/>
                <w:kern w:val="2"/>
                <w:sz w:val="24"/>
                <w:szCs w:val="24"/>
                <w:highlight w:val="none"/>
                <w:u w:val="none" w:color="auto"/>
                <w:lang w:val="en-US" w:eastAsia="zh-CN" w:bidi="ar-SA"/>
              </w:rPr>
              <w:t>/h的风机，集气罩收集效率参照《主要污染物总量减排核算技术指南(2022年修订)》，取50%，则本项目油烟产排情况如下。</w:t>
            </w:r>
          </w:p>
          <w:p w14:paraId="340298A8">
            <w:pPr>
              <w:spacing w:line="360" w:lineRule="auto"/>
              <w:ind w:firstLine="480" w:firstLineChars="0"/>
              <w:jc w:val="center"/>
              <w:rPr>
                <w:rFonts w:hint="eastAsia" w:cs="Times New Roman"/>
                <w:b/>
                <w:bCs/>
                <w:color w:val="auto"/>
                <w:kern w:val="2"/>
                <w:sz w:val="21"/>
                <w:szCs w:val="21"/>
                <w:highlight w:val="none"/>
                <w:u w:val="none" w:color="auto"/>
                <w:lang w:val="en-US" w:eastAsia="zh-CN" w:bidi="ar-SA"/>
              </w:rPr>
            </w:pPr>
            <w:r>
              <w:rPr>
                <w:rFonts w:hint="eastAsia" w:cs="Times New Roman"/>
                <w:b/>
                <w:bCs/>
                <w:color w:val="auto"/>
                <w:kern w:val="2"/>
                <w:sz w:val="21"/>
                <w:szCs w:val="21"/>
                <w:highlight w:val="none"/>
                <w:u w:val="none" w:color="auto"/>
                <w:lang w:val="en-US" w:eastAsia="zh-CN" w:bidi="ar-SA"/>
              </w:rPr>
              <w:t>表4-4 油烟产排情况</w:t>
            </w:r>
          </w:p>
          <w:tbl>
            <w:tblPr>
              <w:tblStyle w:val="43"/>
              <w:tblW w:w="8006"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7"/>
              <w:gridCol w:w="727"/>
              <w:gridCol w:w="728"/>
              <w:gridCol w:w="728"/>
              <w:gridCol w:w="728"/>
              <w:gridCol w:w="728"/>
              <w:gridCol w:w="728"/>
              <w:gridCol w:w="728"/>
              <w:gridCol w:w="728"/>
              <w:gridCol w:w="728"/>
              <w:gridCol w:w="728"/>
            </w:tblGrid>
            <w:tr w14:paraId="2CB20A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27" w:type="dxa"/>
                  <w:vMerge w:val="restart"/>
                  <w:tcBorders>
                    <w:tl2br w:val="nil"/>
                    <w:tr2bl w:val="nil"/>
                  </w:tcBorders>
                  <w:vAlign w:val="center"/>
                </w:tcPr>
                <w:p w14:paraId="76E7BB0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kern w:val="2"/>
                      <w:sz w:val="21"/>
                      <w:szCs w:val="21"/>
                      <w:highlight w:val="none"/>
                      <w:u w:val="none" w:color="auto"/>
                      <w:vertAlign w:val="baseline"/>
                      <w:lang w:val="en-US" w:eastAsia="zh-CN" w:bidi="ar-SA"/>
                    </w:rPr>
                  </w:pPr>
                  <w:r>
                    <w:rPr>
                      <w:rFonts w:hint="eastAsia" w:cs="Times New Roman"/>
                      <w:color w:val="auto"/>
                      <w:kern w:val="2"/>
                      <w:sz w:val="21"/>
                      <w:szCs w:val="21"/>
                      <w:highlight w:val="none"/>
                      <w:u w:val="none" w:color="auto"/>
                      <w:vertAlign w:val="baseline"/>
                      <w:lang w:val="en-US" w:eastAsia="zh-CN" w:bidi="ar-SA"/>
                    </w:rPr>
                    <w:t>污染物</w:t>
                  </w:r>
                </w:p>
              </w:tc>
              <w:tc>
                <w:tcPr>
                  <w:tcW w:w="727" w:type="dxa"/>
                  <w:vMerge w:val="restart"/>
                  <w:tcBorders>
                    <w:tl2br w:val="nil"/>
                    <w:tr2bl w:val="nil"/>
                  </w:tcBorders>
                  <w:vAlign w:val="center"/>
                </w:tcPr>
                <w:p w14:paraId="7AC75DA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kern w:val="2"/>
                      <w:sz w:val="21"/>
                      <w:szCs w:val="21"/>
                      <w:highlight w:val="none"/>
                      <w:u w:val="none" w:color="auto"/>
                      <w:vertAlign w:val="baseline"/>
                      <w:lang w:val="en-US" w:eastAsia="zh-CN" w:bidi="ar-SA"/>
                    </w:rPr>
                  </w:pPr>
                  <w:r>
                    <w:rPr>
                      <w:rFonts w:hint="eastAsia" w:cs="Times New Roman"/>
                      <w:color w:val="auto"/>
                      <w:kern w:val="2"/>
                      <w:sz w:val="21"/>
                      <w:szCs w:val="21"/>
                      <w:highlight w:val="none"/>
                      <w:u w:val="none" w:color="auto"/>
                      <w:vertAlign w:val="baseline"/>
                      <w:lang w:val="en-US" w:eastAsia="zh-CN" w:bidi="ar-SA"/>
                    </w:rPr>
                    <w:t>产生量（t/a）</w:t>
                  </w:r>
                </w:p>
              </w:tc>
              <w:tc>
                <w:tcPr>
                  <w:tcW w:w="5096" w:type="dxa"/>
                  <w:gridSpan w:val="7"/>
                  <w:tcBorders>
                    <w:tl2br w:val="nil"/>
                    <w:tr2bl w:val="nil"/>
                  </w:tcBorders>
                  <w:vAlign w:val="center"/>
                </w:tcPr>
                <w:p w14:paraId="2253CE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kern w:val="2"/>
                      <w:sz w:val="21"/>
                      <w:szCs w:val="21"/>
                      <w:highlight w:val="none"/>
                      <w:u w:val="none" w:color="auto"/>
                      <w:vertAlign w:val="baseline"/>
                      <w:lang w:val="en-US" w:eastAsia="zh-CN" w:bidi="ar-SA"/>
                    </w:rPr>
                  </w:pPr>
                  <w:r>
                    <w:rPr>
                      <w:rFonts w:hint="eastAsia" w:cs="Times New Roman"/>
                      <w:color w:val="auto"/>
                      <w:kern w:val="2"/>
                      <w:sz w:val="21"/>
                      <w:szCs w:val="21"/>
                      <w:highlight w:val="none"/>
                      <w:u w:val="none" w:color="auto"/>
                      <w:vertAlign w:val="baseline"/>
                      <w:lang w:val="en-US" w:eastAsia="zh-CN" w:bidi="ar-SA"/>
                    </w:rPr>
                    <w:t>有组织排放（50%）</w:t>
                  </w:r>
                </w:p>
              </w:tc>
              <w:tc>
                <w:tcPr>
                  <w:tcW w:w="1456" w:type="dxa"/>
                  <w:gridSpan w:val="2"/>
                  <w:tcBorders>
                    <w:tl2br w:val="nil"/>
                    <w:tr2bl w:val="nil"/>
                  </w:tcBorders>
                  <w:vAlign w:val="center"/>
                </w:tcPr>
                <w:p w14:paraId="27F0555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kern w:val="2"/>
                      <w:sz w:val="21"/>
                      <w:szCs w:val="21"/>
                      <w:highlight w:val="none"/>
                      <w:u w:val="none" w:color="auto"/>
                      <w:vertAlign w:val="baseline"/>
                      <w:lang w:val="en-US" w:eastAsia="zh-CN" w:bidi="ar-SA"/>
                    </w:rPr>
                  </w:pPr>
                  <w:r>
                    <w:rPr>
                      <w:rFonts w:hint="eastAsia" w:cs="Times New Roman"/>
                      <w:color w:val="auto"/>
                      <w:kern w:val="2"/>
                      <w:sz w:val="21"/>
                      <w:szCs w:val="21"/>
                      <w:highlight w:val="none"/>
                      <w:u w:val="none" w:color="auto"/>
                      <w:vertAlign w:val="baseline"/>
                      <w:lang w:val="en-US" w:eastAsia="zh-CN" w:bidi="ar-SA"/>
                    </w:rPr>
                    <w:t>无组织排放（50%）</w:t>
                  </w:r>
                </w:p>
              </w:tc>
            </w:tr>
            <w:tr w14:paraId="61D906B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27" w:type="dxa"/>
                  <w:vMerge w:val="continue"/>
                  <w:tcBorders>
                    <w:tl2br w:val="nil"/>
                    <w:tr2bl w:val="nil"/>
                  </w:tcBorders>
                  <w:vAlign w:val="center"/>
                </w:tcPr>
                <w:p w14:paraId="177DFF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kern w:val="2"/>
                      <w:sz w:val="21"/>
                      <w:szCs w:val="21"/>
                      <w:highlight w:val="none"/>
                      <w:u w:val="none" w:color="auto"/>
                      <w:vertAlign w:val="baseline"/>
                      <w:lang w:val="en-US" w:eastAsia="zh-CN" w:bidi="ar-SA"/>
                    </w:rPr>
                  </w:pPr>
                </w:p>
              </w:tc>
              <w:tc>
                <w:tcPr>
                  <w:tcW w:w="727" w:type="dxa"/>
                  <w:vMerge w:val="continue"/>
                  <w:tcBorders>
                    <w:tl2br w:val="nil"/>
                    <w:tr2bl w:val="nil"/>
                  </w:tcBorders>
                  <w:vAlign w:val="center"/>
                </w:tcPr>
                <w:p w14:paraId="7D40689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kern w:val="2"/>
                      <w:sz w:val="21"/>
                      <w:szCs w:val="21"/>
                      <w:highlight w:val="none"/>
                      <w:u w:val="none" w:color="auto"/>
                      <w:vertAlign w:val="baseline"/>
                      <w:lang w:val="en-US" w:eastAsia="zh-CN" w:bidi="ar-SA"/>
                    </w:rPr>
                  </w:pPr>
                </w:p>
              </w:tc>
              <w:tc>
                <w:tcPr>
                  <w:tcW w:w="728" w:type="dxa"/>
                  <w:tcBorders>
                    <w:tl2br w:val="nil"/>
                    <w:tr2bl w:val="nil"/>
                  </w:tcBorders>
                  <w:vAlign w:val="center"/>
                </w:tcPr>
                <w:p w14:paraId="3A1A612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kern w:val="2"/>
                      <w:sz w:val="21"/>
                      <w:szCs w:val="21"/>
                      <w:highlight w:val="none"/>
                      <w:u w:val="none" w:color="auto"/>
                      <w:vertAlign w:val="baseline"/>
                      <w:lang w:val="en-US" w:eastAsia="zh-CN" w:bidi="ar-SA"/>
                    </w:rPr>
                  </w:pPr>
                  <w:r>
                    <w:rPr>
                      <w:rFonts w:hint="eastAsia" w:cs="Times New Roman"/>
                      <w:color w:val="auto"/>
                      <w:kern w:val="2"/>
                      <w:sz w:val="21"/>
                      <w:szCs w:val="21"/>
                      <w:highlight w:val="none"/>
                      <w:u w:val="none" w:color="auto"/>
                      <w:vertAlign w:val="baseline"/>
                      <w:lang w:val="en-US" w:eastAsia="zh-CN" w:bidi="ar-SA"/>
                    </w:rPr>
                    <w:t>产生量（t/a）</w:t>
                  </w:r>
                </w:p>
              </w:tc>
              <w:tc>
                <w:tcPr>
                  <w:tcW w:w="728" w:type="dxa"/>
                  <w:tcBorders>
                    <w:tl2br w:val="nil"/>
                    <w:tr2bl w:val="nil"/>
                  </w:tcBorders>
                  <w:vAlign w:val="center"/>
                </w:tcPr>
                <w:p w14:paraId="11F7F4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kern w:val="2"/>
                      <w:sz w:val="21"/>
                      <w:szCs w:val="21"/>
                      <w:highlight w:val="none"/>
                      <w:u w:val="none" w:color="auto"/>
                      <w:vertAlign w:val="baseline"/>
                      <w:lang w:val="en-US" w:eastAsia="zh-CN" w:bidi="ar-SA"/>
                    </w:rPr>
                  </w:pPr>
                  <w:r>
                    <w:rPr>
                      <w:rFonts w:hint="eastAsia" w:cs="Times New Roman"/>
                      <w:color w:val="auto"/>
                      <w:kern w:val="2"/>
                      <w:sz w:val="21"/>
                      <w:szCs w:val="21"/>
                      <w:highlight w:val="none"/>
                      <w:u w:val="none" w:color="auto"/>
                      <w:vertAlign w:val="baseline"/>
                      <w:lang w:val="en-US" w:eastAsia="zh-CN" w:bidi="ar-SA"/>
                    </w:rPr>
                    <w:t>产生速率（kg/h）</w:t>
                  </w:r>
                </w:p>
              </w:tc>
              <w:tc>
                <w:tcPr>
                  <w:tcW w:w="728" w:type="dxa"/>
                  <w:tcBorders>
                    <w:tl2br w:val="nil"/>
                    <w:tr2bl w:val="nil"/>
                  </w:tcBorders>
                  <w:vAlign w:val="center"/>
                </w:tcPr>
                <w:p w14:paraId="0CF733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kern w:val="2"/>
                      <w:sz w:val="21"/>
                      <w:szCs w:val="21"/>
                      <w:highlight w:val="none"/>
                      <w:u w:val="none" w:color="auto"/>
                      <w:vertAlign w:val="baseline"/>
                      <w:lang w:val="en-US" w:eastAsia="zh-CN" w:bidi="ar-SA"/>
                    </w:rPr>
                  </w:pPr>
                  <w:r>
                    <w:rPr>
                      <w:rFonts w:hint="eastAsia" w:cs="Times New Roman"/>
                      <w:color w:val="auto"/>
                      <w:kern w:val="2"/>
                      <w:sz w:val="21"/>
                      <w:szCs w:val="21"/>
                      <w:highlight w:val="none"/>
                      <w:u w:val="none" w:color="auto"/>
                      <w:vertAlign w:val="baseline"/>
                      <w:lang w:val="en-US" w:eastAsia="zh-CN" w:bidi="ar-SA"/>
                    </w:rPr>
                    <w:t>产生浓度（mg/m</w:t>
                  </w:r>
                  <w:r>
                    <w:rPr>
                      <w:rFonts w:hint="eastAsia" w:cs="Times New Roman"/>
                      <w:color w:val="auto"/>
                      <w:kern w:val="2"/>
                      <w:sz w:val="21"/>
                      <w:szCs w:val="21"/>
                      <w:highlight w:val="none"/>
                      <w:u w:val="none" w:color="auto"/>
                      <w:vertAlign w:val="superscript"/>
                      <w:lang w:val="en-US" w:eastAsia="zh-CN" w:bidi="ar-SA"/>
                    </w:rPr>
                    <w:t>3</w:t>
                  </w:r>
                  <w:r>
                    <w:rPr>
                      <w:rFonts w:hint="eastAsia" w:cs="Times New Roman"/>
                      <w:color w:val="auto"/>
                      <w:kern w:val="2"/>
                      <w:sz w:val="21"/>
                      <w:szCs w:val="21"/>
                      <w:highlight w:val="none"/>
                      <w:u w:val="none" w:color="auto"/>
                      <w:vertAlign w:val="baseline"/>
                      <w:lang w:val="en-US" w:eastAsia="zh-CN" w:bidi="ar-SA"/>
                    </w:rPr>
                    <w:t>）</w:t>
                  </w:r>
                </w:p>
              </w:tc>
              <w:tc>
                <w:tcPr>
                  <w:tcW w:w="728" w:type="dxa"/>
                  <w:tcBorders>
                    <w:tl2br w:val="nil"/>
                    <w:tr2bl w:val="nil"/>
                  </w:tcBorders>
                  <w:vAlign w:val="center"/>
                </w:tcPr>
                <w:p w14:paraId="5CD656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kern w:val="2"/>
                      <w:sz w:val="21"/>
                      <w:szCs w:val="21"/>
                      <w:highlight w:val="none"/>
                      <w:u w:val="none" w:color="auto"/>
                      <w:vertAlign w:val="baseline"/>
                      <w:lang w:val="en-US" w:eastAsia="zh-CN" w:bidi="ar-SA"/>
                    </w:rPr>
                  </w:pPr>
                  <w:r>
                    <w:rPr>
                      <w:rFonts w:hint="eastAsia" w:cs="Times New Roman"/>
                      <w:color w:val="auto"/>
                      <w:kern w:val="2"/>
                      <w:sz w:val="21"/>
                      <w:szCs w:val="21"/>
                      <w:highlight w:val="none"/>
                      <w:u w:val="none" w:color="auto"/>
                      <w:vertAlign w:val="baseline"/>
                      <w:lang w:val="en-US" w:eastAsia="zh-CN" w:bidi="ar-SA"/>
                    </w:rPr>
                    <w:t>处理措施及效率</w:t>
                  </w:r>
                </w:p>
              </w:tc>
              <w:tc>
                <w:tcPr>
                  <w:tcW w:w="728" w:type="dxa"/>
                  <w:tcBorders>
                    <w:tl2br w:val="nil"/>
                    <w:tr2bl w:val="nil"/>
                  </w:tcBorders>
                  <w:vAlign w:val="center"/>
                </w:tcPr>
                <w:p w14:paraId="29DA25A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kern w:val="2"/>
                      <w:sz w:val="21"/>
                      <w:szCs w:val="21"/>
                      <w:highlight w:val="none"/>
                      <w:u w:val="none" w:color="auto"/>
                      <w:vertAlign w:val="baseline"/>
                      <w:lang w:val="en-US" w:eastAsia="zh-CN" w:bidi="ar-SA"/>
                    </w:rPr>
                  </w:pPr>
                  <w:r>
                    <w:rPr>
                      <w:rFonts w:hint="eastAsia" w:cs="Times New Roman"/>
                      <w:color w:val="auto"/>
                      <w:kern w:val="2"/>
                      <w:sz w:val="21"/>
                      <w:szCs w:val="21"/>
                      <w:highlight w:val="none"/>
                      <w:u w:val="none" w:color="auto"/>
                      <w:vertAlign w:val="baseline"/>
                      <w:lang w:val="en-US" w:eastAsia="zh-CN" w:bidi="ar-SA"/>
                    </w:rPr>
                    <w:t>排放量（t/a）</w:t>
                  </w:r>
                </w:p>
              </w:tc>
              <w:tc>
                <w:tcPr>
                  <w:tcW w:w="728" w:type="dxa"/>
                  <w:tcBorders>
                    <w:tl2br w:val="nil"/>
                    <w:tr2bl w:val="nil"/>
                  </w:tcBorders>
                  <w:vAlign w:val="center"/>
                </w:tcPr>
                <w:p w14:paraId="4EBCD9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2"/>
                      <w:sz w:val="21"/>
                      <w:szCs w:val="21"/>
                      <w:highlight w:val="none"/>
                      <w:u w:val="none" w:color="auto"/>
                      <w:vertAlign w:val="baseline"/>
                      <w:lang w:val="en-US" w:eastAsia="zh-CN" w:bidi="ar-SA"/>
                    </w:rPr>
                  </w:pPr>
                  <w:r>
                    <w:rPr>
                      <w:rFonts w:hint="eastAsia" w:cs="Times New Roman"/>
                      <w:color w:val="auto"/>
                      <w:kern w:val="2"/>
                      <w:sz w:val="21"/>
                      <w:szCs w:val="21"/>
                      <w:highlight w:val="none"/>
                      <w:u w:val="none" w:color="auto"/>
                      <w:vertAlign w:val="baseline"/>
                      <w:lang w:val="en-US" w:eastAsia="zh-CN" w:bidi="ar-SA"/>
                    </w:rPr>
                    <w:t>排放速率（kg/h）</w:t>
                  </w:r>
                </w:p>
              </w:tc>
              <w:tc>
                <w:tcPr>
                  <w:tcW w:w="728" w:type="dxa"/>
                  <w:tcBorders>
                    <w:tl2br w:val="nil"/>
                    <w:tr2bl w:val="nil"/>
                  </w:tcBorders>
                  <w:vAlign w:val="center"/>
                </w:tcPr>
                <w:p w14:paraId="117A49F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kern w:val="2"/>
                      <w:sz w:val="21"/>
                      <w:szCs w:val="21"/>
                      <w:highlight w:val="none"/>
                      <w:u w:val="none" w:color="auto"/>
                      <w:vertAlign w:val="baseline"/>
                      <w:lang w:val="en-US" w:eastAsia="zh-CN" w:bidi="ar-SA"/>
                    </w:rPr>
                  </w:pPr>
                  <w:r>
                    <w:rPr>
                      <w:rFonts w:hint="eastAsia" w:cs="Times New Roman"/>
                      <w:color w:val="auto"/>
                      <w:kern w:val="2"/>
                      <w:sz w:val="21"/>
                      <w:szCs w:val="21"/>
                      <w:highlight w:val="none"/>
                      <w:u w:val="none" w:color="auto"/>
                      <w:vertAlign w:val="baseline"/>
                      <w:lang w:val="en-US" w:eastAsia="zh-CN" w:bidi="ar-SA"/>
                    </w:rPr>
                    <w:t>排放浓度（mg/m</w:t>
                  </w:r>
                  <w:r>
                    <w:rPr>
                      <w:rFonts w:hint="eastAsia" w:cs="Times New Roman"/>
                      <w:color w:val="auto"/>
                      <w:kern w:val="2"/>
                      <w:sz w:val="21"/>
                      <w:szCs w:val="21"/>
                      <w:highlight w:val="none"/>
                      <w:u w:val="none" w:color="auto"/>
                      <w:vertAlign w:val="superscript"/>
                      <w:lang w:val="en-US" w:eastAsia="zh-CN" w:bidi="ar-SA"/>
                    </w:rPr>
                    <w:t>3</w:t>
                  </w:r>
                  <w:r>
                    <w:rPr>
                      <w:rFonts w:hint="eastAsia" w:cs="Times New Roman"/>
                      <w:color w:val="auto"/>
                      <w:kern w:val="2"/>
                      <w:sz w:val="21"/>
                      <w:szCs w:val="21"/>
                      <w:highlight w:val="none"/>
                      <w:u w:val="none" w:color="auto"/>
                      <w:vertAlign w:val="baseline"/>
                      <w:lang w:val="en-US" w:eastAsia="zh-CN" w:bidi="ar-SA"/>
                    </w:rPr>
                    <w:t>）</w:t>
                  </w:r>
                </w:p>
              </w:tc>
              <w:tc>
                <w:tcPr>
                  <w:tcW w:w="728" w:type="dxa"/>
                  <w:tcBorders>
                    <w:tl2br w:val="nil"/>
                    <w:tr2bl w:val="nil"/>
                  </w:tcBorders>
                  <w:shd w:val="clear" w:color="auto" w:fill="auto"/>
                  <w:vAlign w:val="center"/>
                </w:tcPr>
                <w:p w14:paraId="3354812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highlight w:val="none"/>
                      <w:u w:val="none" w:color="auto"/>
                      <w:vertAlign w:val="baseline"/>
                      <w:lang w:val="en-US" w:eastAsia="zh-CN" w:bidi="ar-SA"/>
                    </w:rPr>
                  </w:pPr>
                  <w:r>
                    <w:rPr>
                      <w:rFonts w:hint="eastAsia" w:cs="Times New Roman"/>
                      <w:color w:val="auto"/>
                      <w:kern w:val="2"/>
                      <w:sz w:val="21"/>
                      <w:szCs w:val="21"/>
                      <w:highlight w:val="none"/>
                      <w:u w:val="none" w:color="auto"/>
                      <w:vertAlign w:val="baseline"/>
                      <w:lang w:val="en-US" w:eastAsia="zh-CN" w:bidi="ar-SA"/>
                    </w:rPr>
                    <w:t>排放量（t/a）</w:t>
                  </w:r>
                </w:p>
              </w:tc>
              <w:tc>
                <w:tcPr>
                  <w:tcW w:w="728" w:type="dxa"/>
                  <w:tcBorders>
                    <w:tl2br w:val="nil"/>
                    <w:tr2bl w:val="nil"/>
                  </w:tcBorders>
                  <w:shd w:val="clear" w:color="auto" w:fill="auto"/>
                  <w:vAlign w:val="center"/>
                </w:tcPr>
                <w:p w14:paraId="6727E03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highlight w:val="none"/>
                      <w:u w:val="none" w:color="auto"/>
                      <w:vertAlign w:val="baseline"/>
                      <w:lang w:val="en-US" w:eastAsia="zh-CN" w:bidi="ar-SA"/>
                    </w:rPr>
                  </w:pPr>
                  <w:r>
                    <w:rPr>
                      <w:rFonts w:hint="eastAsia" w:cs="Times New Roman"/>
                      <w:color w:val="auto"/>
                      <w:kern w:val="2"/>
                      <w:sz w:val="21"/>
                      <w:szCs w:val="21"/>
                      <w:highlight w:val="none"/>
                      <w:u w:val="none" w:color="auto"/>
                      <w:vertAlign w:val="baseline"/>
                      <w:lang w:val="en-US" w:eastAsia="zh-CN" w:bidi="ar-SA"/>
                    </w:rPr>
                    <w:t>排放速率（kg/h）</w:t>
                  </w:r>
                </w:p>
              </w:tc>
            </w:tr>
            <w:tr w14:paraId="08D431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727" w:type="dxa"/>
                  <w:tcBorders>
                    <w:tl2br w:val="nil"/>
                    <w:tr2bl w:val="nil"/>
                  </w:tcBorders>
                  <w:vAlign w:val="center"/>
                </w:tcPr>
                <w:p w14:paraId="475D026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kern w:val="2"/>
                      <w:sz w:val="21"/>
                      <w:szCs w:val="21"/>
                      <w:highlight w:val="none"/>
                      <w:u w:val="none" w:color="auto"/>
                      <w:vertAlign w:val="baseline"/>
                      <w:lang w:val="en-US" w:eastAsia="zh-CN" w:bidi="ar-SA"/>
                    </w:rPr>
                  </w:pPr>
                  <w:r>
                    <w:rPr>
                      <w:rFonts w:hint="eastAsia" w:cs="Times New Roman"/>
                      <w:color w:val="auto"/>
                      <w:kern w:val="2"/>
                      <w:sz w:val="21"/>
                      <w:szCs w:val="21"/>
                      <w:highlight w:val="none"/>
                      <w:u w:val="none" w:color="auto"/>
                      <w:vertAlign w:val="baseline"/>
                      <w:lang w:val="en-US" w:eastAsia="zh-CN" w:bidi="ar-SA"/>
                    </w:rPr>
                    <w:t>油烟</w:t>
                  </w:r>
                </w:p>
              </w:tc>
              <w:tc>
                <w:tcPr>
                  <w:tcW w:w="727" w:type="dxa"/>
                  <w:tcBorders>
                    <w:tl2br w:val="nil"/>
                    <w:tr2bl w:val="nil"/>
                  </w:tcBorders>
                  <w:vAlign w:val="center"/>
                </w:tcPr>
                <w:p w14:paraId="7456FF8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2"/>
                      <w:sz w:val="21"/>
                      <w:szCs w:val="21"/>
                      <w:highlight w:val="none"/>
                      <w:u w:val="none" w:color="auto"/>
                      <w:vertAlign w:val="baseline"/>
                      <w:lang w:val="en-US" w:eastAsia="zh-CN" w:bidi="ar-SA"/>
                    </w:rPr>
                  </w:pPr>
                  <w:r>
                    <w:rPr>
                      <w:rFonts w:hint="eastAsia" w:cs="Times New Roman"/>
                      <w:color w:val="auto"/>
                      <w:kern w:val="2"/>
                      <w:sz w:val="21"/>
                      <w:szCs w:val="21"/>
                      <w:highlight w:val="none"/>
                      <w:u w:val="none" w:color="auto"/>
                      <w:vertAlign w:val="baseline"/>
                      <w:lang w:val="en-US" w:eastAsia="zh-CN" w:bidi="ar-SA"/>
                    </w:rPr>
                    <w:t>0.134</w:t>
                  </w:r>
                </w:p>
              </w:tc>
              <w:tc>
                <w:tcPr>
                  <w:tcW w:w="728" w:type="dxa"/>
                  <w:tcBorders>
                    <w:tl2br w:val="nil"/>
                    <w:tr2bl w:val="nil"/>
                  </w:tcBorders>
                  <w:vAlign w:val="center"/>
                </w:tcPr>
                <w:p w14:paraId="73E11D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2"/>
                      <w:sz w:val="21"/>
                      <w:szCs w:val="21"/>
                      <w:highlight w:val="none"/>
                      <w:u w:val="none" w:color="auto"/>
                      <w:vertAlign w:val="baseline"/>
                      <w:lang w:val="en-US" w:eastAsia="zh-CN" w:bidi="ar-SA"/>
                    </w:rPr>
                  </w:pPr>
                  <w:r>
                    <w:rPr>
                      <w:rFonts w:hint="eastAsia" w:cs="Times New Roman"/>
                      <w:color w:val="auto"/>
                      <w:kern w:val="2"/>
                      <w:sz w:val="21"/>
                      <w:szCs w:val="21"/>
                      <w:highlight w:val="none"/>
                      <w:u w:val="none" w:color="auto"/>
                      <w:vertAlign w:val="baseline"/>
                      <w:lang w:val="en-US" w:eastAsia="zh-CN" w:bidi="ar-SA"/>
                    </w:rPr>
                    <w:t>0.067</w:t>
                  </w:r>
                </w:p>
              </w:tc>
              <w:tc>
                <w:tcPr>
                  <w:tcW w:w="728" w:type="dxa"/>
                  <w:tcBorders>
                    <w:tl2br w:val="nil"/>
                    <w:tr2bl w:val="nil"/>
                  </w:tcBorders>
                  <w:vAlign w:val="center"/>
                </w:tcPr>
                <w:p w14:paraId="5E59E6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2"/>
                      <w:sz w:val="21"/>
                      <w:szCs w:val="21"/>
                      <w:highlight w:val="none"/>
                      <w:u w:val="none" w:color="auto"/>
                      <w:vertAlign w:val="baseline"/>
                      <w:lang w:val="en-US" w:eastAsia="zh-CN" w:bidi="ar-SA"/>
                    </w:rPr>
                  </w:pPr>
                  <w:r>
                    <w:rPr>
                      <w:rFonts w:hint="eastAsia" w:cs="Times New Roman"/>
                      <w:color w:val="auto"/>
                      <w:kern w:val="2"/>
                      <w:sz w:val="21"/>
                      <w:szCs w:val="21"/>
                      <w:highlight w:val="none"/>
                      <w:u w:val="none" w:color="auto"/>
                      <w:vertAlign w:val="baseline"/>
                      <w:lang w:val="en-US" w:eastAsia="zh-CN" w:bidi="ar-SA"/>
                    </w:rPr>
                    <w:t>0.048</w:t>
                  </w:r>
                </w:p>
              </w:tc>
              <w:tc>
                <w:tcPr>
                  <w:tcW w:w="728" w:type="dxa"/>
                  <w:tcBorders>
                    <w:tl2br w:val="nil"/>
                    <w:tr2bl w:val="nil"/>
                  </w:tcBorders>
                  <w:vAlign w:val="center"/>
                </w:tcPr>
                <w:p w14:paraId="33D7807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2"/>
                      <w:sz w:val="21"/>
                      <w:szCs w:val="21"/>
                      <w:highlight w:val="none"/>
                      <w:u w:val="none" w:color="auto"/>
                      <w:vertAlign w:val="baseline"/>
                      <w:lang w:val="en-US" w:eastAsia="zh-CN" w:bidi="ar-SA"/>
                    </w:rPr>
                  </w:pPr>
                  <w:r>
                    <w:rPr>
                      <w:rFonts w:hint="eastAsia" w:cs="Times New Roman"/>
                      <w:color w:val="auto"/>
                      <w:kern w:val="2"/>
                      <w:sz w:val="21"/>
                      <w:szCs w:val="21"/>
                      <w:highlight w:val="none"/>
                      <w:u w:val="none" w:color="auto"/>
                      <w:vertAlign w:val="baseline"/>
                      <w:lang w:val="en-US" w:eastAsia="zh-CN" w:bidi="ar-SA"/>
                    </w:rPr>
                    <w:t>1.92</w:t>
                  </w:r>
                </w:p>
              </w:tc>
              <w:tc>
                <w:tcPr>
                  <w:tcW w:w="728" w:type="dxa"/>
                  <w:tcBorders>
                    <w:tl2br w:val="nil"/>
                    <w:tr2bl w:val="nil"/>
                  </w:tcBorders>
                  <w:vAlign w:val="center"/>
                </w:tcPr>
                <w:p w14:paraId="453CA34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2"/>
                      <w:sz w:val="21"/>
                      <w:szCs w:val="21"/>
                      <w:highlight w:val="none"/>
                      <w:u w:val="none" w:color="auto"/>
                      <w:vertAlign w:val="baseline"/>
                      <w:lang w:val="en-US" w:eastAsia="zh-CN" w:bidi="ar-SA"/>
                    </w:rPr>
                  </w:pPr>
                  <w:r>
                    <w:rPr>
                      <w:rFonts w:hint="eastAsia" w:cs="Times New Roman"/>
                      <w:color w:val="auto"/>
                      <w:kern w:val="2"/>
                      <w:sz w:val="21"/>
                      <w:szCs w:val="21"/>
                      <w:highlight w:val="none"/>
                      <w:u w:val="none" w:color="auto"/>
                      <w:vertAlign w:val="baseline"/>
                      <w:lang w:val="en-US" w:eastAsia="zh-CN" w:bidi="ar-SA"/>
                    </w:rPr>
                    <w:t>90%</w:t>
                  </w:r>
                </w:p>
              </w:tc>
              <w:tc>
                <w:tcPr>
                  <w:tcW w:w="728" w:type="dxa"/>
                  <w:tcBorders>
                    <w:tl2br w:val="nil"/>
                    <w:tr2bl w:val="nil"/>
                  </w:tcBorders>
                  <w:vAlign w:val="center"/>
                </w:tcPr>
                <w:p w14:paraId="31FE8CA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2"/>
                      <w:sz w:val="21"/>
                      <w:szCs w:val="21"/>
                      <w:highlight w:val="none"/>
                      <w:u w:val="none" w:color="auto"/>
                      <w:vertAlign w:val="baseline"/>
                      <w:lang w:val="en-US" w:eastAsia="zh-CN" w:bidi="ar-SA"/>
                    </w:rPr>
                  </w:pPr>
                  <w:r>
                    <w:rPr>
                      <w:rFonts w:hint="eastAsia" w:cs="Times New Roman"/>
                      <w:color w:val="auto"/>
                      <w:kern w:val="2"/>
                      <w:sz w:val="21"/>
                      <w:szCs w:val="21"/>
                      <w:highlight w:val="none"/>
                      <w:u w:val="none" w:color="auto"/>
                      <w:vertAlign w:val="baseline"/>
                      <w:lang w:val="en-US" w:eastAsia="zh-CN" w:bidi="ar-SA"/>
                    </w:rPr>
                    <w:t>0.0067</w:t>
                  </w:r>
                </w:p>
              </w:tc>
              <w:tc>
                <w:tcPr>
                  <w:tcW w:w="728" w:type="dxa"/>
                  <w:tcBorders>
                    <w:tl2br w:val="nil"/>
                    <w:tr2bl w:val="nil"/>
                  </w:tcBorders>
                  <w:vAlign w:val="center"/>
                </w:tcPr>
                <w:p w14:paraId="7BDAD1B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2"/>
                      <w:sz w:val="21"/>
                      <w:szCs w:val="21"/>
                      <w:highlight w:val="none"/>
                      <w:u w:val="none" w:color="auto"/>
                      <w:vertAlign w:val="baseline"/>
                      <w:lang w:val="en-US" w:eastAsia="zh-CN" w:bidi="ar-SA"/>
                    </w:rPr>
                  </w:pPr>
                  <w:r>
                    <w:rPr>
                      <w:rFonts w:hint="eastAsia" w:cs="Times New Roman"/>
                      <w:color w:val="auto"/>
                      <w:kern w:val="2"/>
                      <w:sz w:val="21"/>
                      <w:szCs w:val="21"/>
                      <w:highlight w:val="none"/>
                      <w:u w:val="none" w:color="auto"/>
                      <w:vertAlign w:val="baseline"/>
                      <w:lang w:val="en-US" w:eastAsia="zh-CN" w:bidi="ar-SA"/>
                    </w:rPr>
                    <w:t>0.0048</w:t>
                  </w:r>
                </w:p>
              </w:tc>
              <w:tc>
                <w:tcPr>
                  <w:tcW w:w="728" w:type="dxa"/>
                  <w:tcBorders>
                    <w:tl2br w:val="nil"/>
                    <w:tr2bl w:val="nil"/>
                  </w:tcBorders>
                  <w:vAlign w:val="center"/>
                </w:tcPr>
                <w:p w14:paraId="6433A0E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2"/>
                      <w:sz w:val="21"/>
                      <w:szCs w:val="21"/>
                      <w:highlight w:val="none"/>
                      <w:u w:val="none" w:color="auto"/>
                      <w:vertAlign w:val="baseline"/>
                      <w:lang w:val="en-US" w:eastAsia="zh-CN" w:bidi="ar-SA"/>
                    </w:rPr>
                  </w:pPr>
                  <w:r>
                    <w:rPr>
                      <w:rFonts w:hint="eastAsia" w:cs="Times New Roman"/>
                      <w:color w:val="auto"/>
                      <w:kern w:val="2"/>
                      <w:sz w:val="21"/>
                      <w:szCs w:val="21"/>
                      <w:highlight w:val="none"/>
                      <w:u w:val="none" w:color="auto"/>
                      <w:vertAlign w:val="baseline"/>
                      <w:lang w:val="en-US" w:eastAsia="zh-CN" w:bidi="ar-SA"/>
                    </w:rPr>
                    <w:t>0.192</w:t>
                  </w:r>
                </w:p>
              </w:tc>
              <w:tc>
                <w:tcPr>
                  <w:tcW w:w="728" w:type="dxa"/>
                  <w:tcBorders>
                    <w:tl2br w:val="nil"/>
                    <w:tr2bl w:val="nil"/>
                  </w:tcBorders>
                  <w:vAlign w:val="center"/>
                </w:tcPr>
                <w:p w14:paraId="1EF3DAB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2"/>
                      <w:sz w:val="21"/>
                      <w:szCs w:val="21"/>
                      <w:highlight w:val="none"/>
                      <w:u w:val="none" w:color="auto"/>
                      <w:vertAlign w:val="baseline"/>
                      <w:lang w:val="en-US" w:eastAsia="zh-CN" w:bidi="ar-SA"/>
                    </w:rPr>
                  </w:pPr>
                  <w:r>
                    <w:rPr>
                      <w:rFonts w:hint="eastAsia" w:cs="Times New Roman"/>
                      <w:color w:val="auto"/>
                      <w:kern w:val="2"/>
                      <w:sz w:val="21"/>
                      <w:szCs w:val="21"/>
                      <w:highlight w:val="none"/>
                      <w:u w:val="none" w:color="auto"/>
                      <w:vertAlign w:val="baseline"/>
                      <w:lang w:val="en-US" w:eastAsia="zh-CN" w:bidi="ar-SA"/>
                    </w:rPr>
                    <w:t>0.067</w:t>
                  </w:r>
                </w:p>
              </w:tc>
              <w:tc>
                <w:tcPr>
                  <w:tcW w:w="728" w:type="dxa"/>
                  <w:tcBorders>
                    <w:tl2br w:val="nil"/>
                    <w:tr2bl w:val="nil"/>
                  </w:tcBorders>
                  <w:vAlign w:val="center"/>
                </w:tcPr>
                <w:p w14:paraId="50F9F26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kern w:val="2"/>
                      <w:sz w:val="21"/>
                      <w:szCs w:val="21"/>
                      <w:highlight w:val="none"/>
                      <w:u w:val="none" w:color="auto"/>
                      <w:vertAlign w:val="baseline"/>
                      <w:lang w:val="en-US" w:eastAsia="zh-CN" w:bidi="ar-SA"/>
                    </w:rPr>
                  </w:pPr>
                  <w:r>
                    <w:rPr>
                      <w:rFonts w:hint="eastAsia" w:cs="Times New Roman"/>
                      <w:color w:val="auto"/>
                      <w:kern w:val="2"/>
                      <w:sz w:val="21"/>
                      <w:szCs w:val="21"/>
                      <w:highlight w:val="none"/>
                      <w:u w:val="none" w:color="auto"/>
                      <w:vertAlign w:val="baseline"/>
                      <w:lang w:val="en-US" w:eastAsia="zh-CN" w:bidi="ar-SA"/>
                    </w:rPr>
                    <w:t>0.048</w:t>
                  </w:r>
                </w:p>
              </w:tc>
            </w:tr>
          </w:tbl>
          <w:p w14:paraId="2365F571">
            <w:pPr>
              <w:spacing w:line="360" w:lineRule="auto"/>
              <w:ind w:firstLine="480" w:firstLineChars="0"/>
              <w:rPr>
                <w:rFonts w:hint="eastAsia" w:cs="Times New Roman"/>
                <w:color w:val="auto"/>
                <w:kern w:val="2"/>
                <w:sz w:val="24"/>
                <w:szCs w:val="24"/>
                <w:highlight w:val="none"/>
                <w:u w:val="none" w:color="auto"/>
                <w:lang w:val="en-US" w:eastAsia="zh-CN" w:bidi="ar-SA"/>
              </w:rPr>
            </w:pPr>
            <w:r>
              <w:rPr>
                <w:rFonts w:hint="eastAsia" w:cs="Times New Roman"/>
                <w:color w:val="auto"/>
                <w:kern w:val="2"/>
                <w:sz w:val="24"/>
                <w:szCs w:val="24"/>
                <w:highlight w:val="none"/>
                <w:u w:val="none" w:color="auto"/>
                <w:lang w:val="en-US" w:eastAsia="zh-CN" w:bidi="ar-SA"/>
              </w:rPr>
              <w:t>（3）投料粉尘</w:t>
            </w:r>
          </w:p>
          <w:p w14:paraId="15D31B58">
            <w:pPr>
              <w:spacing w:line="360" w:lineRule="auto"/>
              <w:ind w:firstLine="480" w:firstLineChars="0"/>
              <w:rPr>
                <w:rFonts w:hint="default" w:cs="Times New Roman"/>
                <w:color w:val="auto"/>
                <w:kern w:val="2"/>
                <w:sz w:val="24"/>
                <w:szCs w:val="24"/>
                <w:highlight w:val="none"/>
                <w:u w:val="none" w:color="auto"/>
                <w:lang w:val="en-US" w:eastAsia="zh-CN" w:bidi="ar-SA"/>
              </w:rPr>
            </w:pPr>
            <w:r>
              <w:rPr>
                <w:rFonts w:hint="eastAsia" w:cs="Times New Roman"/>
                <w:color w:val="auto"/>
                <w:kern w:val="2"/>
                <w:sz w:val="24"/>
                <w:szCs w:val="24"/>
                <w:highlight w:val="none"/>
                <w:u w:val="none" w:color="auto"/>
                <w:lang w:val="en-US" w:eastAsia="zh-CN" w:bidi="ar-SA"/>
              </w:rPr>
              <w:t>本项目肉制品生产使用的原辅材料部分为粉料，在投料过程中会产生一定的粉尘，参照《环境影响评价实用技术指南》(李爱贞、周兆驹、林国栋等编著，机械工业出版社，2008.4)无组织排放源强的确定中的估算法“按原料年用量或产品年产量的0.1‰-0.41‰计算”，本项目按照原料年用量的0.25‰进行计算。本项目粉料主要是年用胡椒粉4t，木薯淀粉87t，玉米淀粉45t，则投料粉尘产生量为0.03t/a，投料按每天工作2h计，年工作280天，则粉尘产生速率为0.05kg/h。产生的粉尘无组织排放。</w:t>
            </w:r>
          </w:p>
          <w:p w14:paraId="09481C83">
            <w:pPr>
              <w:spacing w:line="360" w:lineRule="auto"/>
              <w:ind w:firstLine="480" w:firstLineChars="0"/>
              <w:rPr>
                <w:rFonts w:hint="eastAsia" w:cs="Times New Roman"/>
                <w:color w:val="auto"/>
                <w:kern w:val="2"/>
                <w:sz w:val="24"/>
                <w:szCs w:val="24"/>
                <w:highlight w:val="none"/>
                <w:u w:val="none" w:color="auto"/>
                <w:lang w:val="en-US" w:eastAsia="zh-CN" w:bidi="ar-SA"/>
              </w:rPr>
            </w:pPr>
            <w:r>
              <w:rPr>
                <w:rFonts w:hint="eastAsia" w:cs="Times New Roman"/>
                <w:color w:val="auto"/>
                <w:kern w:val="2"/>
                <w:sz w:val="24"/>
                <w:szCs w:val="24"/>
                <w:highlight w:val="none"/>
                <w:u w:val="none" w:color="auto"/>
                <w:lang w:val="en-US" w:eastAsia="zh-CN" w:bidi="ar-SA"/>
              </w:rPr>
              <w:t>（4）车间异味</w:t>
            </w:r>
          </w:p>
          <w:p w14:paraId="200016DB">
            <w:pPr>
              <w:spacing w:line="360" w:lineRule="auto"/>
              <w:ind w:firstLine="480" w:firstLineChars="0"/>
              <w:rPr>
                <w:rFonts w:hint="eastAsia" w:cs="Times New Roman"/>
                <w:color w:val="auto"/>
                <w:kern w:val="2"/>
                <w:sz w:val="24"/>
                <w:szCs w:val="24"/>
                <w:highlight w:val="none"/>
                <w:u w:val="none" w:color="auto"/>
                <w:lang w:val="en-US" w:eastAsia="zh-CN" w:bidi="ar-SA"/>
              </w:rPr>
            </w:pPr>
            <w:r>
              <w:rPr>
                <w:rFonts w:hint="eastAsia" w:cs="Times New Roman"/>
                <w:color w:val="auto"/>
                <w:kern w:val="2"/>
                <w:sz w:val="24"/>
                <w:szCs w:val="24"/>
                <w:highlight w:val="none"/>
                <w:u w:val="none" w:color="auto"/>
                <w:lang w:val="en-US" w:eastAsia="zh-CN" w:bidi="ar-SA"/>
              </w:rPr>
              <w:t>本项目对食品进行加工的过程中会产生少量的食品加工气味，食物气味统一按臭气浓度进行定性描述。散发的异味浓度因原料、生产规模、操作工艺等而有较大差异，难以定量确定，因此本项目进行定性分析。本项目运营期需严格遵守食品安全与卫生管理制度，通过生产车间的排气系统加强车间内气味的扩散。通过加强车间通风换气，生产过程中食品加工气味排放可达到《恶臭污染物排放标准》（GB14554-93）新扩改建厂界二级标准值（臭气浓度≤20），对周围环境影响不大。</w:t>
            </w:r>
          </w:p>
          <w:p w14:paraId="550C1A73">
            <w:pPr>
              <w:spacing w:line="360" w:lineRule="auto"/>
              <w:ind w:firstLine="480" w:firstLineChars="0"/>
              <w:rPr>
                <w:rFonts w:hint="eastAsia" w:cs="Times New Roman"/>
                <w:color w:val="auto"/>
                <w:kern w:val="2"/>
                <w:sz w:val="24"/>
                <w:szCs w:val="24"/>
                <w:highlight w:val="none"/>
                <w:u w:val="none" w:color="auto"/>
                <w:lang w:val="en-US" w:eastAsia="zh-CN" w:bidi="ar-SA"/>
              </w:rPr>
            </w:pPr>
            <w:r>
              <w:rPr>
                <w:rFonts w:hint="eastAsia" w:cs="Times New Roman"/>
                <w:color w:val="auto"/>
                <w:kern w:val="2"/>
                <w:sz w:val="24"/>
                <w:szCs w:val="24"/>
                <w:highlight w:val="none"/>
                <w:u w:val="none" w:color="auto"/>
                <w:lang w:val="en-US" w:eastAsia="zh-CN" w:bidi="ar-SA"/>
              </w:rPr>
              <w:t>（5）豆渣存放异味</w:t>
            </w:r>
          </w:p>
          <w:p w14:paraId="001A4088">
            <w:pPr>
              <w:spacing w:line="360" w:lineRule="auto"/>
              <w:ind w:firstLine="480" w:firstLineChars="0"/>
              <w:rPr>
                <w:rFonts w:hint="eastAsia" w:cs="Times New Roman"/>
                <w:color w:val="auto"/>
                <w:kern w:val="2"/>
                <w:sz w:val="24"/>
                <w:szCs w:val="24"/>
                <w:highlight w:val="none"/>
                <w:u w:val="none" w:color="auto"/>
                <w:lang w:val="en-US" w:eastAsia="zh-CN" w:bidi="ar-SA"/>
              </w:rPr>
            </w:pPr>
            <w:r>
              <w:rPr>
                <w:rFonts w:hint="eastAsia" w:cs="Times New Roman"/>
                <w:color w:val="auto"/>
                <w:kern w:val="2"/>
                <w:sz w:val="24"/>
                <w:szCs w:val="24"/>
                <w:highlight w:val="none"/>
                <w:u w:val="none" w:color="auto"/>
                <w:lang w:val="en-US" w:eastAsia="zh-CN" w:bidi="ar-SA"/>
              </w:rPr>
              <w:t>本项目虎皮豆腐生产会产生一定量的豆渣，豆渣具有不易保存、容易发霉变质的特点，在存放过程中蛋白质容易变质分解产生恶臭气体，以臭气浓度表征。豆渣拟使用袋盖的塑料桶盛装暂存，做到日产日清，故产生的污染物浓度很小，本次不做定量分析。</w:t>
            </w:r>
          </w:p>
          <w:p w14:paraId="4A33A104">
            <w:pPr>
              <w:spacing w:line="360" w:lineRule="auto"/>
              <w:ind w:firstLine="480" w:firstLineChars="0"/>
              <w:rPr>
                <w:rFonts w:hint="eastAsia" w:cs="Times New Roman"/>
                <w:color w:val="auto"/>
                <w:kern w:val="2"/>
                <w:sz w:val="24"/>
                <w:szCs w:val="24"/>
                <w:highlight w:val="none"/>
                <w:u w:val="none" w:color="auto"/>
                <w:lang w:val="en-US" w:eastAsia="zh-CN" w:bidi="ar-SA"/>
              </w:rPr>
            </w:pPr>
            <w:r>
              <w:rPr>
                <w:rFonts w:hint="eastAsia" w:cs="Times New Roman"/>
                <w:color w:val="auto"/>
                <w:kern w:val="2"/>
                <w:sz w:val="24"/>
                <w:szCs w:val="24"/>
                <w:highlight w:val="none"/>
                <w:u w:val="none" w:color="auto"/>
                <w:lang w:val="en-US" w:eastAsia="zh-CN" w:bidi="ar-SA"/>
              </w:rPr>
              <w:t>（6）污水处理系统恶臭</w:t>
            </w:r>
          </w:p>
          <w:p w14:paraId="1D0A65B4">
            <w:pPr>
              <w:spacing w:line="360" w:lineRule="auto"/>
              <w:ind w:firstLine="480" w:firstLineChars="0"/>
              <w:rPr>
                <w:rFonts w:hint="eastAsia" w:cs="Times New Roman"/>
                <w:color w:val="auto"/>
                <w:kern w:val="2"/>
                <w:sz w:val="24"/>
                <w:szCs w:val="24"/>
                <w:highlight w:val="none"/>
                <w:u w:val="none" w:color="auto"/>
                <w:lang w:val="en-US" w:eastAsia="zh-CN" w:bidi="ar-SA"/>
              </w:rPr>
            </w:pPr>
            <w:r>
              <w:rPr>
                <w:rFonts w:hint="eastAsia" w:cs="Times New Roman"/>
                <w:color w:val="auto"/>
                <w:kern w:val="2"/>
                <w:sz w:val="24"/>
                <w:szCs w:val="24"/>
                <w:highlight w:val="none"/>
                <w:u w:val="none" w:color="auto"/>
                <w:lang w:val="en-US" w:eastAsia="zh-CN" w:bidi="ar-SA"/>
              </w:rPr>
              <w:t>本项目采用“格栅+隔油池+调节池+气浮+中间水池+一体化（厌氧+缺氧+好氧+二沉池+消毒）”工艺对厂区生产废水进行预处理，废水处理设施在运行过程中会有部分恶臭气体排入大气中。恶臭气体中主要含有 NH</w:t>
            </w:r>
            <w:r>
              <w:rPr>
                <w:rFonts w:hint="eastAsia" w:cs="Times New Roman"/>
                <w:color w:val="auto"/>
                <w:kern w:val="2"/>
                <w:sz w:val="24"/>
                <w:szCs w:val="24"/>
                <w:highlight w:val="none"/>
                <w:u w:val="none" w:color="auto"/>
                <w:vertAlign w:val="subscript"/>
                <w:lang w:val="en-US" w:eastAsia="zh-CN" w:bidi="ar-SA"/>
              </w:rPr>
              <w:t>3</w:t>
            </w:r>
            <w:r>
              <w:rPr>
                <w:rFonts w:hint="eastAsia" w:cs="Times New Roman"/>
                <w:color w:val="auto"/>
                <w:kern w:val="2"/>
                <w:sz w:val="24"/>
                <w:szCs w:val="24"/>
                <w:highlight w:val="none"/>
                <w:u w:val="none" w:color="auto"/>
                <w:lang w:val="en-US" w:eastAsia="zh-CN" w:bidi="ar-SA"/>
              </w:rPr>
              <w:t>、H</w:t>
            </w:r>
            <w:r>
              <w:rPr>
                <w:rFonts w:hint="eastAsia" w:cs="Times New Roman"/>
                <w:color w:val="auto"/>
                <w:kern w:val="2"/>
                <w:sz w:val="24"/>
                <w:szCs w:val="24"/>
                <w:highlight w:val="none"/>
                <w:u w:val="none" w:color="auto"/>
                <w:vertAlign w:val="subscript"/>
                <w:lang w:val="en-US" w:eastAsia="zh-CN" w:bidi="ar-SA"/>
              </w:rPr>
              <w:t>2</w:t>
            </w:r>
            <w:r>
              <w:rPr>
                <w:rFonts w:hint="eastAsia" w:cs="Times New Roman"/>
                <w:color w:val="auto"/>
                <w:kern w:val="2"/>
                <w:sz w:val="24"/>
                <w:szCs w:val="24"/>
                <w:highlight w:val="none"/>
                <w:u w:val="none" w:color="auto"/>
                <w:lang w:val="en-US" w:eastAsia="zh-CN" w:bidi="ar-SA"/>
              </w:rPr>
              <w:t>S 等污染物，臭气在水底大部分转化为氨盐，只有少数通过液面溢出来。鉴于目前的环境标准和监测手段，一般污水处理厂仅以其中的NH</w:t>
            </w:r>
            <w:r>
              <w:rPr>
                <w:rFonts w:hint="eastAsia" w:cs="Times New Roman"/>
                <w:color w:val="auto"/>
                <w:kern w:val="2"/>
                <w:sz w:val="24"/>
                <w:szCs w:val="24"/>
                <w:highlight w:val="none"/>
                <w:u w:val="none" w:color="auto"/>
                <w:vertAlign w:val="subscript"/>
                <w:lang w:val="en-US" w:eastAsia="zh-CN" w:bidi="ar-SA"/>
              </w:rPr>
              <w:t>3</w:t>
            </w:r>
            <w:r>
              <w:rPr>
                <w:rFonts w:hint="eastAsia" w:cs="Times New Roman"/>
                <w:color w:val="auto"/>
                <w:kern w:val="2"/>
                <w:sz w:val="24"/>
                <w:szCs w:val="24"/>
                <w:highlight w:val="none"/>
                <w:u w:val="none" w:color="auto"/>
                <w:lang w:val="en-US" w:eastAsia="zh-CN" w:bidi="ar-SA"/>
              </w:rPr>
              <w:t>和H</w:t>
            </w:r>
            <w:r>
              <w:rPr>
                <w:rFonts w:hint="eastAsia" w:cs="Times New Roman"/>
                <w:color w:val="auto"/>
                <w:kern w:val="2"/>
                <w:sz w:val="24"/>
                <w:szCs w:val="24"/>
                <w:highlight w:val="none"/>
                <w:u w:val="none" w:color="auto"/>
                <w:vertAlign w:val="subscript"/>
                <w:lang w:val="en-US" w:eastAsia="zh-CN" w:bidi="ar-SA"/>
              </w:rPr>
              <w:t>2</w:t>
            </w:r>
            <w:r>
              <w:rPr>
                <w:rFonts w:hint="eastAsia" w:cs="Times New Roman"/>
                <w:color w:val="auto"/>
                <w:kern w:val="2"/>
                <w:sz w:val="24"/>
                <w:szCs w:val="24"/>
                <w:highlight w:val="none"/>
                <w:u w:val="none" w:color="auto"/>
                <w:lang w:val="en-US" w:eastAsia="zh-CN" w:bidi="ar-SA"/>
              </w:rPr>
              <w:t>S进行计算分析。参照美国EPA（环境保护署）对城市污水处理厂恶臭污染物产生情况的研究，每处理1gBOD</w:t>
            </w:r>
            <w:r>
              <w:rPr>
                <w:rFonts w:hint="eastAsia" w:cs="Times New Roman"/>
                <w:color w:val="auto"/>
                <w:kern w:val="2"/>
                <w:sz w:val="24"/>
                <w:szCs w:val="24"/>
                <w:highlight w:val="none"/>
                <w:u w:val="none" w:color="auto"/>
                <w:vertAlign w:val="subscript"/>
                <w:lang w:val="en-US" w:eastAsia="zh-CN" w:bidi="ar-SA"/>
              </w:rPr>
              <w:t>5</w:t>
            </w:r>
            <w:r>
              <w:rPr>
                <w:rFonts w:hint="eastAsia" w:cs="Times New Roman"/>
                <w:color w:val="auto"/>
                <w:kern w:val="2"/>
                <w:sz w:val="24"/>
                <w:szCs w:val="24"/>
                <w:highlight w:val="none"/>
                <w:u w:val="none" w:color="auto"/>
                <w:lang w:val="en-US" w:eastAsia="zh-CN" w:bidi="ar-SA"/>
              </w:rPr>
              <w:t>可产生0.0031g的NH</w:t>
            </w:r>
            <w:r>
              <w:rPr>
                <w:rFonts w:hint="eastAsia" w:cs="Times New Roman"/>
                <w:color w:val="auto"/>
                <w:kern w:val="2"/>
                <w:sz w:val="24"/>
                <w:szCs w:val="24"/>
                <w:highlight w:val="none"/>
                <w:u w:val="none" w:color="auto"/>
                <w:vertAlign w:val="subscript"/>
                <w:lang w:val="en-US" w:eastAsia="zh-CN" w:bidi="ar-SA"/>
              </w:rPr>
              <w:t>3</w:t>
            </w:r>
            <w:r>
              <w:rPr>
                <w:rFonts w:hint="eastAsia" w:cs="Times New Roman"/>
                <w:color w:val="auto"/>
                <w:kern w:val="2"/>
                <w:sz w:val="24"/>
                <w:szCs w:val="24"/>
                <w:highlight w:val="none"/>
                <w:u w:val="none" w:color="auto"/>
                <w:lang w:val="en-US" w:eastAsia="zh-CN" w:bidi="ar-SA"/>
              </w:rPr>
              <w:t>、和0.00012g的H</w:t>
            </w:r>
            <w:r>
              <w:rPr>
                <w:rFonts w:hint="eastAsia" w:cs="Times New Roman"/>
                <w:color w:val="auto"/>
                <w:kern w:val="2"/>
                <w:sz w:val="24"/>
                <w:szCs w:val="24"/>
                <w:highlight w:val="none"/>
                <w:u w:val="none" w:color="auto"/>
                <w:vertAlign w:val="subscript"/>
                <w:lang w:val="en-US" w:eastAsia="zh-CN" w:bidi="ar-SA"/>
              </w:rPr>
              <w:t>2</w:t>
            </w:r>
            <w:r>
              <w:rPr>
                <w:rFonts w:hint="eastAsia" w:cs="Times New Roman"/>
                <w:color w:val="auto"/>
                <w:kern w:val="2"/>
                <w:sz w:val="24"/>
                <w:szCs w:val="24"/>
                <w:highlight w:val="none"/>
                <w:u w:val="none" w:color="auto"/>
                <w:lang w:val="en-US" w:eastAsia="zh-CN" w:bidi="ar-SA"/>
              </w:rPr>
              <w:t>S。本项目污水处理系统BOD</w:t>
            </w:r>
            <w:r>
              <w:rPr>
                <w:rFonts w:hint="eastAsia" w:cs="Times New Roman"/>
                <w:color w:val="auto"/>
                <w:kern w:val="2"/>
                <w:sz w:val="24"/>
                <w:szCs w:val="24"/>
                <w:highlight w:val="none"/>
                <w:u w:val="none" w:color="auto"/>
                <w:vertAlign w:val="subscript"/>
                <w:lang w:val="en-US" w:eastAsia="zh-CN" w:bidi="ar-SA"/>
              </w:rPr>
              <w:t>5</w:t>
            </w:r>
            <w:r>
              <w:rPr>
                <w:rFonts w:hint="eastAsia" w:cs="Times New Roman"/>
                <w:color w:val="auto"/>
                <w:kern w:val="2"/>
                <w:sz w:val="24"/>
                <w:szCs w:val="24"/>
                <w:highlight w:val="none"/>
                <w:u w:val="none" w:color="auto"/>
                <w:lang w:val="en-US" w:eastAsia="zh-CN" w:bidi="ar-SA"/>
              </w:rPr>
              <w:t>处理量为21.98t/a，因此本项目H</w:t>
            </w:r>
            <w:r>
              <w:rPr>
                <w:rFonts w:hint="eastAsia" w:cs="Times New Roman"/>
                <w:color w:val="auto"/>
                <w:kern w:val="2"/>
                <w:sz w:val="24"/>
                <w:szCs w:val="24"/>
                <w:highlight w:val="none"/>
                <w:u w:val="none" w:color="auto"/>
                <w:vertAlign w:val="subscript"/>
                <w:lang w:val="en-US" w:eastAsia="zh-CN" w:bidi="ar-SA"/>
              </w:rPr>
              <w:t>2</w:t>
            </w:r>
            <w:r>
              <w:rPr>
                <w:rFonts w:hint="eastAsia" w:cs="Times New Roman"/>
                <w:color w:val="auto"/>
                <w:kern w:val="2"/>
                <w:sz w:val="24"/>
                <w:szCs w:val="24"/>
                <w:highlight w:val="none"/>
                <w:u w:val="none" w:color="auto"/>
                <w:lang w:val="en-US" w:eastAsia="zh-CN" w:bidi="ar-SA"/>
              </w:rPr>
              <w:t>S产生量为0.0026t/a、NH</w:t>
            </w:r>
            <w:r>
              <w:rPr>
                <w:rFonts w:hint="eastAsia" w:cs="Times New Roman"/>
                <w:color w:val="auto"/>
                <w:kern w:val="2"/>
                <w:sz w:val="24"/>
                <w:szCs w:val="24"/>
                <w:highlight w:val="none"/>
                <w:u w:val="none" w:color="auto"/>
                <w:vertAlign w:val="subscript"/>
                <w:lang w:val="en-US" w:eastAsia="zh-CN" w:bidi="ar-SA"/>
              </w:rPr>
              <w:t>3</w:t>
            </w:r>
            <w:r>
              <w:rPr>
                <w:rFonts w:hint="eastAsia" w:cs="Times New Roman"/>
                <w:color w:val="auto"/>
                <w:kern w:val="2"/>
                <w:sz w:val="24"/>
                <w:szCs w:val="24"/>
                <w:highlight w:val="none"/>
                <w:u w:val="none" w:color="auto"/>
                <w:lang w:val="en-US" w:eastAsia="zh-CN" w:bidi="ar-SA"/>
              </w:rPr>
              <w:t>产生量为0.068t/a，呈无组织排放，建设单位采取加盖密闭、加强厂区绿化等措施，降低对周围大气环境的影响。</w:t>
            </w:r>
          </w:p>
          <w:p w14:paraId="65330EDF">
            <w:pPr>
              <w:spacing w:line="360" w:lineRule="auto"/>
              <w:ind w:firstLine="480" w:firstLineChars="0"/>
              <w:rPr>
                <w:rFonts w:hint="default" w:ascii="Times New Roman" w:hAnsi="Times New Roman" w:eastAsia="宋体" w:cs="Times New Roman"/>
                <w:color w:val="auto"/>
                <w:kern w:val="2"/>
                <w:sz w:val="24"/>
                <w:szCs w:val="24"/>
                <w:highlight w:val="none"/>
                <w:u w:val="none" w:color="auto"/>
                <w:lang w:val="en-US" w:eastAsia="zh-CN" w:bidi="ar-SA"/>
              </w:rPr>
            </w:pPr>
            <w:r>
              <w:rPr>
                <w:rFonts w:hint="eastAsia" w:cs="Times New Roman"/>
                <w:color w:val="auto"/>
                <w:kern w:val="2"/>
                <w:sz w:val="24"/>
                <w:szCs w:val="24"/>
                <w:highlight w:val="none"/>
                <w:u w:val="none" w:color="auto"/>
                <w:lang w:val="en-US" w:eastAsia="zh-CN" w:bidi="ar-SA"/>
              </w:rPr>
              <w:t>综上所述，本项目大气污染物产排情况如下。</w:t>
            </w:r>
          </w:p>
        </w:tc>
      </w:tr>
    </w:tbl>
    <w:p w14:paraId="2984248A">
      <w:pPr>
        <w:pStyle w:val="40"/>
        <w:adjustRightInd w:val="0"/>
        <w:snapToGrid w:val="0"/>
        <w:spacing w:before="0" w:beforeAutospacing="0" w:after="0" w:afterAutospacing="0"/>
        <w:jc w:val="center"/>
        <w:rPr>
          <w:rFonts w:hint="default" w:ascii="Times New Roman" w:hAnsi="Times New Roman" w:eastAsia="宋体" w:cs="Times New Roman"/>
          <w:color w:val="auto"/>
          <w:kern w:val="2"/>
          <w:sz w:val="24"/>
          <w:szCs w:val="24"/>
          <w:highlight w:val="none"/>
          <w:u w:val="none" w:color="auto"/>
        </w:rPr>
        <w:sectPr>
          <w:pgSz w:w="11907" w:h="16840"/>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tbl>
      <w:tblPr>
        <w:tblStyle w:val="4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5"/>
        <w:gridCol w:w="12779"/>
      </w:tblGrid>
      <w:tr w14:paraId="79D13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5" w:type="dxa"/>
          </w:tcPr>
          <w:p w14:paraId="5AF53A13">
            <w:pPr>
              <w:pStyle w:val="40"/>
              <w:adjustRightInd w:val="0"/>
              <w:snapToGrid w:val="0"/>
              <w:spacing w:before="0" w:beforeAutospacing="0" w:after="0" w:afterAutospacing="0"/>
              <w:jc w:val="center"/>
              <w:rPr>
                <w:rFonts w:hint="default" w:ascii="Times New Roman" w:hAnsi="Times New Roman" w:eastAsia="宋体" w:cs="Times New Roman"/>
                <w:color w:val="auto"/>
                <w:kern w:val="2"/>
                <w:sz w:val="24"/>
                <w:szCs w:val="24"/>
                <w:highlight w:val="none"/>
                <w:u w:val="none" w:color="auto"/>
                <w:vertAlign w:val="baseline"/>
              </w:rPr>
            </w:pPr>
          </w:p>
        </w:tc>
        <w:tc>
          <w:tcPr>
            <w:tcW w:w="12779" w:type="dxa"/>
          </w:tcPr>
          <w:p w14:paraId="06717A26">
            <w:pPr>
              <w:pStyle w:val="40"/>
              <w:numPr>
                <w:ilvl w:val="0"/>
                <w:numId w:val="5"/>
              </w:numPr>
              <w:adjustRightInd w:val="0"/>
              <w:snapToGrid w:val="0"/>
              <w:spacing w:before="0" w:beforeAutospacing="0" w:after="0" w:afterAutospacing="0"/>
              <w:ind w:left="0" w:leftChars="0" w:firstLine="480" w:firstLineChars="200"/>
              <w:jc w:val="both"/>
              <w:rPr>
                <w:rFonts w:hint="eastAsia" w:ascii="Times New Roman" w:hAnsi="Times New Roman" w:cs="Times New Roman"/>
                <w:color w:val="auto"/>
                <w:kern w:val="2"/>
                <w:sz w:val="24"/>
                <w:szCs w:val="24"/>
                <w:highlight w:val="none"/>
                <w:u w:val="none" w:color="auto"/>
                <w:vertAlign w:val="baseline"/>
                <w:lang w:val="en-US" w:eastAsia="zh-CN"/>
              </w:rPr>
            </w:pPr>
            <w:r>
              <w:rPr>
                <w:rFonts w:hint="eastAsia" w:ascii="Times New Roman" w:hAnsi="Times New Roman" w:cs="Times New Roman"/>
                <w:color w:val="auto"/>
                <w:kern w:val="2"/>
                <w:sz w:val="24"/>
                <w:szCs w:val="24"/>
                <w:highlight w:val="none"/>
                <w:u w:val="none" w:color="auto"/>
                <w:vertAlign w:val="baseline"/>
                <w:lang w:val="en-US" w:eastAsia="zh-CN"/>
              </w:rPr>
              <w:t>废气排放信息汇总</w:t>
            </w:r>
          </w:p>
          <w:p w14:paraId="7A30CEDD">
            <w:pPr>
              <w:keepNext w:val="0"/>
              <w:keepLines w:val="0"/>
              <w:suppressLineNumbers w:val="0"/>
              <w:bidi w:val="0"/>
              <w:spacing w:before="0" w:beforeLines="0" w:beforeAutospacing="0" w:after="0" w:afterLines="0" w:afterAutospacing="0" w:line="360" w:lineRule="auto"/>
              <w:ind w:left="0" w:right="0" w:firstLine="480" w:firstLineChars="200"/>
              <w:rPr>
                <w:rFonts w:hint="eastAsia" w:cs="Times New Roman"/>
                <w:color w:val="auto"/>
                <w:sz w:val="24"/>
                <w:szCs w:val="24"/>
                <w:u w:val="none" w:color="auto"/>
              </w:rPr>
            </w:pPr>
            <w:r>
              <w:rPr>
                <w:rFonts w:hint="eastAsia" w:eastAsia="宋体" w:cs="Times New Roman"/>
                <w:color w:val="auto"/>
                <w:sz w:val="24"/>
                <w:szCs w:val="24"/>
                <w:u w:val="none" w:color="auto"/>
              </w:rPr>
              <w:t>项目废气产排污节点、污染物及污染治理设施信息见下表4</w:t>
            </w:r>
            <w:r>
              <w:rPr>
                <w:rFonts w:hint="eastAsia" w:cs="Times New Roman"/>
                <w:color w:val="auto"/>
                <w:sz w:val="24"/>
                <w:szCs w:val="24"/>
                <w:u w:val="none" w:color="auto"/>
              </w:rPr>
              <w:t>-</w:t>
            </w:r>
            <w:r>
              <w:rPr>
                <w:rFonts w:hint="eastAsia" w:cs="Times New Roman"/>
                <w:color w:val="auto"/>
                <w:sz w:val="24"/>
                <w:szCs w:val="24"/>
                <w:u w:val="none" w:color="auto"/>
                <w:lang w:val="en-US" w:eastAsia="zh-CN"/>
              </w:rPr>
              <w:t>5</w:t>
            </w:r>
            <w:r>
              <w:rPr>
                <w:rFonts w:hint="eastAsia" w:eastAsia="宋体" w:cs="Times New Roman"/>
                <w:color w:val="auto"/>
                <w:sz w:val="24"/>
                <w:szCs w:val="24"/>
                <w:u w:val="none" w:color="auto"/>
              </w:rPr>
              <w:t>，废气排放口基本情况及监测要求下表4</w:t>
            </w:r>
            <w:r>
              <w:rPr>
                <w:rFonts w:hint="eastAsia" w:cs="Times New Roman"/>
                <w:color w:val="auto"/>
                <w:sz w:val="24"/>
                <w:szCs w:val="24"/>
                <w:u w:val="none" w:color="auto"/>
              </w:rPr>
              <w:t>-</w:t>
            </w:r>
            <w:r>
              <w:rPr>
                <w:rFonts w:hint="eastAsia" w:cs="Times New Roman"/>
                <w:color w:val="auto"/>
                <w:sz w:val="24"/>
                <w:szCs w:val="24"/>
                <w:u w:val="none" w:color="auto"/>
                <w:lang w:val="en-US" w:eastAsia="zh-CN"/>
              </w:rPr>
              <w:t>6</w:t>
            </w:r>
            <w:r>
              <w:rPr>
                <w:rFonts w:hint="eastAsia" w:eastAsia="宋体" w:cs="Times New Roman"/>
                <w:color w:val="auto"/>
                <w:sz w:val="24"/>
                <w:szCs w:val="24"/>
                <w:u w:val="none" w:color="auto"/>
              </w:rPr>
              <w:t>。</w:t>
            </w:r>
          </w:p>
          <w:p w14:paraId="6215AD7B">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422" w:firstLineChars="200"/>
              <w:jc w:val="center"/>
              <w:textAlignment w:val="auto"/>
              <w:rPr>
                <w:rFonts w:hint="eastAsia" w:cs="Times New Roman"/>
                <w:b/>
                <w:color w:val="auto"/>
                <w:sz w:val="24"/>
                <w:szCs w:val="24"/>
                <w:u w:val="none" w:color="auto"/>
              </w:rPr>
            </w:pPr>
            <w:r>
              <w:rPr>
                <w:rFonts w:hint="eastAsia" w:eastAsia="宋体" w:cs="Times New Roman"/>
                <w:b/>
                <w:color w:val="auto"/>
                <w:sz w:val="21"/>
                <w:szCs w:val="21"/>
                <w:u w:val="none" w:color="auto"/>
              </w:rPr>
              <w:t>表4-</w:t>
            </w:r>
            <w:r>
              <w:rPr>
                <w:rFonts w:hint="eastAsia" w:cs="Times New Roman"/>
                <w:b/>
                <w:color w:val="auto"/>
                <w:sz w:val="21"/>
                <w:szCs w:val="21"/>
                <w:u w:val="none" w:color="auto"/>
                <w:lang w:val="en-US" w:eastAsia="zh-CN"/>
              </w:rPr>
              <w:t>5</w:t>
            </w:r>
            <w:r>
              <w:rPr>
                <w:rFonts w:hint="eastAsia" w:eastAsia="宋体" w:cs="Times New Roman"/>
                <w:b/>
                <w:color w:val="auto"/>
                <w:sz w:val="21"/>
                <w:szCs w:val="21"/>
                <w:u w:val="none" w:color="auto"/>
              </w:rPr>
              <w:t>废气产排污节点、污染物及污染治理设施信息表</w:t>
            </w:r>
          </w:p>
          <w:tbl>
            <w:tblPr>
              <w:tblStyle w:val="4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230"/>
              <w:gridCol w:w="513"/>
              <w:gridCol w:w="366"/>
              <w:gridCol w:w="565"/>
              <w:gridCol w:w="860"/>
              <w:gridCol w:w="860"/>
              <w:gridCol w:w="860"/>
              <w:gridCol w:w="860"/>
              <w:gridCol w:w="860"/>
              <w:gridCol w:w="863"/>
              <w:gridCol w:w="760"/>
              <w:gridCol w:w="929"/>
              <w:gridCol w:w="1099"/>
              <w:gridCol w:w="1154"/>
              <w:gridCol w:w="1004"/>
              <w:gridCol w:w="750"/>
            </w:tblGrid>
            <w:tr w14:paraId="6849DE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20" w:hRule="atLeast"/>
                <w:tblHeader/>
                <w:jc w:val="center"/>
              </w:trPr>
              <w:tc>
                <w:tcPr>
                  <w:tcW w:w="91" w:type="pct"/>
                  <w:vMerge w:val="restart"/>
                  <w:tcBorders>
                    <w:tl2br w:val="nil"/>
                    <w:tr2bl w:val="nil"/>
                  </w:tcBorders>
                  <w:noWrap w:val="0"/>
                  <w:vAlign w:val="center"/>
                </w:tcPr>
                <w:p w14:paraId="4E46397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cs="Times New Roman"/>
                      <w:b/>
                      <w:color w:val="auto"/>
                      <w:sz w:val="21"/>
                      <w:szCs w:val="21"/>
                      <w:u w:val="none" w:color="auto"/>
                    </w:rPr>
                  </w:pPr>
                  <w:r>
                    <w:rPr>
                      <w:rFonts w:hint="eastAsia" w:eastAsia="宋体" w:cs="Times New Roman"/>
                      <w:b/>
                      <w:color w:val="auto"/>
                      <w:sz w:val="21"/>
                      <w:szCs w:val="21"/>
                      <w:u w:val="none" w:color="auto"/>
                    </w:rPr>
                    <w:t>序号</w:t>
                  </w:r>
                </w:p>
              </w:tc>
              <w:tc>
                <w:tcPr>
                  <w:tcW w:w="204" w:type="pct"/>
                  <w:vMerge w:val="restart"/>
                  <w:tcBorders>
                    <w:tl2br w:val="nil"/>
                    <w:tr2bl w:val="nil"/>
                  </w:tcBorders>
                  <w:noWrap w:val="0"/>
                  <w:vAlign w:val="center"/>
                </w:tcPr>
                <w:p w14:paraId="2999058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cs="Times New Roman"/>
                      <w:b/>
                      <w:color w:val="auto"/>
                      <w:sz w:val="21"/>
                      <w:szCs w:val="21"/>
                      <w:u w:val="none" w:color="auto"/>
                    </w:rPr>
                  </w:pPr>
                  <w:r>
                    <w:rPr>
                      <w:rFonts w:hint="eastAsia" w:eastAsia="宋体" w:cs="Times New Roman"/>
                      <w:b/>
                      <w:color w:val="auto"/>
                      <w:sz w:val="21"/>
                      <w:szCs w:val="21"/>
                      <w:u w:val="none" w:color="auto"/>
                    </w:rPr>
                    <w:t>产排污环节</w:t>
                  </w:r>
                </w:p>
              </w:tc>
              <w:tc>
                <w:tcPr>
                  <w:tcW w:w="146" w:type="pct"/>
                  <w:vMerge w:val="restart"/>
                  <w:tcBorders>
                    <w:tl2br w:val="nil"/>
                    <w:tr2bl w:val="nil"/>
                  </w:tcBorders>
                  <w:noWrap w:val="0"/>
                  <w:vAlign w:val="center"/>
                </w:tcPr>
                <w:p w14:paraId="5D6BA7A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cs="Times New Roman"/>
                      <w:b/>
                      <w:color w:val="auto"/>
                      <w:sz w:val="21"/>
                      <w:szCs w:val="21"/>
                      <w:u w:val="none" w:color="auto"/>
                    </w:rPr>
                  </w:pPr>
                  <w:r>
                    <w:rPr>
                      <w:rFonts w:hint="eastAsia" w:eastAsia="宋体" w:cs="Times New Roman"/>
                      <w:b/>
                      <w:color w:val="auto"/>
                      <w:sz w:val="21"/>
                      <w:szCs w:val="21"/>
                      <w:u w:val="none" w:color="auto"/>
                    </w:rPr>
                    <w:t>排放形式</w:t>
                  </w:r>
                </w:p>
              </w:tc>
              <w:tc>
                <w:tcPr>
                  <w:tcW w:w="225" w:type="pct"/>
                  <w:vMerge w:val="restart"/>
                  <w:tcBorders>
                    <w:tl2br w:val="nil"/>
                    <w:tr2bl w:val="nil"/>
                  </w:tcBorders>
                  <w:noWrap w:val="0"/>
                  <w:vAlign w:val="center"/>
                </w:tcPr>
                <w:p w14:paraId="37D68BF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cs="Times New Roman"/>
                      <w:b/>
                      <w:color w:val="auto"/>
                      <w:sz w:val="21"/>
                      <w:szCs w:val="21"/>
                      <w:u w:val="none" w:color="auto"/>
                    </w:rPr>
                  </w:pPr>
                  <w:r>
                    <w:rPr>
                      <w:rFonts w:hint="eastAsia" w:eastAsia="宋体" w:cs="Times New Roman"/>
                      <w:b/>
                      <w:color w:val="auto"/>
                      <w:sz w:val="21"/>
                      <w:szCs w:val="21"/>
                      <w:u w:val="none" w:color="auto"/>
                    </w:rPr>
                    <w:t>污染物种类</w:t>
                  </w:r>
                </w:p>
              </w:tc>
              <w:tc>
                <w:tcPr>
                  <w:tcW w:w="343" w:type="pct"/>
                  <w:vMerge w:val="restart"/>
                  <w:tcBorders>
                    <w:tl2br w:val="nil"/>
                    <w:tr2bl w:val="nil"/>
                  </w:tcBorders>
                  <w:noWrap w:val="0"/>
                  <w:vAlign w:val="center"/>
                </w:tcPr>
                <w:p w14:paraId="3D904C7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cs="Times New Roman"/>
                      <w:b/>
                      <w:color w:val="auto"/>
                      <w:sz w:val="21"/>
                      <w:szCs w:val="21"/>
                      <w:u w:val="none" w:color="auto"/>
                    </w:rPr>
                  </w:pPr>
                  <w:r>
                    <w:rPr>
                      <w:rFonts w:hint="eastAsia" w:eastAsia="宋体" w:cs="Times New Roman"/>
                      <w:b/>
                      <w:color w:val="auto"/>
                      <w:sz w:val="21"/>
                      <w:szCs w:val="21"/>
                      <w:u w:val="none" w:color="auto"/>
                    </w:rPr>
                    <w:t>污染物产生速率kg/h</w:t>
                  </w:r>
                </w:p>
              </w:tc>
              <w:tc>
                <w:tcPr>
                  <w:tcW w:w="343" w:type="pct"/>
                  <w:vMerge w:val="restart"/>
                  <w:tcBorders>
                    <w:tl2br w:val="nil"/>
                    <w:tr2bl w:val="nil"/>
                  </w:tcBorders>
                  <w:noWrap w:val="0"/>
                  <w:vAlign w:val="center"/>
                </w:tcPr>
                <w:p w14:paraId="42A82EC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cs="Times New Roman"/>
                      <w:b/>
                      <w:color w:val="auto"/>
                      <w:sz w:val="21"/>
                      <w:szCs w:val="21"/>
                      <w:u w:val="none" w:color="auto"/>
                    </w:rPr>
                  </w:pPr>
                  <w:r>
                    <w:rPr>
                      <w:rFonts w:hint="eastAsia" w:eastAsia="宋体" w:cs="Times New Roman"/>
                      <w:b/>
                      <w:color w:val="auto"/>
                      <w:sz w:val="21"/>
                      <w:szCs w:val="21"/>
                      <w:u w:val="none" w:color="auto"/>
                    </w:rPr>
                    <w:t>污染物产生浓度</w:t>
                  </w:r>
                </w:p>
                <w:p w14:paraId="0EE3B55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cs="Times New Roman"/>
                      <w:b/>
                      <w:color w:val="auto"/>
                      <w:sz w:val="21"/>
                      <w:szCs w:val="21"/>
                      <w:u w:val="none" w:color="auto"/>
                    </w:rPr>
                  </w:pPr>
                  <w:r>
                    <w:rPr>
                      <w:rFonts w:hint="eastAsia" w:cs="Times New Roman"/>
                      <w:b/>
                      <w:color w:val="auto"/>
                      <w:sz w:val="21"/>
                      <w:szCs w:val="21"/>
                      <w:u w:val="none" w:color="auto"/>
                    </w:rPr>
                    <w:t>mg/m</w:t>
                  </w:r>
                  <w:r>
                    <w:rPr>
                      <w:rFonts w:hint="eastAsia" w:cs="Times New Roman"/>
                      <w:b/>
                      <w:color w:val="auto"/>
                      <w:sz w:val="21"/>
                      <w:szCs w:val="21"/>
                      <w:u w:val="none" w:color="auto"/>
                      <w:vertAlign w:val="superscript"/>
                    </w:rPr>
                    <w:t>3</w:t>
                  </w:r>
                </w:p>
              </w:tc>
              <w:tc>
                <w:tcPr>
                  <w:tcW w:w="343" w:type="pct"/>
                  <w:vMerge w:val="restart"/>
                  <w:tcBorders>
                    <w:tl2br w:val="nil"/>
                    <w:tr2bl w:val="nil"/>
                  </w:tcBorders>
                  <w:noWrap w:val="0"/>
                  <w:vAlign w:val="center"/>
                </w:tcPr>
                <w:p w14:paraId="6612816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cs="Times New Roman"/>
                      <w:b/>
                      <w:color w:val="auto"/>
                      <w:sz w:val="21"/>
                      <w:szCs w:val="21"/>
                      <w:u w:val="none" w:color="auto"/>
                    </w:rPr>
                  </w:pPr>
                  <w:r>
                    <w:rPr>
                      <w:rFonts w:hint="eastAsia" w:eastAsia="宋体" w:cs="Times New Roman"/>
                      <w:b/>
                      <w:color w:val="auto"/>
                      <w:sz w:val="21"/>
                      <w:szCs w:val="21"/>
                      <w:u w:val="none" w:color="auto"/>
                    </w:rPr>
                    <w:t>污染物产生量</w:t>
                  </w:r>
                  <w:r>
                    <w:rPr>
                      <w:rFonts w:hint="eastAsia" w:cs="Times New Roman"/>
                      <w:b/>
                      <w:color w:val="auto"/>
                      <w:sz w:val="21"/>
                      <w:szCs w:val="21"/>
                      <w:u w:val="none" w:color="auto"/>
                      <w:lang w:eastAsia="zh-CN"/>
                    </w:rPr>
                    <w:t>（</w:t>
                  </w:r>
                  <w:r>
                    <w:rPr>
                      <w:rFonts w:hint="eastAsia" w:cs="Times New Roman"/>
                      <w:b/>
                      <w:color w:val="auto"/>
                      <w:sz w:val="21"/>
                      <w:szCs w:val="21"/>
                      <w:u w:val="none" w:color="auto"/>
                      <w:lang w:val="en-US" w:eastAsia="zh-CN"/>
                    </w:rPr>
                    <w:t>t/a</w:t>
                  </w:r>
                  <w:r>
                    <w:rPr>
                      <w:rFonts w:hint="eastAsia" w:cs="Times New Roman"/>
                      <w:b/>
                      <w:color w:val="auto"/>
                      <w:sz w:val="21"/>
                      <w:szCs w:val="21"/>
                      <w:u w:val="none" w:color="auto"/>
                      <w:lang w:eastAsia="zh-CN"/>
                    </w:rPr>
                    <w:t>）</w:t>
                  </w:r>
                </w:p>
              </w:tc>
              <w:tc>
                <w:tcPr>
                  <w:tcW w:w="343" w:type="pct"/>
                  <w:vMerge w:val="restart"/>
                  <w:tcBorders>
                    <w:tl2br w:val="nil"/>
                    <w:tr2bl w:val="nil"/>
                  </w:tcBorders>
                  <w:noWrap w:val="0"/>
                  <w:vAlign w:val="center"/>
                </w:tcPr>
                <w:p w14:paraId="5A3599C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cs="Times New Roman"/>
                      <w:b/>
                      <w:color w:val="auto"/>
                      <w:sz w:val="21"/>
                      <w:szCs w:val="21"/>
                      <w:u w:val="none" w:color="auto"/>
                    </w:rPr>
                  </w:pPr>
                  <w:r>
                    <w:rPr>
                      <w:rFonts w:hint="eastAsia" w:eastAsia="宋体" w:cs="Times New Roman"/>
                      <w:b/>
                      <w:color w:val="auto"/>
                      <w:sz w:val="21"/>
                      <w:szCs w:val="21"/>
                      <w:u w:val="none" w:color="auto"/>
                    </w:rPr>
                    <w:t>污染物排放速率</w:t>
                  </w:r>
                </w:p>
                <w:p w14:paraId="7DCABEF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cs="Times New Roman"/>
                      <w:b/>
                      <w:color w:val="auto"/>
                      <w:sz w:val="21"/>
                      <w:szCs w:val="21"/>
                      <w:u w:val="none" w:color="auto"/>
                    </w:rPr>
                  </w:pPr>
                  <w:r>
                    <w:rPr>
                      <w:rFonts w:hint="eastAsia" w:cs="Times New Roman"/>
                      <w:b/>
                      <w:color w:val="auto"/>
                      <w:sz w:val="21"/>
                      <w:szCs w:val="21"/>
                      <w:u w:val="none" w:color="auto"/>
                    </w:rPr>
                    <w:t>kg/h</w:t>
                  </w:r>
                </w:p>
              </w:tc>
              <w:tc>
                <w:tcPr>
                  <w:tcW w:w="343" w:type="pct"/>
                  <w:vMerge w:val="restart"/>
                  <w:tcBorders>
                    <w:tl2br w:val="nil"/>
                    <w:tr2bl w:val="nil"/>
                  </w:tcBorders>
                  <w:noWrap w:val="0"/>
                  <w:vAlign w:val="center"/>
                </w:tcPr>
                <w:p w14:paraId="32A184B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cs="Times New Roman"/>
                      <w:b/>
                      <w:color w:val="auto"/>
                      <w:sz w:val="21"/>
                      <w:szCs w:val="21"/>
                      <w:u w:val="none" w:color="auto"/>
                    </w:rPr>
                  </w:pPr>
                  <w:r>
                    <w:rPr>
                      <w:rFonts w:hint="eastAsia" w:eastAsia="宋体" w:cs="Times New Roman"/>
                      <w:b/>
                      <w:color w:val="auto"/>
                      <w:sz w:val="21"/>
                      <w:szCs w:val="21"/>
                      <w:u w:val="none" w:color="auto"/>
                    </w:rPr>
                    <w:t>污染物排放浓度</w:t>
                  </w:r>
                </w:p>
                <w:p w14:paraId="344FBE2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cs="Times New Roman"/>
                      <w:b/>
                      <w:color w:val="auto"/>
                      <w:sz w:val="21"/>
                      <w:szCs w:val="21"/>
                      <w:u w:val="none" w:color="auto"/>
                    </w:rPr>
                  </w:pPr>
                  <w:r>
                    <w:rPr>
                      <w:rFonts w:hint="eastAsia" w:cs="Times New Roman"/>
                      <w:b/>
                      <w:color w:val="auto"/>
                      <w:sz w:val="21"/>
                      <w:szCs w:val="21"/>
                      <w:u w:val="none" w:color="auto"/>
                    </w:rPr>
                    <w:t>mg/m</w:t>
                  </w:r>
                  <w:r>
                    <w:rPr>
                      <w:rFonts w:hint="eastAsia" w:cs="Times New Roman"/>
                      <w:b/>
                      <w:color w:val="auto"/>
                      <w:sz w:val="21"/>
                      <w:szCs w:val="21"/>
                      <w:u w:val="none" w:color="auto"/>
                      <w:vertAlign w:val="superscript"/>
                    </w:rPr>
                    <w:t>3</w:t>
                  </w:r>
                </w:p>
              </w:tc>
              <w:tc>
                <w:tcPr>
                  <w:tcW w:w="344" w:type="pct"/>
                  <w:vMerge w:val="restart"/>
                  <w:tcBorders>
                    <w:tl2br w:val="nil"/>
                    <w:tr2bl w:val="nil"/>
                  </w:tcBorders>
                  <w:noWrap w:val="0"/>
                  <w:vAlign w:val="center"/>
                </w:tcPr>
                <w:p w14:paraId="1D24D51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eastAsia="宋体" w:cs="Times New Roman"/>
                      <w:b/>
                      <w:color w:val="auto"/>
                      <w:sz w:val="21"/>
                      <w:szCs w:val="21"/>
                      <w:u w:val="none" w:color="auto"/>
                      <w:lang w:eastAsia="zh-CN"/>
                    </w:rPr>
                  </w:pPr>
                  <w:r>
                    <w:rPr>
                      <w:rFonts w:hint="eastAsia" w:eastAsia="宋体" w:cs="Times New Roman"/>
                      <w:b/>
                      <w:color w:val="auto"/>
                      <w:sz w:val="21"/>
                      <w:szCs w:val="21"/>
                      <w:u w:val="none" w:color="auto"/>
                    </w:rPr>
                    <w:t>污染物排放量</w:t>
                  </w:r>
                  <w:r>
                    <w:rPr>
                      <w:rFonts w:hint="eastAsia" w:cs="Times New Roman"/>
                      <w:b/>
                      <w:color w:val="auto"/>
                      <w:sz w:val="21"/>
                      <w:szCs w:val="21"/>
                      <w:u w:val="none" w:color="auto"/>
                      <w:lang w:eastAsia="zh-CN"/>
                    </w:rPr>
                    <w:t>（</w:t>
                  </w:r>
                  <w:r>
                    <w:rPr>
                      <w:rFonts w:hint="eastAsia" w:cs="Times New Roman"/>
                      <w:b/>
                      <w:color w:val="auto"/>
                      <w:sz w:val="21"/>
                      <w:szCs w:val="21"/>
                      <w:u w:val="none" w:color="auto"/>
                      <w:lang w:val="en-US" w:eastAsia="zh-CN"/>
                    </w:rPr>
                    <w:t>t/a</w:t>
                  </w:r>
                  <w:r>
                    <w:rPr>
                      <w:rFonts w:hint="eastAsia" w:cs="Times New Roman"/>
                      <w:b/>
                      <w:color w:val="auto"/>
                      <w:sz w:val="21"/>
                      <w:szCs w:val="21"/>
                      <w:u w:val="none" w:color="auto"/>
                      <w:lang w:eastAsia="zh-CN"/>
                    </w:rPr>
                    <w:t>）</w:t>
                  </w:r>
                </w:p>
              </w:tc>
              <w:tc>
                <w:tcPr>
                  <w:tcW w:w="303" w:type="pct"/>
                  <w:vMerge w:val="restart"/>
                  <w:tcBorders>
                    <w:tl2br w:val="nil"/>
                    <w:tr2bl w:val="nil"/>
                  </w:tcBorders>
                  <w:noWrap w:val="0"/>
                  <w:vAlign w:val="center"/>
                </w:tcPr>
                <w:p w14:paraId="2409901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cs="Times New Roman"/>
                      <w:b/>
                      <w:color w:val="auto"/>
                      <w:sz w:val="21"/>
                      <w:szCs w:val="21"/>
                      <w:u w:val="none" w:color="auto"/>
                    </w:rPr>
                  </w:pPr>
                  <w:r>
                    <w:rPr>
                      <w:rFonts w:hint="eastAsia" w:eastAsia="宋体" w:cs="Times New Roman"/>
                      <w:b/>
                      <w:color w:val="auto"/>
                      <w:sz w:val="21"/>
                      <w:szCs w:val="21"/>
                      <w:u w:val="none" w:color="auto"/>
                    </w:rPr>
                    <w:t>排放口编号</w:t>
                  </w:r>
                </w:p>
              </w:tc>
              <w:tc>
                <w:tcPr>
                  <w:tcW w:w="1969" w:type="pct"/>
                  <w:gridSpan w:val="5"/>
                  <w:tcBorders>
                    <w:tl2br w:val="nil"/>
                    <w:tr2bl w:val="nil"/>
                  </w:tcBorders>
                  <w:noWrap w:val="0"/>
                  <w:vAlign w:val="center"/>
                </w:tcPr>
                <w:p w14:paraId="31ADD03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cs="Times New Roman"/>
                      <w:b/>
                      <w:color w:val="auto"/>
                      <w:sz w:val="21"/>
                      <w:szCs w:val="21"/>
                      <w:u w:val="none" w:color="auto"/>
                    </w:rPr>
                  </w:pPr>
                  <w:r>
                    <w:rPr>
                      <w:rFonts w:hint="eastAsia" w:eastAsia="宋体" w:cs="Times New Roman"/>
                      <w:b/>
                      <w:color w:val="auto"/>
                      <w:sz w:val="21"/>
                      <w:szCs w:val="21"/>
                      <w:u w:val="none" w:color="auto"/>
                    </w:rPr>
                    <w:t>污染治理设施</w:t>
                  </w:r>
                </w:p>
              </w:tc>
            </w:tr>
            <w:tr w14:paraId="2576678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05" w:hRule="atLeast"/>
                <w:tblHeader/>
                <w:jc w:val="center"/>
              </w:trPr>
              <w:tc>
                <w:tcPr>
                  <w:tcW w:w="91" w:type="pct"/>
                  <w:vMerge w:val="continue"/>
                  <w:tcBorders>
                    <w:tl2br w:val="nil"/>
                    <w:tr2bl w:val="nil"/>
                  </w:tcBorders>
                  <w:noWrap w:val="0"/>
                  <w:vAlign w:val="center"/>
                </w:tcPr>
                <w:p w14:paraId="3B693D07">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cs="Times New Roman"/>
                      <w:b/>
                      <w:color w:val="auto"/>
                      <w:sz w:val="21"/>
                      <w:szCs w:val="21"/>
                      <w:u w:val="none" w:color="auto"/>
                    </w:rPr>
                  </w:pPr>
                </w:p>
              </w:tc>
              <w:tc>
                <w:tcPr>
                  <w:tcW w:w="204" w:type="pct"/>
                  <w:vMerge w:val="continue"/>
                  <w:tcBorders>
                    <w:tl2br w:val="nil"/>
                    <w:tr2bl w:val="nil"/>
                  </w:tcBorders>
                  <w:noWrap w:val="0"/>
                  <w:vAlign w:val="center"/>
                </w:tcPr>
                <w:p w14:paraId="47F985D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cs="Times New Roman"/>
                      <w:b/>
                      <w:color w:val="auto"/>
                      <w:sz w:val="21"/>
                      <w:szCs w:val="21"/>
                      <w:u w:val="none" w:color="auto"/>
                    </w:rPr>
                  </w:pPr>
                </w:p>
              </w:tc>
              <w:tc>
                <w:tcPr>
                  <w:tcW w:w="146" w:type="pct"/>
                  <w:vMerge w:val="continue"/>
                  <w:tcBorders>
                    <w:tl2br w:val="nil"/>
                    <w:tr2bl w:val="nil"/>
                  </w:tcBorders>
                  <w:noWrap w:val="0"/>
                  <w:vAlign w:val="center"/>
                </w:tcPr>
                <w:p w14:paraId="43C1DF3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cs="Times New Roman"/>
                      <w:b/>
                      <w:color w:val="auto"/>
                      <w:sz w:val="21"/>
                      <w:szCs w:val="21"/>
                      <w:u w:val="none" w:color="auto"/>
                    </w:rPr>
                  </w:pPr>
                </w:p>
              </w:tc>
              <w:tc>
                <w:tcPr>
                  <w:tcW w:w="225" w:type="pct"/>
                  <w:vMerge w:val="continue"/>
                  <w:tcBorders>
                    <w:tl2br w:val="nil"/>
                    <w:tr2bl w:val="nil"/>
                  </w:tcBorders>
                  <w:noWrap w:val="0"/>
                  <w:vAlign w:val="center"/>
                </w:tcPr>
                <w:p w14:paraId="27D295B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cs="Times New Roman"/>
                      <w:b/>
                      <w:color w:val="auto"/>
                      <w:sz w:val="21"/>
                      <w:szCs w:val="21"/>
                      <w:u w:val="none" w:color="auto"/>
                    </w:rPr>
                  </w:pPr>
                </w:p>
              </w:tc>
              <w:tc>
                <w:tcPr>
                  <w:tcW w:w="343" w:type="pct"/>
                  <w:vMerge w:val="continue"/>
                  <w:tcBorders>
                    <w:tl2br w:val="nil"/>
                    <w:tr2bl w:val="nil"/>
                  </w:tcBorders>
                  <w:noWrap w:val="0"/>
                  <w:vAlign w:val="center"/>
                </w:tcPr>
                <w:p w14:paraId="48D93971">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cs="Times New Roman"/>
                      <w:b/>
                      <w:color w:val="auto"/>
                      <w:sz w:val="21"/>
                      <w:szCs w:val="21"/>
                      <w:u w:val="none" w:color="auto"/>
                    </w:rPr>
                  </w:pPr>
                </w:p>
              </w:tc>
              <w:tc>
                <w:tcPr>
                  <w:tcW w:w="343" w:type="pct"/>
                  <w:vMerge w:val="continue"/>
                  <w:tcBorders>
                    <w:tl2br w:val="nil"/>
                    <w:tr2bl w:val="nil"/>
                  </w:tcBorders>
                  <w:noWrap w:val="0"/>
                  <w:vAlign w:val="center"/>
                </w:tcPr>
                <w:p w14:paraId="2F538BF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cs="Times New Roman"/>
                      <w:b/>
                      <w:color w:val="auto"/>
                      <w:sz w:val="21"/>
                      <w:szCs w:val="21"/>
                      <w:u w:val="none" w:color="auto"/>
                    </w:rPr>
                  </w:pPr>
                </w:p>
              </w:tc>
              <w:tc>
                <w:tcPr>
                  <w:tcW w:w="343" w:type="pct"/>
                  <w:vMerge w:val="continue"/>
                  <w:tcBorders>
                    <w:tl2br w:val="nil"/>
                    <w:tr2bl w:val="nil"/>
                  </w:tcBorders>
                  <w:noWrap w:val="0"/>
                  <w:vAlign w:val="center"/>
                </w:tcPr>
                <w:p w14:paraId="524A9F5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cs="Times New Roman"/>
                      <w:b/>
                      <w:color w:val="auto"/>
                      <w:sz w:val="21"/>
                      <w:szCs w:val="21"/>
                      <w:u w:val="none" w:color="auto"/>
                    </w:rPr>
                  </w:pPr>
                </w:p>
              </w:tc>
              <w:tc>
                <w:tcPr>
                  <w:tcW w:w="343" w:type="pct"/>
                  <w:vMerge w:val="continue"/>
                  <w:tcBorders>
                    <w:tl2br w:val="nil"/>
                    <w:tr2bl w:val="nil"/>
                  </w:tcBorders>
                  <w:noWrap w:val="0"/>
                  <w:vAlign w:val="center"/>
                </w:tcPr>
                <w:p w14:paraId="5BC6E51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cs="Times New Roman"/>
                      <w:b/>
                      <w:color w:val="auto"/>
                      <w:sz w:val="21"/>
                      <w:szCs w:val="21"/>
                      <w:u w:val="none" w:color="auto"/>
                    </w:rPr>
                  </w:pPr>
                </w:p>
              </w:tc>
              <w:tc>
                <w:tcPr>
                  <w:tcW w:w="343" w:type="pct"/>
                  <w:vMerge w:val="continue"/>
                  <w:tcBorders>
                    <w:tl2br w:val="nil"/>
                    <w:tr2bl w:val="nil"/>
                  </w:tcBorders>
                  <w:noWrap w:val="0"/>
                  <w:vAlign w:val="center"/>
                </w:tcPr>
                <w:p w14:paraId="6CB642E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cs="Times New Roman"/>
                      <w:b/>
                      <w:color w:val="auto"/>
                      <w:sz w:val="21"/>
                      <w:szCs w:val="21"/>
                      <w:u w:val="none" w:color="auto"/>
                    </w:rPr>
                  </w:pPr>
                </w:p>
              </w:tc>
              <w:tc>
                <w:tcPr>
                  <w:tcW w:w="344" w:type="pct"/>
                  <w:vMerge w:val="continue"/>
                  <w:tcBorders>
                    <w:tl2br w:val="nil"/>
                    <w:tr2bl w:val="nil"/>
                  </w:tcBorders>
                  <w:noWrap w:val="0"/>
                  <w:vAlign w:val="center"/>
                </w:tcPr>
                <w:p w14:paraId="54CD198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cs="Times New Roman"/>
                      <w:b/>
                      <w:color w:val="auto"/>
                      <w:sz w:val="21"/>
                      <w:szCs w:val="21"/>
                      <w:u w:val="none" w:color="auto"/>
                    </w:rPr>
                  </w:pPr>
                </w:p>
              </w:tc>
              <w:tc>
                <w:tcPr>
                  <w:tcW w:w="303" w:type="pct"/>
                  <w:vMerge w:val="continue"/>
                  <w:tcBorders>
                    <w:tl2br w:val="nil"/>
                    <w:tr2bl w:val="nil"/>
                  </w:tcBorders>
                  <w:noWrap w:val="0"/>
                  <w:vAlign w:val="center"/>
                </w:tcPr>
                <w:p w14:paraId="59035B2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cs="Times New Roman"/>
                      <w:b/>
                      <w:color w:val="auto"/>
                      <w:sz w:val="21"/>
                      <w:szCs w:val="21"/>
                      <w:u w:val="none" w:color="auto"/>
                    </w:rPr>
                  </w:pPr>
                </w:p>
              </w:tc>
              <w:tc>
                <w:tcPr>
                  <w:tcW w:w="370" w:type="pct"/>
                  <w:tcBorders>
                    <w:tl2br w:val="nil"/>
                    <w:tr2bl w:val="nil"/>
                  </w:tcBorders>
                  <w:noWrap w:val="0"/>
                  <w:vAlign w:val="center"/>
                </w:tcPr>
                <w:p w14:paraId="4AF0B6A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cs="Times New Roman"/>
                      <w:b/>
                      <w:color w:val="auto"/>
                      <w:sz w:val="21"/>
                      <w:szCs w:val="21"/>
                      <w:u w:val="none" w:color="auto"/>
                    </w:rPr>
                  </w:pPr>
                  <w:r>
                    <w:rPr>
                      <w:rFonts w:hint="eastAsia" w:eastAsia="宋体" w:cs="Times New Roman"/>
                      <w:b/>
                      <w:color w:val="auto"/>
                      <w:sz w:val="21"/>
                      <w:szCs w:val="21"/>
                      <w:u w:val="none" w:color="auto"/>
                    </w:rPr>
                    <w:t>污染治理设施工艺</w:t>
                  </w:r>
                </w:p>
              </w:tc>
              <w:tc>
                <w:tcPr>
                  <w:tcW w:w="438" w:type="pct"/>
                  <w:tcBorders>
                    <w:tl2br w:val="nil"/>
                    <w:tr2bl w:val="nil"/>
                  </w:tcBorders>
                  <w:noWrap w:val="0"/>
                  <w:vAlign w:val="center"/>
                </w:tcPr>
                <w:p w14:paraId="7DB224C7">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cs="Times New Roman"/>
                      <w:b/>
                      <w:color w:val="auto"/>
                      <w:sz w:val="21"/>
                      <w:szCs w:val="21"/>
                      <w:u w:val="none" w:color="auto"/>
                    </w:rPr>
                  </w:pPr>
                  <w:r>
                    <w:rPr>
                      <w:rFonts w:hint="eastAsia" w:eastAsia="宋体" w:cs="Times New Roman"/>
                      <w:b/>
                      <w:color w:val="auto"/>
                      <w:sz w:val="21"/>
                      <w:szCs w:val="21"/>
                      <w:u w:val="none" w:color="auto"/>
                    </w:rPr>
                    <w:t>污染治理设施处理能力</w:t>
                  </w:r>
                </w:p>
                <w:p w14:paraId="0048BC4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cs="Times New Roman"/>
                      <w:b/>
                      <w:color w:val="auto"/>
                      <w:sz w:val="21"/>
                      <w:szCs w:val="21"/>
                      <w:u w:val="none" w:color="auto"/>
                    </w:rPr>
                  </w:pPr>
                  <w:r>
                    <w:rPr>
                      <w:rFonts w:hint="eastAsia" w:cs="Times New Roman"/>
                      <w:b/>
                      <w:color w:val="auto"/>
                      <w:sz w:val="21"/>
                      <w:szCs w:val="21"/>
                      <w:u w:val="none" w:color="auto"/>
                    </w:rPr>
                    <w:t>m</w:t>
                  </w:r>
                  <w:r>
                    <w:rPr>
                      <w:rFonts w:hint="eastAsia" w:cs="Times New Roman"/>
                      <w:b/>
                      <w:color w:val="auto"/>
                      <w:sz w:val="21"/>
                      <w:szCs w:val="21"/>
                      <w:u w:val="none" w:color="auto"/>
                      <w:vertAlign w:val="superscript"/>
                    </w:rPr>
                    <w:t>3</w:t>
                  </w:r>
                  <w:r>
                    <w:rPr>
                      <w:rFonts w:hint="eastAsia" w:cs="Times New Roman"/>
                      <w:b/>
                      <w:color w:val="auto"/>
                      <w:sz w:val="21"/>
                      <w:szCs w:val="21"/>
                      <w:u w:val="none" w:color="auto"/>
                    </w:rPr>
                    <w:t>/h</w:t>
                  </w:r>
                </w:p>
              </w:tc>
              <w:tc>
                <w:tcPr>
                  <w:tcW w:w="460" w:type="pct"/>
                  <w:tcBorders>
                    <w:tl2br w:val="nil"/>
                    <w:tr2bl w:val="nil"/>
                  </w:tcBorders>
                  <w:noWrap w:val="0"/>
                  <w:vAlign w:val="center"/>
                </w:tcPr>
                <w:p w14:paraId="3277E2B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cs="Times New Roman"/>
                      <w:b/>
                      <w:color w:val="auto"/>
                      <w:sz w:val="21"/>
                      <w:szCs w:val="21"/>
                      <w:u w:val="none" w:color="auto"/>
                    </w:rPr>
                  </w:pPr>
                  <w:r>
                    <w:rPr>
                      <w:rFonts w:hint="eastAsia" w:eastAsia="宋体" w:cs="Times New Roman"/>
                      <w:b/>
                      <w:color w:val="auto"/>
                      <w:sz w:val="21"/>
                      <w:szCs w:val="21"/>
                      <w:u w:val="none" w:color="auto"/>
                    </w:rPr>
                    <w:t>污染治理设施处理收集效率</w:t>
                  </w:r>
                </w:p>
              </w:tc>
              <w:tc>
                <w:tcPr>
                  <w:tcW w:w="400" w:type="pct"/>
                  <w:tcBorders>
                    <w:tl2br w:val="nil"/>
                    <w:tr2bl w:val="nil"/>
                  </w:tcBorders>
                  <w:noWrap w:val="0"/>
                  <w:vAlign w:val="center"/>
                </w:tcPr>
                <w:p w14:paraId="771A9E0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cs="Times New Roman"/>
                      <w:b/>
                      <w:color w:val="auto"/>
                      <w:sz w:val="21"/>
                      <w:szCs w:val="21"/>
                      <w:u w:val="none" w:color="auto"/>
                    </w:rPr>
                  </w:pPr>
                  <w:r>
                    <w:rPr>
                      <w:rFonts w:hint="eastAsia" w:eastAsia="宋体" w:cs="Times New Roman"/>
                      <w:b/>
                      <w:color w:val="auto"/>
                      <w:sz w:val="21"/>
                      <w:szCs w:val="21"/>
                      <w:u w:val="none" w:color="auto"/>
                    </w:rPr>
                    <w:t>治理工艺去除率</w:t>
                  </w:r>
                </w:p>
              </w:tc>
              <w:tc>
                <w:tcPr>
                  <w:tcW w:w="299" w:type="pct"/>
                  <w:tcBorders>
                    <w:tl2br w:val="nil"/>
                    <w:tr2bl w:val="nil"/>
                  </w:tcBorders>
                  <w:noWrap w:val="0"/>
                  <w:vAlign w:val="center"/>
                </w:tcPr>
                <w:p w14:paraId="414AC80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cs="Times New Roman"/>
                      <w:b/>
                      <w:color w:val="auto"/>
                      <w:sz w:val="21"/>
                      <w:szCs w:val="21"/>
                      <w:u w:val="none" w:color="auto"/>
                    </w:rPr>
                  </w:pPr>
                  <w:r>
                    <w:rPr>
                      <w:rFonts w:hint="eastAsia" w:eastAsia="宋体" w:cs="Times New Roman"/>
                      <w:b/>
                      <w:color w:val="auto"/>
                      <w:sz w:val="21"/>
                      <w:szCs w:val="21"/>
                      <w:u w:val="none" w:color="auto"/>
                    </w:rPr>
                    <w:t>是否为可行技术</w:t>
                  </w:r>
                </w:p>
              </w:tc>
            </w:tr>
            <w:tr w14:paraId="667214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0" w:hRule="atLeast"/>
                <w:tblHeader/>
                <w:jc w:val="center"/>
              </w:trPr>
              <w:tc>
                <w:tcPr>
                  <w:tcW w:w="91" w:type="pct"/>
                  <w:vMerge w:val="restart"/>
                  <w:tcBorders>
                    <w:tl2br w:val="nil"/>
                    <w:tr2bl w:val="nil"/>
                  </w:tcBorders>
                  <w:noWrap w:val="0"/>
                  <w:vAlign w:val="center"/>
                </w:tcPr>
                <w:p w14:paraId="4560380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cs="Times New Roman"/>
                      <w:color w:val="auto"/>
                      <w:sz w:val="21"/>
                      <w:szCs w:val="21"/>
                      <w:u w:val="none" w:color="auto"/>
                    </w:rPr>
                  </w:pPr>
                  <w:r>
                    <w:rPr>
                      <w:rFonts w:hint="eastAsia" w:cs="Times New Roman"/>
                      <w:color w:val="auto"/>
                      <w:sz w:val="21"/>
                      <w:szCs w:val="21"/>
                      <w:u w:val="none" w:color="auto"/>
                    </w:rPr>
                    <w:t>1</w:t>
                  </w:r>
                </w:p>
              </w:tc>
              <w:tc>
                <w:tcPr>
                  <w:tcW w:w="204" w:type="pct"/>
                  <w:vMerge w:val="restart"/>
                  <w:tcBorders>
                    <w:tl2br w:val="nil"/>
                    <w:tr2bl w:val="nil"/>
                  </w:tcBorders>
                  <w:noWrap w:val="0"/>
                  <w:vAlign w:val="center"/>
                </w:tcPr>
                <w:p w14:paraId="706E7B5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cs="Times New Roman"/>
                      <w:color w:val="auto"/>
                      <w:sz w:val="21"/>
                      <w:szCs w:val="21"/>
                      <w:u w:val="none" w:color="auto"/>
                    </w:rPr>
                  </w:pPr>
                  <w:r>
                    <w:rPr>
                      <w:rFonts w:hint="eastAsia" w:cs="Times New Roman"/>
                      <w:color w:val="auto"/>
                      <w:sz w:val="21"/>
                      <w:szCs w:val="21"/>
                      <w:u w:val="none" w:color="auto"/>
                      <w:lang w:val="en-US" w:eastAsia="zh-CN"/>
                    </w:rPr>
                    <w:t>2.2t/h</w:t>
                  </w:r>
                  <w:r>
                    <w:rPr>
                      <w:rFonts w:hint="eastAsia" w:cs="Times New Roman"/>
                      <w:color w:val="auto"/>
                      <w:sz w:val="21"/>
                      <w:szCs w:val="21"/>
                      <w:u w:val="none" w:color="auto"/>
                      <w:lang w:eastAsia="zh-CN"/>
                    </w:rPr>
                    <w:t>蒸汽发生器</w:t>
                  </w:r>
                  <w:r>
                    <w:rPr>
                      <w:rFonts w:hint="eastAsia" w:eastAsia="宋体" w:cs="Times New Roman"/>
                      <w:color w:val="auto"/>
                      <w:sz w:val="21"/>
                      <w:szCs w:val="21"/>
                      <w:u w:val="none" w:color="auto"/>
                      <w:lang w:eastAsia="zh-CN"/>
                    </w:rPr>
                    <w:t>废气</w:t>
                  </w:r>
                </w:p>
              </w:tc>
              <w:tc>
                <w:tcPr>
                  <w:tcW w:w="146" w:type="pct"/>
                  <w:vMerge w:val="restart"/>
                  <w:tcBorders>
                    <w:tl2br w:val="nil"/>
                    <w:tr2bl w:val="nil"/>
                  </w:tcBorders>
                  <w:noWrap w:val="0"/>
                  <w:vAlign w:val="center"/>
                </w:tcPr>
                <w:p w14:paraId="04B4B68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cs="Times New Roman"/>
                      <w:color w:val="auto"/>
                      <w:sz w:val="21"/>
                      <w:szCs w:val="21"/>
                      <w:u w:val="none" w:color="auto"/>
                    </w:rPr>
                  </w:pPr>
                  <w:r>
                    <w:rPr>
                      <w:rFonts w:hint="eastAsia" w:eastAsia="宋体" w:cs="Times New Roman"/>
                      <w:color w:val="auto"/>
                      <w:sz w:val="21"/>
                      <w:szCs w:val="21"/>
                      <w:u w:val="none" w:color="auto"/>
                    </w:rPr>
                    <w:t>有组织</w:t>
                  </w:r>
                </w:p>
              </w:tc>
              <w:tc>
                <w:tcPr>
                  <w:tcW w:w="225" w:type="pct"/>
                  <w:tcBorders>
                    <w:tl2br w:val="nil"/>
                    <w:tr2bl w:val="nil"/>
                  </w:tcBorders>
                  <w:noWrap w:val="0"/>
                  <w:vAlign w:val="center"/>
                </w:tcPr>
                <w:p w14:paraId="0EA78E9F">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cs="Times New Roman"/>
                      <w:color w:val="auto"/>
                      <w:sz w:val="21"/>
                      <w:szCs w:val="21"/>
                      <w:u w:val="none" w:color="auto"/>
                    </w:rPr>
                  </w:pPr>
                  <w:r>
                    <w:rPr>
                      <w:rFonts w:hint="eastAsia" w:eastAsia="宋体" w:cs="Times New Roman"/>
                      <w:color w:val="auto"/>
                      <w:sz w:val="21"/>
                      <w:szCs w:val="21"/>
                      <w:u w:val="none" w:color="auto"/>
                    </w:rPr>
                    <w:t>二氧化硫</w:t>
                  </w:r>
                </w:p>
              </w:tc>
              <w:tc>
                <w:tcPr>
                  <w:tcW w:w="343" w:type="pct"/>
                  <w:tcBorders>
                    <w:tl2br w:val="nil"/>
                    <w:tr2bl w:val="nil"/>
                  </w:tcBorders>
                  <w:shd w:val="clear" w:color="auto" w:fill="auto"/>
                  <w:noWrap w:val="0"/>
                  <w:vAlign w:val="center"/>
                </w:tcPr>
                <w:p w14:paraId="2AAA5638">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0.127</w:t>
                  </w:r>
                </w:p>
              </w:tc>
              <w:tc>
                <w:tcPr>
                  <w:tcW w:w="343" w:type="pct"/>
                  <w:tcBorders>
                    <w:tl2br w:val="nil"/>
                    <w:tr2bl w:val="nil"/>
                  </w:tcBorders>
                  <w:shd w:val="clear" w:color="auto" w:fill="auto"/>
                  <w:noWrap w:val="0"/>
                  <w:vAlign w:val="center"/>
                </w:tcPr>
                <w:p w14:paraId="5554DA7F">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135.7</w:t>
                  </w:r>
                </w:p>
              </w:tc>
              <w:tc>
                <w:tcPr>
                  <w:tcW w:w="343" w:type="pct"/>
                  <w:tcBorders>
                    <w:tl2br w:val="nil"/>
                    <w:tr2bl w:val="nil"/>
                  </w:tcBorders>
                  <w:shd w:val="clear" w:color="auto" w:fill="auto"/>
                  <w:noWrap w:val="0"/>
                  <w:vAlign w:val="center"/>
                </w:tcPr>
                <w:p w14:paraId="56F44F24">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0.321</w:t>
                  </w:r>
                </w:p>
              </w:tc>
              <w:tc>
                <w:tcPr>
                  <w:tcW w:w="343" w:type="pct"/>
                  <w:tcBorders>
                    <w:tl2br w:val="nil"/>
                    <w:tr2bl w:val="nil"/>
                  </w:tcBorders>
                  <w:shd w:val="clear" w:color="auto" w:fill="auto"/>
                  <w:noWrap w:val="0"/>
                  <w:vAlign w:val="center"/>
                </w:tcPr>
                <w:p w14:paraId="034C6AC2">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0.127</w:t>
                  </w:r>
                </w:p>
              </w:tc>
              <w:tc>
                <w:tcPr>
                  <w:tcW w:w="343" w:type="pct"/>
                  <w:tcBorders>
                    <w:tl2br w:val="nil"/>
                    <w:tr2bl w:val="nil"/>
                  </w:tcBorders>
                  <w:shd w:val="clear" w:color="auto" w:fill="auto"/>
                  <w:noWrap w:val="0"/>
                  <w:vAlign w:val="center"/>
                </w:tcPr>
                <w:p w14:paraId="165D73F4">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135.7</w:t>
                  </w:r>
                </w:p>
              </w:tc>
              <w:tc>
                <w:tcPr>
                  <w:tcW w:w="344" w:type="pct"/>
                  <w:tcBorders>
                    <w:tl2br w:val="nil"/>
                    <w:tr2bl w:val="nil"/>
                  </w:tcBorders>
                  <w:shd w:val="clear" w:color="auto" w:fill="auto"/>
                  <w:noWrap w:val="0"/>
                  <w:vAlign w:val="center"/>
                </w:tcPr>
                <w:p w14:paraId="49DAE6B9">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0.321</w:t>
                  </w:r>
                </w:p>
              </w:tc>
              <w:tc>
                <w:tcPr>
                  <w:tcW w:w="303" w:type="pct"/>
                  <w:vMerge w:val="restart"/>
                  <w:tcBorders>
                    <w:tl2br w:val="nil"/>
                    <w:tr2bl w:val="nil"/>
                  </w:tcBorders>
                  <w:noWrap w:val="0"/>
                  <w:vAlign w:val="center"/>
                </w:tcPr>
                <w:p w14:paraId="780C95D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eastAsia="宋体" w:cs="Times New Roman"/>
                      <w:color w:val="auto"/>
                      <w:sz w:val="21"/>
                      <w:szCs w:val="21"/>
                      <w:u w:val="none" w:color="auto"/>
                      <w:lang w:val="en-US" w:eastAsia="zh-CN"/>
                    </w:rPr>
                  </w:pPr>
                  <w:r>
                    <w:rPr>
                      <w:rFonts w:hint="eastAsia" w:cs="Times New Roman"/>
                      <w:color w:val="auto"/>
                      <w:sz w:val="21"/>
                      <w:szCs w:val="21"/>
                      <w:u w:val="none" w:color="auto"/>
                    </w:rPr>
                    <w:t>DA00</w:t>
                  </w:r>
                  <w:r>
                    <w:rPr>
                      <w:rFonts w:hint="eastAsia" w:cs="Times New Roman"/>
                      <w:color w:val="auto"/>
                      <w:sz w:val="21"/>
                      <w:szCs w:val="21"/>
                      <w:u w:val="none" w:color="auto"/>
                      <w:lang w:val="en-US" w:eastAsia="zh-CN"/>
                    </w:rPr>
                    <w:t>1</w:t>
                  </w:r>
                </w:p>
              </w:tc>
              <w:tc>
                <w:tcPr>
                  <w:tcW w:w="370" w:type="pct"/>
                  <w:vMerge w:val="restart"/>
                  <w:tcBorders>
                    <w:tl2br w:val="nil"/>
                    <w:tr2bl w:val="nil"/>
                  </w:tcBorders>
                  <w:noWrap w:val="0"/>
                  <w:vAlign w:val="center"/>
                </w:tcPr>
                <w:p w14:paraId="2A2E386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cs="Times New Roman"/>
                      <w:color w:val="auto"/>
                      <w:sz w:val="21"/>
                      <w:szCs w:val="21"/>
                      <w:u w:val="none" w:color="auto"/>
                    </w:rPr>
                  </w:pPr>
                  <w:r>
                    <w:rPr>
                      <w:rFonts w:hint="eastAsia" w:cs="Times New Roman"/>
                      <w:color w:val="auto"/>
                      <w:sz w:val="21"/>
                      <w:szCs w:val="21"/>
                      <w:u w:val="none" w:color="auto"/>
                      <w:lang w:val="en-US" w:eastAsia="zh-CN"/>
                    </w:rPr>
                    <w:t>布袋除尘器</w:t>
                  </w:r>
                </w:p>
              </w:tc>
              <w:tc>
                <w:tcPr>
                  <w:tcW w:w="438" w:type="pct"/>
                  <w:vMerge w:val="restart"/>
                  <w:tcBorders>
                    <w:tl2br w:val="nil"/>
                    <w:tr2bl w:val="nil"/>
                  </w:tcBorders>
                  <w:noWrap w:val="0"/>
                  <w:vAlign w:val="center"/>
                </w:tcPr>
                <w:p w14:paraId="49B06E1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cs="Times New Roman"/>
                      <w:color w:val="auto"/>
                      <w:sz w:val="21"/>
                      <w:szCs w:val="21"/>
                      <w:u w:val="none" w:color="auto"/>
                    </w:rPr>
                  </w:pPr>
                  <w:r>
                    <w:rPr>
                      <w:rFonts w:hint="eastAsia" w:cs="Times New Roman"/>
                      <w:color w:val="auto"/>
                      <w:sz w:val="21"/>
                      <w:szCs w:val="21"/>
                      <w:u w:val="none" w:color="auto"/>
                      <w:lang w:val="en-US" w:eastAsia="zh-CN"/>
                    </w:rPr>
                    <w:t>烟气量2358720Nm</w:t>
                  </w:r>
                  <w:r>
                    <w:rPr>
                      <w:rFonts w:hint="eastAsia" w:cs="Times New Roman"/>
                      <w:color w:val="auto"/>
                      <w:sz w:val="21"/>
                      <w:szCs w:val="21"/>
                      <w:u w:val="none" w:color="auto"/>
                      <w:vertAlign w:val="superscript"/>
                      <w:lang w:val="en-US" w:eastAsia="zh-CN"/>
                    </w:rPr>
                    <w:t>3</w:t>
                  </w:r>
                  <w:r>
                    <w:rPr>
                      <w:rFonts w:hint="eastAsia" w:cs="Times New Roman"/>
                      <w:color w:val="auto"/>
                      <w:sz w:val="21"/>
                      <w:szCs w:val="21"/>
                      <w:u w:val="none" w:color="auto"/>
                      <w:lang w:val="en-US" w:eastAsia="zh-CN"/>
                    </w:rPr>
                    <w:t>/a</w:t>
                  </w:r>
                </w:p>
              </w:tc>
              <w:tc>
                <w:tcPr>
                  <w:tcW w:w="460" w:type="pct"/>
                  <w:tcBorders>
                    <w:tl2br w:val="nil"/>
                    <w:tr2bl w:val="nil"/>
                  </w:tcBorders>
                  <w:noWrap w:val="0"/>
                  <w:vAlign w:val="center"/>
                </w:tcPr>
                <w:p w14:paraId="3CAA180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cs="Times New Roman"/>
                      <w:color w:val="auto"/>
                      <w:sz w:val="21"/>
                      <w:szCs w:val="21"/>
                      <w:u w:val="none" w:color="auto"/>
                    </w:rPr>
                  </w:pPr>
                  <w:r>
                    <w:rPr>
                      <w:rFonts w:hint="eastAsia" w:eastAsia="宋体" w:cs="Times New Roman"/>
                      <w:color w:val="auto"/>
                      <w:sz w:val="21"/>
                      <w:szCs w:val="21"/>
                      <w:u w:val="none" w:color="auto"/>
                    </w:rPr>
                    <w:t>100%</w:t>
                  </w:r>
                </w:p>
              </w:tc>
              <w:tc>
                <w:tcPr>
                  <w:tcW w:w="400" w:type="pct"/>
                  <w:tcBorders>
                    <w:tl2br w:val="nil"/>
                    <w:tr2bl w:val="nil"/>
                  </w:tcBorders>
                  <w:noWrap w:val="0"/>
                  <w:vAlign w:val="center"/>
                </w:tcPr>
                <w:p w14:paraId="7B3AD70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cs="Times New Roman"/>
                      <w:color w:val="auto"/>
                      <w:sz w:val="21"/>
                      <w:szCs w:val="21"/>
                      <w:u w:val="none" w:color="auto"/>
                    </w:rPr>
                  </w:pPr>
                  <w:r>
                    <w:rPr>
                      <w:rFonts w:hint="eastAsia" w:eastAsia="宋体" w:cs="Times New Roman"/>
                      <w:color w:val="auto"/>
                      <w:sz w:val="21"/>
                      <w:szCs w:val="21"/>
                      <w:u w:val="none" w:color="auto"/>
                    </w:rPr>
                    <w:t>/</w:t>
                  </w:r>
                </w:p>
              </w:tc>
              <w:tc>
                <w:tcPr>
                  <w:tcW w:w="299" w:type="pct"/>
                  <w:tcBorders>
                    <w:tl2br w:val="nil"/>
                    <w:tr2bl w:val="nil"/>
                  </w:tcBorders>
                  <w:noWrap w:val="0"/>
                  <w:vAlign w:val="center"/>
                </w:tcPr>
                <w:p w14:paraId="419BBF9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cs="Times New Roman"/>
                      <w:color w:val="auto"/>
                      <w:sz w:val="21"/>
                      <w:szCs w:val="21"/>
                      <w:u w:val="none" w:color="auto"/>
                    </w:rPr>
                  </w:pPr>
                  <w:r>
                    <w:rPr>
                      <w:rFonts w:hint="eastAsia" w:eastAsia="宋体" w:cs="Times New Roman"/>
                      <w:color w:val="auto"/>
                      <w:sz w:val="21"/>
                      <w:szCs w:val="21"/>
                      <w:u w:val="none" w:color="auto"/>
                    </w:rPr>
                    <w:t>/</w:t>
                  </w:r>
                </w:p>
              </w:tc>
            </w:tr>
            <w:tr w14:paraId="64F869D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16" w:hRule="atLeast"/>
                <w:tblHeader/>
                <w:jc w:val="center"/>
              </w:trPr>
              <w:tc>
                <w:tcPr>
                  <w:tcW w:w="91" w:type="pct"/>
                  <w:vMerge w:val="continue"/>
                  <w:tcBorders>
                    <w:tl2br w:val="nil"/>
                    <w:tr2bl w:val="nil"/>
                  </w:tcBorders>
                  <w:noWrap w:val="0"/>
                  <w:vAlign w:val="center"/>
                </w:tcPr>
                <w:p w14:paraId="2FC873C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cs="Times New Roman"/>
                      <w:color w:val="auto"/>
                      <w:sz w:val="21"/>
                      <w:szCs w:val="21"/>
                      <w:u w:val="none" w:color="auto"/>
                    </w:rPr>
                  </w:pPr>
                </w:p>
              </w:tc>
              <w:tc>
                <w:tcPr>
                  <w:tcW w:w="204" w:type="pct"/>
                  <w:vMerge w:val="continue"/>
                  <w:tcBorders>
                    <w:tl2br w:val="nil"/>
                    <w:tr2bl w:val="nil"/>
                  </w:tcBorders>
                  <w:noWrap w:val="0"/>
                  <w:vAlign w:val="center"/>
                </w:tcPr>
                <w:p w14:paraId="02813B3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cs="Times New Roman"/>
                      <w:color w:val="auto"/>
                      <w:sz w:val="21"/>
                      <w:szCs w:val="21"/>
                      <w:u w:val="none" w:color="auto"/>
                    </w:rPr>
                  </w:pPr>
                </w:p>
              </w:tc>
              <w:tc>
                <w:tcPr>
                  <w:tcW w:w="146" w:type="pct"/>
                  <w:vMerge w:val="continue"/>
                  <w:tcBorders>
                    <w:tl2br w:val="nil"/>
                    <w:tr2bl w:val="nil"/>
                  </w:tcBorders>
                  <w:noWrap w:val="0"/>
                  <w:vAlign w:val="center"/>
                </w:tcPr>
                <w:p w14:paraId="1BC6E01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cs="Times New Roman"/>
                      <w:color w:val="auto"/>
                      <w:sz w:val="21"/>
                      <w:szCs w:val="21"/>
                      <w:u w:val="none" w:color="auto"/>
                    </w:rPr>
                  </w:pPr>
                </w:p>
              </w:tc>
              <w:tc>
                <w:tcPr>
                  <w:tcW w:w="225" w:type="pct"/>
                  <w:tcBorders>
                    <w:tl2br w:val="nil"/>
                    <w:tr2bl w:val="nil"/>
                  </w:tcBorders>
                  <w:noWrap w:val="0"/>
                  <w:vAlign w:val="center"/>
                </w:tcPr>
                <w:p w14:paraId="29E4EC4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cs="Times New Roman"/>
                      <w:color w:val="auto"/>
                      <w:kern w:val="0"/>
                      <w:sz w:val="21"/>
                      <w:szCs w:val="21"/>
                      <w:u w:val="none" w:color="auto"/>
                    </w:rPr>
                  </w:pPr>
                  <w:r>
                    <w:rPr>
                      <w:rFonts w:hint="eastAsia" w:eastAsia="宋体" w:cs="Times New Roman"/>
                      <w:color w:val="auto"/>
                      <w:sz w:val="21"/>
                      <w:szCs w:val="21"/>
                      <w:u w:val="none" w:color="auto"/>
                    </w:rPr>
                    <w:t>氮氧化物</w:t>
                  </w:r>
                </w:p>
              </w:tc>
              <w:tc>
                <w:tcPr>
                  <w:tcW w:w="343" w:type="pct"/>
                  <w:tcBorders>
                    <w:tl2br w:val="nil"/>
                    <w:tr2bl w:val="nil"/>
                  </w:tcBorders>
                  <w:shd w:val="clear" w:color="auto" w:fill="auto"/>
                  <w:noWrap w:val="0"/>
                  <w:vAlign w:val="center"/>
                </w:tcPr>
                <w:p w14:paraId="7FD48F45">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0.153</w:t>
                  </w:r>
                </w:p>
              </w:tc>
              <w:tc>
                <w:tcPr>
                  <w:tcW w:w="343" w:type="pct"/>
                  <w:tcBorders>
                    <w:tl2br w:val="nil"/>
                    <w:tr2bl w:val="nil"/>
                  </w:tcBorders>
                  <w:shd w:val="clear" w:color="auto" w:fill="auto"/>
                  <w:noWrap w:val="0"/>
                  <w:vAlign w:val="center"/>
                </w:tcPr>
                <w:p w14:paraId="77A13CAC">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163.5</w:t>
                  </w:r>
                </w:p>
              </w:tc>
              <w:tc>
                <w:tcPr>
                  <w:tcW w:w="343" w:type="pct"/>
                  <w:tcBorders>
                    <w:tl2br w:val="nil"/>
                    <w:tr2bl w:val="nil"/>
                  </w:tcBorders>
                  <w:shd w:val="clear" w:color="auto" w:fill="auto"/>
                  <w:noWrap w:val="0"/>
                  <w:vAlign w:val="center"/>
                </w:tcPr>
                <w:p w14:paraId="355FA7EF">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0.386</w:t>
                  </w:r>
                </w:p>
              </w:tc>
              <w:tc>
                <w:tcPr>
                  <w:tcW w:w="343" w:type="pct"/>
                  <w:tcBorders>
                    <w:tl2br w:val="nil"/>
                    <w:tr2bl w:val="nil"/>
                  </w:tcBorders>
                  <w:shd w:val="clear" w:color="auto" w:fill="auto"/>
                  <w:noWrap w:val="0"/>
                  <w:vAlign w:val="center"/>
                </w:tcPr>
                <w:p w14:paraId="2B317050">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0.153</w:t>
                  </w:r>
                </w:p>
              </w:tc>
              <w:tc>
                <w:tcPr>
                  <w:tcW w:w="343" w:type="pct"/>
                  <w:tcBorders>
                    <w:tl2br w:val="nil"/>
                    <w:tr2bl w:val="nil"/>
                  </w:tcBorders>
                  <w:shd w:val="clear" w:color="auto" w:fill="auto"/>
                  <w:noWrap w:val="0"/>
                  <w:vAlign w:val="center"/>
                </w:tcPr>
                <w:p w14:paraId="23D15EBF">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163.5</w:t>
                  </w:r>
                </w:p>
              </w:tc>
              <w:tc>
                <w:tcPr>
                  <w:tcW w:w="344" w:type="pct"/>
                  <w:tcBorders>
                    <w:tl2br w:val="nil"/>
                    <w:tr2bl w:val="nil"/>
                  </w:tcBorders>
                  <w:shd w:val="clear" w:color="auto" w:fill="auto"/>
                  <w:noWrap w:val="0"/>
                  <w:vAlign w:val="center"/>
                </w:tcPr>
                <w:p w14:paraId="5E9CF294">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0.386</w:t>
                  </w:r>
                </w:p>
              </w:tc>
              <w:tc>
                <w:tcPr>
                  <w:tcW w:w="303" w:type="pct"/>
                  <w:vMerge w:val="continue"/>
                  <w:tcBorders>
                    <w:tl2br w:val="nil"/>
                    <w:tr2bl w:val="nil"/>
                  </w:tcBorders>
                  <w:noWrap w:val="0"/>
                  <w:vAlign w:val="center"/>
                </w:tcPr>
                <w:p w14:paraId="4EC1132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cs="Times New Roman"/>
                      <w:color w:val="auto"/>
                      <w:sz w:val="21"/>
                      <w:szCs w:val="21"/>
                      <w:u w:val="none" w:color="auto"/>
                    </w:rPr>
                  </w:pPr>
                </w:p>
              </w:tc>
              <w:tc>
                <w:tcPr>
                  <w:tcW w:w="370" w:type="pct"/>
                  <w:vMerge w:val="continue"/>
                  <w:tcBorders>
                    <w:tl2br w:val="nil"/>
                    <w:tr2bl w:val="nil"/>
                  </w:tcBorders>
                  <w:noWrap w:val="0"/>
                  <w:vAlign w:val="center"/>
                </w:tcPr>
                <w:p w14:paraId="26BB3F6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cs="Times New Roman"/>
                      <w:color w:val="auto"/>
                      <w:sz w:val="21"/>
                      <w:szCs w:val="21"/>
                      <w:u w:val="none" w:color="auto"/>
                    </w:rPr>
                  </w:pPr>
                </w:p>
              </w:tc>
              <w:tc>
                <w:tcPr>
                  <w:tcW w:w="438" w:type="pct"/>
                  <w:vMerge w:val="continue"/>
                  <w:tcBorders>
                    <w:tl2br w:val="nil"/>
                    <w:tr2bl w:val="nil"/>
                  </w:tcBorders>
                  <w:noWrap w:val="0"/>
                  <w:vAlign w:val="center"/>
                </w:tcPr>
                <w:p w14:paraId="1C6F28D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cs="Times New Roman"/>
                      <w:color w:val="auto"/>
                      <w:sz w:val="21"/>
                      <w:szCs w:val="21"/>
                      <w:u w:val="none" w:color="auto"/>
                    </w:rPr>
                  </w:pPr>
                </w:p>
              </w:tc>
              <w:tc>
                <w:tcPr>
                  <w:tcW w:w="460" w:type="pct"/>
                  <w:tcBorders>
                    <w:tl2br w:val="nil"/>
                    <w:tr2bl w:val="nil"/>
                  </w:tcBorders>
                  <w:noWrap w:val="0"/>
                  <w:vAlign w:val="center"/>
                </w:tcPr>
                <w:p w14:paraId="37EBE04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cs="Times New Roman"/>
                      <w:color w:val="auto"/>
                      <w:sz w:val="21"/>
                      <w:szCs w:val="21"/>
                      <w:u w:val="none" w:color="auto"/>
                    </w:rPr>
                  </w:pPr>
                  <w:r>
                    <w:rPr>
                      <w:rFonts w:hint="eastAsia" w:eastAsia="宋体" w:cs="Times New Roman"/>
                      <w:color w:val="auto"/>
                      <w:sz w:val="21"/>
                      <w:szCs w:val="21"/>
                      <w:u w:val="none" w:color="auto"/>
                    </w:rPr>
                    <w:t>100%</w:t>
                  </w:r>
                </w:p>
              </w:tc>
              <w:tc>
                <w:tcPr>
                  <w:tcW w:w="400" w:type="pct"/>
                  <w:tcBorders>
                    <w:tl2br w:val="nil"/>
                    <w:tr2bl w:val="nil"/>
                  </w:tcBorders>
                  <w:noWrap w:val="0"/>
                  <w:vAlign w:val="center"/>
                </w:tcPr>
                <w:p w14:paraId="2A5C5F6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w:t>
                  </w:r>
                </w:p>
              </w:tc>
              <w:tc>
                <w:tcPr>
                  <w:tcW w:w="299" w:type="pct"/>
                  <w:tcBorders>
                    <w:tl2br w:val="nil"/>
                    <w:tr2bl w:val="nil"/>
                  </w:tcBorders>
                  <w:noWrap w:val="0"/>
                  <w:vAlign w:val="center"/>
                </w:tcPr>
                <w:p w14:paraId="376C56E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eastAsia="宋体" w:cs="Times New Roman"/>
                      <w:color w:val="auto"/>
                      <w:sz w:val="21"/>
                      <w:szCs w:val="21"/>
                      <w:u w:val="none" w:color="auto"/>
                      <w:lang w:eastAsia="zh-CN"/>
                    </w:rPr>
                  </w:pPr>
                  <w:r>
                    <w:rPr>
                      <w:rFonts w:hint="eastAsia" w:eastAsia="宋体" w:cs="Times New Roman"/>
                      <w:color w:val="auto"/>
                      <w:sz w:val="21"/>
                      <w:szCs w:val="21"/>
                      <w:u w:val="none" w:color="auto"/>
                      <w:lang w:val="en-US" w:eastAsia="zh-CN"/>
                    </w:rPr>
                    <w:t>/</w:t>
                  </w:r>
                </w:p>
              </w:tc>
            </w:tr>
            <w:tr w14:paraId="3B7B1E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12" w:hRule="atLeast"/>
                <w:tblHeader/>
                <w:jc w:val="center"/>
              </w:trPr>
              <w:tc>
                <w:tcPr>
                  <w:tcW w:w="91" w:type="pct"/>
                  <w:vMerge w:val="continue"/>
                  <w:tcBorders>
                    <w:tl2br w:val="nil"/>
                    <w:tr2bl w:val="nil"/>
                  </w:tcBorders>
                  <w:noWrap w:val="0"/>
                  <w:vAlign w:val="center"/>
                </w:tcPr>
                <w:p w14:paraId="1F5FE85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cs="Times New Roman"/>
                      <w:color w:val="auto"/>
                      <w:sz w:val="21"/>
                      <w:szCs w:val="21"/>
                      <w:u w:val="none" w:color="auto"/>
                    </w:rPr>
                  </w:pPr>
                </w:p>
              </w:tc>
              <w:tc>
                <w:tcPr>
                  <w:tcW w:w="204" w:type="pct"/>
                  <w:vMerge w:val="continue"/>
                  <w:tcBorders>
                    <w:tl2br w:val="nil"/>
                    <w:tr2bl w:val="nil"/>
                  </w:tcBorders>
                  <w:noWrap w:val="0"/>
                  <w:vAlign w:val="center"/>
                </w:tcPr>
                <w:p w14:paraId="17D368C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cs="Times New Roman"/>
                      <w:color w:val="auto"/>
                      <w:sz w:val="21"/>
                      <w:szCs w:val="21"/>
                      <w:u w:val="none" w:color="auto"/>
                    </w:rPr>
                  </w:pPr>
                </w:p>
              </w:tc>
              <w:tc>
                <w:tcPr>
                  <w:tcW w:w="146" w:type="pct"/>
                  <w:vMerge w:val="continue"/>
                  <w:tcBorders>
                    <w:tl2br w:val="nil"/>
                    <w:tr2bl w:val="nil"/>
                  </w:tcBorders>
                  <w:noWrap w:val="0"/>
                  <w:vAlign w:val="center"/>
                </w:tcPr>
                <w:p w14:paraId="5BC0AF8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cs="Times New Roman"/>
                      <w:color w:val="auto"/>
                      <w:sz w:val="21"/>
                      <w:szCs w:val="21"/>
                      <w:u w:val="none" w:color="auto"/>
                    </w:rPr>
                  </w:pPr>
                </w:p>
              </w:tc>
              <w:tc>
                <w:tcPr>
                  <w:tcW w:w="225" w:type="pct"/>
                  <w:tcBorders>
                    <w:tl2br w:val="nil"/>
                    <w:tr2bl w:val="nil"/>
                  </w:tcBorders>
                  <w:noWrap w:val="0"/>
                  <w:vAlign w:val="center"/>
                </w:tcPr>
                <w:p w14:paraId="7D39121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rPr>
                      <w:rFonts w:hint="eastAsia" w:cs="Times New Roman"/>
                      <w:color w:val="auto"/>
                      <w:kern w:val="0"/>
                      <w:sz w:val="21"/>
                      <w:szCs w:val="21"/>
                      <w:u w:val="none" w:color="auto"/>
                    </w:rPr>
                  </w:pPr>
                  <w:r>
                    <w:rPr>
                      <w:rFonts w:hint="eastAsia" w:eastAsia="宋体" w:cs="Times New Roman"/>
                      <w:color w:val="auto"/>
                      <w:sz w:val="21"/>
                      <w:szCs w:val="21"/>
                      <w:u w:val="none" w:color="auto"/>
                    </w:rPr>
                    <w:t>颗粒物</w:t>
                  </w:r>
                </w:p>
              </w:tc>
              <w:tc>
                <w:tcPr>
                  <w:tcW w:w="343" w:type="pct"/>
                  <w:tcBorders>
                    <w:tl2br w:val="nil"/>
                    <w:tr2bl w:val="nil"/>
                  </w:tcBorders>
                  <w:shd w:val="clear" w:color="auto" w:fill="auto"/>
                  <w:noWrap w:val="0"/>
                  <w:vAlign w:val="center"/>
                </w:tcPr>
                <w:p w14:paraId="7C4FD106">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0.075</w:t>
                  </w:r>
                </w:p>
              </w:tc>
              <w:tc>
                <w:tcPr>
                  <w:tcW w:w="343" w:type="pct"/>
                  <w:tcBorders>
                    <w:tl2br w:val="nil"/>
                    <w:tr2bl w:val="nil"/>
                  </w:tcBorders>
                  <w:shd w:val="clear" w:color="auto" w:fill="auto"/>
                  <w:noWrap w:val="0"/>
                  <w:vAlign w:val="center"/>
                </w:tcPr>
                <w:p w14:paraId="45BFE66F">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80.1</w:t>
                  </w:r>
                </w:p>
              </w:tc>
              <w:tc>
                <w:tcPr>
                  <w:tcW w:w="343" w:type="pct"/>
                  <w:tcBorders>
                    <w:tl2br w:val="nil"/>
                    <w:tr2bl w:val="nil"/>
                  </w:tcBorders>
                  <w:shd w:val="clear" w:color="auto" w:fill="auto"/>
                  <w:noWrap w:val="0"/>
                  <w:vAlign w:val="center"/>
                </w:tcPr>
                <w:p w14:paraId="2F8EA35E">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0.189</w:t>
                  </w:r>
                </w:p>
              </w:tc>
              <w:tc>
                <w:tcPr>
                  <w:tcW w:w="343" w:type="pct"/>
                  <w:tcBorders>
                    <w:tl2br w:val="nil"/>
                    <w:tr2bl w:val="nil"/>
                  </w:tcBorders>
                  <w:shd w:val="clear" w:color="auto" w:fill="auto"/>
                  <w:noWrap w:val="0"/>
                  <w:vAlign w:val="center"/>
                </w:tcPr>
                <w:p w14:paraId="77C384E8">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0.001</w:t>
                  </w:r>
                </w:p>
              </w:tc>
              <w:tc>
                <w:tcPr>
                  <w:tcW w:w="343" w:type="pct"/>
                  <w:tcBorders>
                    <w:tl2br w:val="nil"/>
                    <w:tr2bl w:val="nil"/>
                  </w:tcBorders>
                  <w:shd w:val="clear" w:color="auto" w:fill="auto"/>
                  <w:noWrap w:val="0"/>
                  <w:vAlign w:val="center"/>
                </w:tcPr>
                <w:p w14:paraId="763D8408">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1.27</w:t>
                  </w:r>
                </w:p>
              </w:tc>
              <w:tc>
                <w:tcPr>
                  <w:tcW w:w="344" w:type="pct"/>
                  <w:tcBorders>
                    <w:tl2br w:val="nil"/>
                    <w:tr2bl w:val="nil"/>
                  </w:tcBorders>
                  <w:shd w:val="clear" w:color="auto" w:fill="auto"/>
                  <w:noWrap w:val="0"/>
                  <w:vAlign w:val="center"/>
                </w:tcPr>
                <w:p w14:paraId="737505D1">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0.003</w:t>
                  </w:r>
                </w:p>
              </w:tc>
              <w:tc>
                <w:tcPr>
                  <w:tcW w:w="303" w:type="pct"/>
                  <w:vMerge w:val="continue"/>
                  <w:tcBorders>
                    <w:tl2br w:val="nil"/>
                    <w:tr2bl w:val="nil"/>
                  </w:tcBorders>
                  <w:noWrap w:val="0"/>
                  <w:vAlign w:val="center"/>
                </w:tcPr>
                <w:p w14:paraId="48DFC09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cs="Times New Roman"/>
                      <w:color w:val="auto"/>
                      <w:sz w:val="21"/>
                      <w:szCs w:val="21"/>
                      <w:u w:val="none" w:color="auto"/>
                    </w:rPr>
                  </w:pPr>
                </w:p>
              </w:tc>
              <w:tc>
                <w:tcPr>
                  <w:tcW w:w="370" w:type="pct"/>
                  <w:vMerge w:val="continue"/>
                  <w:tcBorders>
                    <w:tl2br w:val="nil"/>
                    <w:tr2bl w:val="nil"/>
                  </w:tcBorders>
                  <w:noWrap w:val="0"/>
                  <w:vAlign w:val="center"/>
                </w:tcPr>
                <w:p w14:paraId="340BF96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cs="Times New Roman"/>
                      <w:color w:val="auto"/>
                      <w:sz w:val="21"/>
                      <w:szCs w:val="21"/>
                      <w:u w:val="none" w:color="auto"/>
                    </w:rPr>
                  </w:pPr>
                </w:p>
              </w:tc>
              <w:tc>
                <w:tcPr>
                  <w:tcW w:w="438" w:type="pct"/>
                  <w:vMerge w:val="continue"/>
                  <w:tcBorders>
                    <w:tl2br w:val="nil"/>
                    <w:tr2bl w:val="nil"/>
                  </w:tcBorders>
                  <w:noWrap w:val="0"/>
                  <w:vAlign w:val="center"/>
                </w:tcPr>
                <w:p w14:paraId="231728C1">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cs="Times New Roman"/>
                      <w:color w:val="auto"/>
                      <w:sz w:val="21"/>
                      <w:szCs w:val="21"/>
                      <w:u w:val="none" w:color="auto"/>
                    </w:rPr>
                  </w:pPr>
                </w:p>
              </w:tc>
              <w:tc>
                <w:tcPr>
                  <w:tcW w:w="460" w:type="pct"/>
                  <w:tcBorders>
                    <w:tl2br w:val="nil"/>
                    <w:tr2bl w:val="nil"/>
                  </w:tcBorders>
                  <w:noWrap w:val="0"/>
                  <w:vAlign w:val="center"/>
                </w:tcPr>
                <w:p w14:paraId="46EA7A8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cs="Times New Roman"/>
                      <w:color w:val="auto"/>
                      <w:sz w:val="21"/>
                      <w:szCs w:val="21"/>
                      <w:u w:val="none" w:color="auto"/>
                    </w:rPr>
                  </w:pPr>
                  <w:r>
                    <w:rPr>
                      <w:rFonts w:hint="eastAsia" w:eastAsia="宋体" w:cs="Times New Roman"/>
                      <w:color w:val="auto"/>
                      <w:sz w:val="21"/>
                      <w:szCs w:val="21"/>
                      <w:u w:val="none" w:color="auto"/>
                    </w:rPr>
                    <w:t>100%</w:t>
                  </w:r>
                </w:p>
              </w:tc>
              <w:tc>
                <w:tcPr>
                  <w:tcW w:w="400" w:type="pct"/>
                  <w:tcBorders>
                    <w:tl2br w:val="nil"/>
                    <w:tr2bl w:val="nil"/>
                  </w:tcBorders>
                  <w:noWrap w:val="0"/>
                  <w:vAlign w:val="center"/>
                </w:tcPr>
                <w:p w14:paraId="384CFBF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98.4%</w:t>
                  </w:r>
                </w:p>
              </w:tc>
              <w:tc>
                <w:tcPr>
                  <w:tcW w:w="299" w:type="pct"/>
                  <w:tcBorders>
                    <w:tl2br w:val="nil"/>
                    <w:tr2bl w:val="nil"/>
                  </w:tcBorders>
                  <w:noWrap w:val="0"/>
                  <w:vAlign w:val="center"/>
                </w:tcPr>
                <w:p w14:paraId="52E8B1C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eastAsia="宋体" w:cs="Times New Roman"/>
                      <w:color w:val="auto"/>
                      <w:sz w:val="21"/>
                      <w:szCs w:val="21"/>
                      <w:u w:val="none" w:color="auto"/>
                      <w:lang w:eastAsia="zh-CN"/>
                    </w:rPr>
                  </w:pPr>
                  <w:r>
                    <w:rPr>
                      <w:rFonts w:hint="eastAsia" w:cs="Times New Roman"/>
                      <w:color w:val="auto"/>
                      <w:sz w:val="21"/>
                      <w:szCs w:val="21"/>
                      <w:u w:val="none" w:color="auto"/>
                      <w:lang w:val="en-US" w:eastAsia="zh-CN"/>
                    </w:rPr>
                    <w:t>是</w:t>
                  </w:r>
                </w:p>
              </w:tc>
            </w:tr>
            <w:tr w14:paraId="3FA8224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12" w:hRule="atLeast"/>
                <w:tblHeader/>
                <w:jc w:val="center"/>
              </w:trPr>
              <w:tc>
                <w:tcPr>
                  <w:tcW w:w="91" w:type="pct"/>
                  <w:vMerge w:val="restart"/>
                  <w:tcBorders>
                    <w:tl2br w:val="nil"/>
                    <w:tr2bl w:val="nil"/>
                  </w:tcBorders>
                  <w:noWrap w:val="0"/>
                  <w:vAlign w:val="center"/>
                </w:tcPr>
                <w:p w14:paraId="73FDBD0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2</w:t>
                  </w:r>
                </w:p>
              </w:tc>
              <w:tc>
                <w:tcPr>
                  <w:tcW w:w="204" w:type="pct"/>
                  <w:vMerge w:val="restart"/>
                  <w:tcBorders>
                    <w:tl2br w:val="nil"/>
                    <w:tr2bl w:val="nil"/>
                  </w:tcBorders>
                  <w:noWrap w:val="0"/>
                  <w:vAlign w:val="center"/>
                </w:tcPr>
                <w:p w14:paraId="74AEFD5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eastAsia="宋体" w:cs="Times New Roman"/>
                      <w:color w:val="auto"/>
                      <w:sz w:val="21"/>
                      <w:szCs w:val="21"/>
                      <w:u w:val="none" w:color="auto"/>
                      <w:lang w:eastAsia="zh-CN"/>
                    </w:rPr>
                  </w:pPr>
                  <w:r>
                    <w:rPr>
                      <w:rFonts w:hint="eastAsia" w:cs="Times New Roman"/>
                      <w:color w:val="auto"/>
                      <w:sz w:val="21"/>
                      <w:szCs w:val="21"/>
                      <w:u w:val="none" w:color="auto"/>
                      <w:lang w:val="en-US" w:eastAsia="zh-CN"/>
                    </w:rPr>
                    <w:t>2.5t/h</w:t>
                  </w:r>
                  <w:r>
                    <w:rPr>
                      <w:rFonts w:hint="eastAsia" w:cs="Times New Roman"/>
                      <w:color w:val="auto"/>
                      <w:sz w:val="21"/>
                      <w:szCs w:val="21"/>
                      <w:u w:val="none" w:color="auto"/>
                      <w:lang w:eastAsia="zh-CN"/>
                    </w:rPr>
                    <w:t>蒸汽发生器废气</w:t>
                  </w:r>
                </w:p>
              </w:tc>
              <w:tc>
                <w:tcPr>
                  <w:tcW w:w="146" w:type="pct"/>
                  <w:vMerge w:val="restart"/>
                  <w:tcBorders>
                    <w:tl2br w:val="nil"/>
                    <w:tr2bl w:val="nil"/>
                  </w:tcBorders>
                  <w:noWrap w:val="0"/>
                  <w:vAlign w:val="center"/>
                </w:tcPr>
                <w:p w14:paraId="59E3158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eastAsia="宋体" w:cs="Times New Roman"/>
                      <w:color w:val="auto"/>
                      <w:sz w:val="21"/>
                      <w:szCs w:val="21"/>
                      <w:u w:val="none" w:color="auto"/>
                      <w:lang w:eastAsia="zh-CN"/>
                    </w:rPr>
                  </w:pPr>
                  <w:r>
                    <w:rPr>
                      <w:rFonts w:hint="eastAsia" w:cs="Times New Roman"/>
                      <w:color w:val="auto"/>
                      <w:sz w:val="21"/>
                      <w:szCs w:val="21"/>
                      <w:u w:val="none" w:color="auto"/>
                      <w:lang w:eastAsia="zh-CN"/>
                    </w:rPr>
                    <w:t>有组织</w:t>
                  </w:r>
                </w:p>
              </w:tc>
              <w:tc>
                <w:tcPr>
                  <w:tcW w:w="225" w:type="pct"/>
                  <w:tcBorders>
                    <w:tl2br w:val="nil"/>
                    <w:tr2bl w:val="nil"/>
                  </w:tcBorders>
                  <w:shd w:val="clear" w:color="auto" w:fill="auto"/>
                  <w:noWrap w:val="0"/>
                  <w:vAlign w:val="center"/>
                </w:tcPr>
                <w:p w14:paraId="24A2070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1"/>
                      <w:u w:val="none" w:color="auto"/>
                      <w:lang w:val="en-US" w:eastAsia="zh-CN" w:bidi="ar-SA"/>
                    </w:rPr>
                  </w:pPr>
                  <w:r>
                    <w:rPr>
                      <w:rFonts w:hint="eastAsia" w:eastAsia="宋体" w:cs="Times New Roman"/>
                      <w:color w:val="auto"/>
                      <w:sz w:val="21"/>
                      <w:szCs w:val="21"/>
                      <w:u w:val="none" w:color="auto"/>
                    </w:rPr>
                    <w:t>二氧化硫</w:t>
                  </w:r>
                </w:p>
              </w:tc>
              <w:tc>
                <w:tcPr>
                  <w:tcW w:w="343" w:type="pct"/>
                  <w:tcBorders>
                    <w:tl2br w:val="nil"/>
                    <w:tr2bl w:val="nil"/>
                  </w:tcBorders>
                  <w:shd w:val="clear" w:color="auto" w:fill="auto"/>
                  <w:noWrap w:val="0"/>
                  <w:vAlign w:val="center"/>
                </w:tcPr>
                <w:p w14:paraId="63DBE19D">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0.196</w:t>
                  </w:r>
                </w:p>
              </w:tc>
              <w:tc>
                <w:tcPr>
                  <w:tcW w:w="343" w:type="pct"/>
                  <w:tcBorders>
                    <w:tl2br w:val="nil"/>
                    <w:tr2bl w:val="nil"/>
                  </w:tcBorders>
                  <w:shd w:val="clear" w:color="auto" w:fill="auto"/>
                  <w:noWrap w:val="0"/>
                  <w:vAlign w:val="center"/>
                </w:tcPr>
                <w:p w14:paraId="288DC632">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136.4</w:t>
                  </w:r>
                </w:p>
              </w:tc>
              <w:tc>
                <w:tcPr>
                  <w:tcW w:w="343" w:type="pct"/>
                  <w:tcBorders>
                    <w:tl2br w:val="nil"/>
                    <w:tr2bl w:val="nil"/>
                  </w:tcBorders>
                  <w:shd w:val="clear" w:color="auto" w:fill="auto"/>
                  <w:noWrap w:val="0"/>
                  <w:vAlign w:val="center"/>
                </w:tcPr>
                <w:p w14:paraId="018D2519">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0.616</w:t>
                  </w:r>
                </w:p>
              </w:tc>
              <w:tc>
                <w:tcPr>
                  <w:tcW w:w="343" w:type="pct"/>
                  <w:tcBorders>
                    <w:tl2br w:val="nil"/>
                    <w:tr2bl w:val="nil"/>
                  </w:tcBorders>
                  <w:shd w:val="clear" w:color="auto" w:fill="auto"/>
                  <w:noWrap w:val="0"/>
                  <w:vAlign w:val="center"/>
                </w:tcPr>
                <w:p w14:paraId="0587AC5C">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0.196</w:t>
                  </w:r>
                </w:p>
              </w:tc>
              <w:tc>
                <w:tcPr>
                  <w:tcW w:w="343" w:type="pct"/>
                  <w:tcBorders>
                    <w:tl2br w:val="nil"/>
                    <w:tr2bl w:val="nil"/>
                  </w:tcBorders>
                  <w:shd w:val="clear" w:color="auto" w:fill="auto"/>
                  <w:noWrap w:val="0"/>
                  <w:vAlign w:val="center"/>
                </w:tcPr>
                <w:p w14:paraId="3F09CE07">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136.4</w:t>
                  </w:r>
                </w:p>
              </w:tc>
              <w:tc>
                <w:tcPr>
                  <w:tcW w:w="344" w:type="pct"/>
                  <w:tcBorders>
                    <w:tl2br w:val="nil"/>
                    <w:tr2bl w:val="nil"/>
                  </w:tcBorders>
                  <w:shd w:val="clear" w:color="auto" w:fill="auto"/>
                  <w:noWrap w:val="0"/>
                  <w:vAlign w:val="center"/>
                </w:tcPr>
                <w:p w14:paraId="4B58B1B8">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0.616</w:t>
                  </w:r>
                </w:p>
              </w:tc>
              <w:tc>
                <w:tcPr>
                  <w:tcW w:w="303" w:type="pct"/>
                  <w:vMerge w:val="restart"/>
                  <w:tcBorders>
                    <w:tl2br w:val="nil"/>
                    <w:tr2bl w:val="nil"/>
                  </w:tcBorders>
                  <w:noWrap w:val="0"/>
                  <w:vAlign w:val="center"/>
                </w:tcPr>
                <w:p w14:paraId="473D2BB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DA002</w:t>
                  </w:r>
                </w:p>
              </w:tc>
              <w:tc>
                <w:tcPr>
                  <w:tcW w:w="370" w:type="pct"/>
                  <w:vMerge w:val="restart"/>
                  <w:tcBorders>
                    <w:tl2br w:val="nil"/>
                    <w:tr2bl w:val="nil"/>
                  </w:tcBorders>
                  <w:noWrap w:val="0"/>
                  <w:vAlign w:val="center"/>
                </w:tcPr>
                <w:p w14:paraId="44EE076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eastAsia="宋体" w:cs="Times New Roman"/>
                      <w:color w:val="auto"/>
                      <w:sz w:val="21"/>
                      <w:szCs w:val="21"/>
                      <w:u w:val="none" w:color="auto"/>
                      <w:lang w:eastAsia="zh-CN"/>
                    </w:rPr>
                  </w:pPr>
                  <w:r>
                    <w:rPr>
                      <w:rFonts w:hint="eastAsia" w:cs="Times New Roman"/>
                      <w:color w:val="auto"/>
                      <w:sz w:val="21"/>
                      <w:szCs w:val="21"/>
                      <w:u w:val="none" w:color="auto"/>
                      <w:lang w:eastAsia="zh-CN"/>
                    </w:rPr>
                    <w:t>布袋除尘器</w:t>
                  </w:r>
                </w:p>
              </w:tc>
              <w:tc>
                <w:tcPr>
                  <w:tcW w:w="438" w:type="pct"/>
                  <w:vMerge w:val="restart"/>
                  <w:tcBorders>
                    <w:tl2br w:val="nil"/>
                    <w:tr2bl w:val="nil"/>
                  </w:tcBorders>
                  <w:noWrap w:val="0"/>
                  <w:vAlign w:val="center"/>
                </w:tcPr>
                <w:p w14:paraId="6A05E8E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eastAsia="宋体" w:cs="Times New Roman"/>
                      <w:color w:val="auto"/>
                      <w:sz w:val="21"/>
                      <w:szCs w:val="21"/>
                      <w:u w:val="none" w:color="auto"/>
                      <w:lang w:eastAsia="zh-CN"/>
                    </w:rPr>
                  </w:pPr>
                  <w:r>
                    <w:rPr>
                      <w:rFonts w:hint="eastAsia" w:cs="Times New Roman"/>
                      <w:color w:val="auto"/>
                      <w:sz w:val="21"/>
                      <w:szCs w:val="21"/>
                      <w:u w:val="none" w:color="auto"/>
                      <w:lang w:eastAsia="zh-CN"/>
                    </w:rPr>
                    <w:t>烟气量</w:t>
                  </w:r>
                  <w:r>
                    <w:rPr>
                      <w:rFonts w:hint="eastAsia" w:cs="Times New Roman"/>
                      <w:color w:val="auto"/>
                      <w:sz w:val="21"/>
                      <w:szCs w:val="21"/>
                      <w:u w:val="none" w:color="auto"/>
                      <w:lang w:val="en-US" w:eastAsia="zh-CN"/>
                    </w:rPr>
                    <w:t>4524000Nm</w:t>
                  </w:r>
                  <w:r>
                    <w:rPr>
                      <w:rFonts w:hint="eastAsia" w:cs="Times New Roman"/>
                      <w:color w:val="auto"/>
                      <w:sz w:val="21"/>
                      <w:szCs w:val="21"/>
                      <w:u w:val="none" w:color="auto"/>
                      <w:vertAlign w:val="superscript"/>
                      <w:lang w:val="en-US" w:eastAsia="zh-CN"/>
                    </w:rPr>
                    <w:t>3</w:t>
                  </w:r>
                  <w:r>
                    <w:rPr>
                      <w:rFonts w:hint="eastAsia" w:cs="Times New Roman"/>
                      <w:color w:val="auto"/>
                      <w:sz w:val="21"/>
                      <w:szCs w:val="21"/>
                      <w:u w:val="none" w:color="auto"/>
                      <w:lang w:val="en-US" w:eastAsia="zh-CN"/>
                    </w:rPr>
                    <w:t>/a</w:t>
                  </w:r>
                </w:p>
              </w:tc>
              <w:tc>
                <w:tcPr>
                  <w:tcW w:w="460" w:type="pct"/>
                  <w:tcBorders>
                    <w:tl2br w:val="nil"/>
                    <w:tr2bl w:val="nil"/>
                  </w:tcBorders>
                  <w:noWrap w:val="0"/>
                  <w:vAlign w:val="center"/>
                </w:tcPr>
                <w:p w14:paraId="13B66A1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eastAsia="宋体" w:cs="Times New Roman"/>
                      <w:color w:val="auto"/>
                      <w:sz w:val="21"/>
                      <w:szCs w:val="21"/>
                      <w:u w:val="none" w:color="auto"/>
                    </w:rPr>
                  </w:pPr>
                  <w:r>
                    <w:rPr>
                      <w:rFonts w:hint="eastAsia" w:eastAsia="宋体" w:cs="Times New Roman"/>
                      <w:color w:val="auto"/>
                      <w:sz w:val="21"/>
                      <w:szCs w:val="21"/>
                      <w:u w:val="none" w:color="auto"/>
                    </w:rPr>
                    <w:t>100%</w:t>
                  </w:r>
                </w:p>
              </w:tc>
              <w:tc>
                <w:tcPr>
                  <w:tcW w:w="400" w:type="pct"/>
                  <w:tcBorders>
                    <w:tl2br w:val="nil"/>
                    <w:tr2bl w:val="nil"/>
                  </w:tcBorders>
                  <w:noWrap w:val="0"/>
                  <w:vAlign w:val="center"/>
                </w:tcPr>
                <w:p w14:paraId="184E260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w:t>
                  </w:r>
                </w:p>
              </w:tc>
              <w:tc>
                <w:tcPr>
                  <w:tcW w:w="299" w:type="pct"/>
                  <w:tcBorders>
                    <w:tl2br w:val="nil"/>
                    <w:tr2bl w:val="nil"/>
                  </w:tcBorders>
                  <w:noWrap w:val="0"/>
                  <w:vAlign w:val="center"/>
                </w:tcPr>
                <w:p w14:paraId="7C438FD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w:t>
                  </w:r>
                </w:p>
              </w:tc>
            </w:tr>
            <w:tr w14:paraId="0367830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12" w:hRule="atLeast"/>
                <w:tblHeader/>
                <w:jc w:val="center"/>
              </w:trPr>
              <w:tc>
                <w:tcPr>
                  <w:tcW w:w="91" w:type="pct"/>
                  <w:vMerge w:val="continue"/>
                  <w:tcBorders>
                    <w:tl2br w:val="nil"/>
                    <w:tr2bl w:val="nil"/>
                  </w:tcBorders>
                  <w:noWrap w:val="0"/>
                  <w:vAlign w:val="center"/>
                </w:tcPr>
                <w:p w14:paraId="22DE07A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cs="Times New Roman"/>
                      <w:color w:val="auto"/>
                      <w:sz w:val="21"/>
                      <w:szCs w:val="21"/>
                      <w:u w:val="none" w:color="auto"/>
                    </w:rPr>
                  </w:pPr>
                </w:p>
              </w:tc>
              <w:tc>
                <w:tcPr>
                  <w:tcW w:w="204" w:type="pct"/>
                  <w:vMerge w:val="continue"/>
                  <w:tcBorders>
                    <w:tl2br w:val="nil"/>
                    <w:tr2bl w:val="nil"/>
                  </w:tcBorders>
                  <w:noWrap w:val="0"/>
                  <w:vAlign w:val="center"/>
                </w:tcPr>
                <w:p w14:paraId="3AD11BC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cs="Times New Roman"/>
                      <w:color w:val="auto"/>
                      <w:sz w:val="21"/>
                      <w:szCs w:val="21"/>
                      <w:u w:val="none" w:color="auto"/>
                    </w:rPr>
                  </w:pPr>
                </w:p>
              </w:tc>
              <w:tc>
                <w:tcPr>
                  <w:tcW w:w="146" w:type="pct"/>
                  <w:vMerge w:val="continue"/>
                  <w:tcBorders>
                    <w:tl2br w:val="nil"/>
                    <w:tr2bl w:val="nil"/>
                  </w:tcBorders>
                  <w:noWrap w:val="0"/>
                  <w:vAlign w:val="center"/>
                </w:tcPr>
                <w:p w14:paraId="3E482DF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cs="Times New Roman"/>
                      <w:color w:val="auto"/>
                      <w:sz w:val="21"/>
                      <w:szCs w:val="21"/>
                      <w:u w:val="none" w:color="auto"/>
                    </w:rPr>
                  </w:pPr>
                </w:p>
              </w:tc>
              <w:tc>
                <w:tcPr>
                  <w:tcW w:w="225" w:type="pct"/>
                  <w:tcBorders>
                    <w:tl2br w:val="nil"/>
                    <w:tr2bl w:val="nil"/>
                  </w:tcBorders>
                  <w:shd w:val="clear" w:color="auto" w:fill="auto"/>
                  <w:noWrap w:val="0"/>
                  <w:vAlign w:val="center"/>
                </w:tcPr>
                <w:p w14:paraId="4C953D04">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en-US" w:eastAsia="zh-CN" w:bidi="ar-SA"/>
                    </w:rPr>
                  </w:pPr>
                  <w:r>
                    <w:rPr>
                      <w:rFonts w:hint="eastAsia" w:eastAsia="宋体" w:cs="Times New Roman"/>
                      <w:color w:val="auto"/>
                      <w:sz w:val="21"/>
                      <w:szCs w:val="21"/>
                      <w:u w:val="none" w:color="auto"/>
                    </w:rPr>
                    <w:t>氮氧化物</w:t>
                  </w:r>
                </w:p>
              </w:tc>
              <w:tc>
                <w:tcPr>
                  <w:tcW w:w="343" w:type="pct"/>
                  <w:tcBorders>
                    <w:tl2br w:val="nil"/>
                    <w:tr2bl w:val="nil"/>
                  </w:tcBorders>
                  <w:shd w:val="clear" w:color="auto" w:fill="auto"/>
                  <w:noWrap w:val="0"/>
                  <w:vAlign w:val="center"/>
                </w:tcPr>
                <w:p w14:paraId="13A744B6">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0.235</w:t>
                  </w:r>
                </w:p>
              </w:tc>
              <w:tc>
                <w:tcPr>
                  <w:tcW w:w="343" w:type="pct"/>
                  <w:tcBorders>
                    <w:tl2br w:val="nil"/>
                    <w:tr2bl w:val="nil"/>
                  </w:tcBorders>
                  <w:shd w:val="clear" w:color="auto" w:fill="auto"/>
                  <w:noWrap w:val="0"/>
                  <w:vAlign w:val="center"/>
                </w:tcPr>
                <w:p w14:paraId="39B01264">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163.6</w:t>
                  </w:r>
                </w:p>
              </w:tc>
              <w:tc>
                <w:tcPr>
                  <w:tcW w:w="343" w:type="pct"/>
                  <w:tcBorders>
                    <w:tl2br w:val="nil"/>
                    <w:tr2bl w:val="nil"/>
                  </w:tcBorders>
                  <w:shd w:val="clear" w:color="auto" w:fill="auto"/>
                  <w:noWrap w:val="0"/>
                  <w:vAlign w:val="center"/>
                </w:tcPr>
                <w:p w14:paraId="17DD0704">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0.740</w:t>
                  </w:r>
                </w:p>
              </w:tc>
              <w:tc>
                <w:tcPr>
                  <w:tcW w:w="343" w:type="pct"/>
                  <w:tcBorders>
                    <w:tl2br w:val="nil"/>
                    <w:tr2bl w:val="nil"/>
                  </w:tcBorders>
                  <w:shd w:val="clear" w:color="auto" w:fill="auto"/>
                  <w:noWrap w:val="0"/>
                  <w:vAlign w:val="center"/>
                </w:tcPr>
                <w:p w14:paraId="4E8DF5C9">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0.235</w:t>
                  </w:r>
                </w:p>
              </w:tc>
              <w:tc>
                <w:tcPr>
                  <w:tcW w:w="343" w:type="pct"/>
                  <w:tcBorders>
                    <w:tl2br w:val="nil"/>
                    <w:tr2bl w:val="nil"/>
                  </w:tcBorders>
                  <w:shd w:val="clear" w:color="auto" w:fill="auto"/>
                  <w:noWrap w:val="0"/>
                  <w:vAlign w:val="center"/>
                </w:tcPr>
                <w:p w14:paraId="3BBCB1BE">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163.6</w:t>
                  </w:r>
                </w:p>
              </w:tc>
              <w:tc>
                <w:tcPr>
                  <w:tcW w:w="344" w:type="pct"/>
                  <w:tcBorders>
                    <w:tl2br w:val="nil"/>
                    <w:tr2bl w:val="nil"/>
                  </w:tcBorders>
                  <w:shd w:val="clear" w:color="auto" w:fill="auto"/>
                  <w:noWrap w:val="0"/>
                  <w:vAlign w:val="center"/>
                </w:tcPr>
                <w:p w14:paraId="5CD8E928">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0.740</w:t>
                  </w:r>
                </w:p>
              </w:tc>
              <w:tc>
                <w:tcPr>
                  <w:tcW w:w="303" w:type="pct"/>
                  <w:vMerge w:val="continue"/>
                  <w:tcBorders>
                    <w:tl2br w:val="nil"/>
                    <w:tr2bl w:val="nil"/>
                  </w:tcBorders>
                  <w:noWrap w:val="0"/>
                  <w:vAlign w:val="center"/>
                </w:tcPr>
                <w:p w14:paraId="13D3691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cs="Times New Roman"/>
                      <w:color w:val="auto"/>
                      <w:sz w:val="21"/>
                      <w:szCs w:val="21"/>
                      <w:u w:val="none" w:color="auto"/>
                    </w:rPr>
                  </w:pPr>
                </w:p>
              </w:tc>
              <w:tc>
                <w:tcPr>
                  <w:tcW w:w="370" w:type="pct"/>
                  <w:vMerge w:val="continue"/>
                  <w:tcBorders>
                    <w:tl2br w:val="nil"/>
                    <w:tr2bl w:val="nil"/>
                  </w:tcBorders>
                  <w:noWrap w:val="0"/>
                  <w:vAlign w:val="center"/>
                </w:tcPr>
                <w:p w14:paraId="492FE03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cs="Times New Roman"/>
                      <w:color w:val="auto"/>
                      <w:sz w:val="21"/>
                      <w:szCs w:val="21"/>
                      <w:u w:val="none" w:color="auto"/>
                    </w:rPr>
                  </w:pPr>
                </w:p>
              </w:tc>
              <w:tc>
                <w:tcPr>
                  <w:tcW w:w="438" w:type="pct"/>
                  <w:vMerge w:val="continue"/>
                  <w:tcBorders>
                    <w:tl2br w:val="nil"/>
                    <w:tr2bl w:val="nil"/>
                  </w:tcBorders>
                  <w:noWrap w:val="0"/>
                  <w:vAlign w:val="center"/>
                </w:tcPr>
                <w:p w14:paraId="3CC5E60D">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cs="Times New Roman"/>
                      <w:color w:val="auto"/>
                      <w:sz w:val="21"/>
                      <w:szCs w:val="21"/>
                      <w:u w:val="none" w:color="auto"/>
                    </w:rPr>
                  </w:pPr>
                </w:p>
              </w:tc>
              <w:tc>
                <w:tcPr>
                  <w:tcW w:w="460" w:type="pct"/>
                  <w:tcBorders>
                    <w:tl2br w:val="nil"/>
                    <w:tr2bl w:val="nil"/>
                  </w:tcBorders>
                  <w:noWrap w:val="0"/>
                  <w:vAlign w:val="center"/>
                </w:tcPr>
                <w:p w14:paraId="5A1AB8E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eastAsia="宋体" w:cs="Times New Roman"/>
                      <w:color w:val="auto"/>
                      <w:sz w:val="21"/>
                      <w:szCs w:val="21"/>
                      <w:u w:val="none" w:color="auto"/>
                    </w:rPr>
                  </w:pPr>
                  <w:r>
                    <w:rPr>
                      <w:rFonts w:hint="eastAsia" w:eastAsia="宋体" w:cs="Times New Roman"/>
                      <w:color w:val="auto"/>
                      <w:sz w:val="21"/>
                      <w:szCs w:val="21"/>
                      <w:u w:val="none" w:color="auto"/>
                    </w:rPr>
                    <w:t>100%</w:t>
                  </w:r>
                </w:p>
              </w:tc>
              <w:tc>
                <w:tcPr>
                  <w:tcW w:w="400" w:type="pct"/>
                  <w:tcBorders>
                    <w:tl2br w:val="nil"/>
                    <w:tr2bl w:val="nil"/>
                  </w:tcBorders>
                  <w:noWrap w:val="0"/>
                  <w:vAlign w:val="center"/>
                </w:tcPr>
                <w:p w14:paraId="29F466C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w:t>
                  </w:r>
                </w:p>
              </w:tc>
              <w:tc>
                <w:tcPr>
                  <w:tcW w:w="299" w:type="pct"/>
                  <w:tcBorders>
                    <w:tl2br w:val="nil"/>
                    <w:tr2bl w:val="nil"/>
                  </w:tcBorders>
                  <w:noWrap w:val="0"/>
                  <w:vAlign w:val="center"/>
                </w:tcPr>
                <w:p w14:paraId="1D5DE587">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w:t>
                  </w:r>
                </w:p>
              </w:tc>
            </w:tr>
            <w:tr w14:paraId="2F31DB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12" w:hRule="atLeast"/>
                <w:tblHeader/>
                <w:jc w:val="center"/>
              </w:trPr>
              <w:tc>
                <w:tcPr>
                  <w:tcW w:w="91" w:type="pct"/>
                  <w:vMerge w:val="continue"/>
                  <w:tcBorders>
                    <w:tl2br w:val="nil"/>
                    <w:tr2bl w:val="nil"/>
                  </w:tcBorders>
                  <w:noWrap w:val="0"/>
                  <w:vAlign w:val="center"/>
                </w:tcPr>
                <w:p w14:paraId="47A89B2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cs="Times New Roman"/>
                      <w:color w:val="auto"/>
                      <w:sz w:val="21"/>
                      <w:szCs w:val="21"/>
                      <w:u w:val="none" w:color="auto"/>
                    </w:rPr>
                  </w:pPr>
                </w:p>
              </w:tc>
              <w:tc>
                <w:tcPr>
                  <w:tcW w:w="204" w:type="pct"/>
                  <w:vMerge w:val="continue"/>
                  <w:tcBorders>
                    <w:tl2br w:val="nil"/>
                    <w:tr2bl w:val="nil"/>
                  </w:tcBorders>
                  <w:noWrap w:val="0"/>
                  <w:vAlign w:val="center"/>
                </w:tcPr>
                <w:p w14:paraId="0CE11B3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cs="Times New Roman"/>
                      <w:color w:val="auto"/>
                      <w:sz w:val="21"/>
                      <w:szCs w:val="21"/>
                      <w:u w:val="none" w:color="auto"/>
                    </w:rPr>
                  </w:pPr>
                </w:p>
              </w:tc>
              <w:tc>
                <w:tcPr>
                  <w:tcW w:w="146" w:type="pct"/>
                  <w:vMerge w:val="continue"/>
                  <w:tcBorders>
                    <w:tl2br w:val="nil"/>
                    <w:tr2bl w:val="nil"/>
                  </w:tcBorders>
                  <w:noWrap w:val="0"/>
                  <w:vAlign w:val="center"/>
                </w:tcPr>
                <w:p w14:paraId="352B756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cs="Times New Roman"/>
                      <w:color w:val="auto"/>
                      <w:sz w:val="21"/>
                      <w:szCs w:val="21"/>
                      <w:u w:val="none" w:color="auto"/>
                    </w:rPr>
                  </w:pPr>
                </w:p>
              </w:tc>
              <w:tc>
                <w:tcPr>
                  <w:tcW w:w="225" w:type="pct"/>
                  <w:tcBorders>
                    <w:tl2br w:val="nil"/>
                    <w:tr2bl w:val="nil"/>
                  </w:tcBorders>
                  <w:shd w:val="clear" w:color="auto" w:fill="auto"/>
                  <w:noWrap w:val="0"/>
                  <w:vAlign w:val="center"/>
                </w:tcPr>
                <w:p w14:paraId="50406FE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ascii="Times New Roman" w:hAnsi="Times New Roman" w:eastAsia="宋体" w:cs="Times New Roman"/>
                      <w:color w:val="auto"/>
                      <w:kern w:val="0"/>
                      <w:sz w:val="21"/>
                      <w:szCs w:val="21"/>
                      <w:u w:val="none" w:color="auto"/>
                      <w:lang w:val="en-US" w:eastAsia="zh-CN" w:bidi="ar-SA"/>
                    </w:rPr>
                  </w:pPr>
                  <w:r>
                    <w:rPr>
                      <w:rFonts w:hint="eastAsia" w:eastAsia="宋体" w:cs="Times New Roman"/>
                      <w:color w:val="auto"/>
                      <w:sz w:val="21"/>
                      <w:szCs w:val="21"/>
                      <w:u w:val="none" w:color="auto"/>
                    </w:rPr>
                    <w:t>颗粒物</w:t>
                  </w:r>
                </w:p>
              </w:tc>
              <w:tc>
                <w:tcPr>
                  <w:tcW w:w="343" w:type="pct"/>
                  <w:tcBorders>
                    <w:tl2br w:val="nil"/>
                    <w:tr2bl w:val="nil"/>
                  </w:tcBorders>
                  <w:shd w:val="clear" w:color="auto" w:fill="auto"/>
                  <w:noWrap w:val="0"/>
                  <w:vAlign w:val="center"/>
                </w:tcPr>
                <w:p w14:paraId="2B39ACFA">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0.115</w:t>
                  </w:r>
                </w:p>
              </w:tc>
              <w:tc>
                <w:tcPr>
                  <w:tcW w:w="343" w:type="pct"/>
                  <w:tcBorders>
                    <w:tl2br w:val="nil"/>
                    <w:tr2bl w:val="nil"/>
                  </w:tcBorders>
                  <w:shd w:val="clear" w:color="auto" w:fill="auto"/>
                  <w:noWrap w:val="0"/>
                  <w:vAlign w:val="center"/>
                </w:tcPr>
                <w:p w14:paraId="3F149BBB">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80.1</w:t>
                  </w:r>
                </w:p>
              </w:tc>
              <w:tc>
                <w:tcPr>
                  <w:tcW w:w="343" w:type="pct"/>
                  <w:tcBorders>
                    <w:tl2br w:val="nil"/>
                    <w:tr2bl w:val="nil"/>
                  </w:tcBorders>
                  <w:shd w:val="clear" w:color="auto" w:fill="auto"/>
                  <w:noWrap w:val="0"/>
                  <w:vAlign w:val="center"/>
                </w:tcPr>
                <w:p w14:paraId="212A8E6E">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0.363</w:t>
                  </w:r>
                </w:p>
              </w:tc>
              <w:tc>
                <w:tcPr>
                  <w:tcW w:w="343" w:type="pct"/>
                  <w:tcBorders>
                    <w:tl2br w:val="nil"/>
                    <w:tr2bl w:val="nil"/>
                  </w:tcBorders>
                  <w:shd w:val="clear" w:color="auto" w:fill="auto"/>
                  <w:noWrap w:val="0"/>
                  <w:vAlign w:val="center"/>
                </w:tcPr>
                <w:p w14:paraId="30D8F643">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0.002</w:t>
                  </w:r>
                </w:p>
              </w:tc>
              <w:tc>
                <w:tcPr>
                  <w:tcW w:w="343" w:type="pct"/>
                  <w:tcBorders>
                    <w:tl2br w:val="nil"/>
                    <w:tr2bl w:val="nil"/>
                  </w:tcBorders>
                  <w:shd w:val="clear" w:color="auto" w:fill="auto"/>
                  <w:noWrap w:val="0"/>
                  <w:vAlign w:val="center"/>
                </w:tcPr>
                <w:p w14:paraId="0B0D9FAD">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13.9</w:t>
                  </w:r>
                </w:p>
              </w:tc>
              <w:tc>
                <w:tcPr>
                  <w:tcW w:w="344" w:type="pct"/>
                  <w:tcBorders>
                    <w:tl2br w:val="nil"/>
                    <w:tr2bl w:val="nil"/>
                  </w:tcBorders>
                  <w:shd w:val="clear" w:color="auto" w:fill="auto"/>
                  <w:noWrap w:val="0"/>
                  <w:vAlign w:val="center"/>
                </w:tcPr>
                <w:p w14:paraId="521305F7">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0.006</w:t>
                  </w:r>
                </w:p>
              </w:tc>
              <w:tc>
                <w:tcPr>
                  <w:tcW w:w="303" w:type="pct"/>
                  <w:vMerge w:val="continue"/>
                  <w:tcBorders>
                    <w:tl2br w:val="nil"/>
                    <w:tr2bl w:val="nil"/>
                  </w:tcBorders>
                  <w:noWrap w:val="0"/>
                  <w:vAlign w:val="center"/>
                </w:tcPr>
                <w:p w14:paraId="5E10E43A">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cs="Times New Roman"/>
                      <w:color w:val="auto"/>
                      <w:sz w:val="21"/>
                      <w:szCs w:val="21"/>
                      <w:u w:val="none" w:color="auto"/>
                    </w:rPr>
                  </w:pPr>
                </w:p>
              </w:tc>
              <w:tc>
                <w:tcPr>
                  <w:tcW w:w="370" w:type="pct"/>
                  <w:vMerge w:val="continue"/>
                  <w:tcBorders>
                    <w:tl2br w:val="nil"/>
                    <w:tr2bl w:val="nil"/>
                  </w:tcBorders>
                  <w:noWrap w:val="0"/>
                  <w:vAlign w:val="center"/>
                </w:tcPr>
                <w:p w14:paraId="4A3BAD81">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cs="Times New Roman"/>
                      <w:color w:val="auto"/>
                      <w:sz w:val="21"/>
                      <w:szCs w:val="21"/>
                      <w:u w:val="none" w:color="auto"/>
                    </w:rPr>
                  </w:pPr>
                </w:p>
              </w:tc>
              <w:tc>
                <w:tcPr>
                  <w:tcW w:w="438" w:type="pct"/>
                  <w:vMerge w:val="continue"/>
                  <w:tcBorders>
                    <w:tl2br w:val="nil"/>
                    <w:tr2bl w:val="nil"/>
                  </w:tcBorders>
                  <w:noWrap w:val="0"/>
                  <w:vAlign w:val="center"/>
                </w:tcPr>
                <w:p w14:paraId="1A28F37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cs="Times New Roman"/>
                      <w:color w:val="auto"/>
                      <w:sz w:val="21"/>
                      <w:szCs w:val="21"/>
                      <w:u w:val="none" w:color="auto"/>
                    </w:rPr>
                  </w:pPr>
                </w:p>
              </w:tc>
              <w:tc>
                <w:tcPr>
                  <w:tcW w:w="460" w:type="pct"/>
                  <w:tcBorders>
                    <w:tl2br w:val="nil"/>
                    <w:tr2bl w:val="nil"/>
                  </w:tcBorders>
                  <w:noWrap w:val="0"/>
                  <w:vAlign w:val="center"/>
                </w:tcPr>
                <w:p w14:paraId="4467259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eastAsia="宋体" w:cs="Times New Roman"/>
                      <w:color w:val="auto"/>
                      <w:sz w:val="21"/>
                      <w:szCs w:val="21"/>
                      <w:u w:val="none" w:color="auto"/>
                    </w:rPr>
                  </w:pPr>
                  <w:r>
                    <w:rPr>
                      <w:rFonts w:hint="eastAsia" w:eastAsia="宋体" w:cs="Times New Roman"/>
                      <w:color w:val="auto"/>
                      <w:sz w:val="21"/>
                      <w:szCs w:val="21"/>
                      <w:u w:val="none" w:color="auto"/>
                    </w:rPr>
                    <w:t>100%</w:t>
                  </w:r>
                </w:p>
              </w:tc>
              <w:tc>
                <w:tcPr>
                  <w:tcW w:w="400" w:type="pct"/>
                  <w:tcBorders>
                    <w:tl2br w:val="nil"/>
                    <w:tr2bl w:val="nil"/>
                  </w:tcBorders>
                  <w:noWrap w:val="0"/>
                  <w:vAlign w:val="center"/>
                </w:tcPr>
                <w:p w14:paraId="1208C50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eastAsia="宋体" w:cs="Times New Roman"/>
                      <w:color w:val="auto"/>
                      <w:sz w:val="21"/>
                      <w:szCs w:val="21"/>
                      <w:u w:val="none" w:color="auto"/>
                      <w:lang w:val="en-US" w:eastAsia="zh-CN"/>
                    </w:rPr>
                  </w:pPr>
                  <w:r>
                    <w:rPr>
                      <w:rFonts w:hint="eastAsia" w:eastAsia="宋体" w:cs="Times New Roman"/>
                      <w:color w:val="auto"/>
                      <w:sz w:val="21"/>
                      <w:szCs w:val="21"/>
                      <w:u w:val="none" w:color="auto"/>
                      <w:lang w:val="en-US" w:eastAsia="zh-CN"/>
                    </w:rPr>
                    <w:t>98.4%</w:t>
                  </w:r>
                </w:p>
              </w:tc>
              <w:tc>
                <w:tcPr>
                  <w:tcW w:w="299" w:type="pct"/>
                  <w:tcBorders>
                    <w:tl2br w:val="nil"/>
                    <w:tr2bl w:val="nil"/>
                  </w:tcBorders>
                  <w:noWrap w:val="0"/>
                  <w:vAlign w:val="center"/>
                </w:tcPr>
                <w:p w14:paraId="26192C6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是</w:t>
                  </w:r>
                </w:p>
              </w:tc>
            </w:tr>
            <w:tr w14:paraId="49525B4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12" w:hRule="atLeast"/>
                <w:tblHeader/>
                <w:jc w:val="center"/>
              </w:trPr>
              <w:tc>
                <w:tcPr>
                  <w:tcW w:w="91" w:type="pct"/>
                  <w:vMerge w:val="restart"/>
                  <w:tcBorders>
                    <w:tl2br w:val="nil"/>
                    <w:tr2bl w:val="nil"/>
                  </w:tcBorders>
                  <w:noWrap w:val="0"/>
                  <w:vAlign w:val="center"/>
                </w:tcPr>
                <w:p w14:paraId="7DA67AA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3</w:t>
                  </w:r>
                </w:p>
              </w:tc>
              <w:tc>
                <w:tcPr>
                  <w:tcW w:w="204" w:type="pct"/>
                  <w:vMerge w:val="restart"/>
                  <w:tcBorders>
                    <w:tl2br w:val="nil"/>
                    <w:tr2bl w:val="nil"/>
                  </w:tcBorders>
                  <w:noWrap w:val="0"/>
                  <w:vAlign w:val="center"/>
                </w:tcPr>
                <w:p w14:paraId="7DC6158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eastAsia="宋体" w:cs="Times New Roman"/>
                      <w:color w:val="auto"/>
                      <w:sz w:val="21"/>
                      <w:szCs w:val="21"/>
                      <w:u w:val="none" w:color="auto"/>
                      <w:lang w:eastAsia="zh-CN"/>
                    </w:rPr>
                  </w:pPr>
                  <w:r>
                    <w:rPr>
                      <w:rFonts w:hint="eastAsia" w:cs="Times New Roman"/>
                      <w:color w:val="auto"/>
                      <w:sz w:val="21"/>
                      <w:szCs w:val="21"/>
                      <w:u w:val="none" w:color="auto"/>
                      <w:lang w:eastAsia="zh-CN"/>
                    </w:rPr>
                    <w:t>油炸锅</w:t>
                  </w:r>
                </w:p>
              </w:tc>
              <w:tc>
                <w:tcPr>
                  <w:tcW w:w="146" w:type="pct"/>
                  <w:tcBorders>
                    <w:tl2br w:val="nil"/>
                    <w:tr2bl w:val="nil"/>
                  </w:tcBorders>
                  <w:noWrap w:val="0"/>
                  <w:vAlign w:val="center"/>
                </w:tcPr>
                <w:p w14:paraId="21DAA67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eastAsia="宋体" w:cs="Times New Roman"/>
                      <w:color w:val="auto"/>
                      <w:sz w:val="21"/>
                      <w:szCs w:val="21"/>
                      <w:u w:val="none" w:color="auto"/>
                      <w:lang w:eastAsia="zh-CN"/>
                    </w:rPr>
                  </w:pPr>
                  <w:r>
                    <w:rPr>
                      <w:rFonts w:hint="eastAsia" w:cs="Times New Roman"/>
                      <w:color w:val="auto"/>
                      <w:sz w:val="21"/>
                      <w:szCs w:val="21"/>
                      <w:u w:val="none" w:color="auto"/>
                      <w:lang w:eastAsia="zh-CN"/>
                    </w:rPr>
                    <w:t>有组织</w:t>
                  </w:r>
                </w:p>
              </w:tc>
              <w:tc>
                <w:tcPr>
                  <w:tcW w:w="225" w:type="pct"/>
                  <w:tcBorders>
                    <w:tl2br w:val="nil"/>
                    <w:tr2bl w:val="nil"/>
                  </w:tcBorders>
                  <w:shd w:val="clear" w:color="auto" w:fill="auto"/>
                  <w:noWrap w:val="0"/>
                  <w:vAlign w:val="center"/>
                </w:tcPr>
                <w:p w14:paraId="0C01287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eastAsia="宋体" w:cs="Times New Roman"/>
                      <w:color w:val="auto"/>
                      <w:sz w:val="21"/>
                      <w:szCs w:val="21"/>
                      <w:u w:val="none" w:color="auto"/>
                      <w:lang w:eastAsia="zh-CN"/>
                    </w:rPr>
                  </w:pPr>
                  <w:r>
                    <w:rPr>
                      <w:rFonts w:hint="eastAsia" w:eastAsia="宋体" w:cs="Times New Roman"/>
                      <w:color w:val="auto"/>
                      <w:sz w:val="21"/>
                      <w:szCs w:val="21"/>
                      <w:u w:val="none" w:color="auto"/>
                      <w:lang w:eastAsia="zh-CN"/>
                    </w:rPr>
                    <w:t>油烟</w:t>
                  </w:r>
                </w:p>
              </w:tc>
              <w:tc>
                <w:tcPr>
                  <w:tcW w:w="343" w:type="pct"/>
                  <w:tcBorders>
                    <w:tl2br w:val="nil"/>
                    <w:tr2bl w:val="nil"/>
                  </w:tcBorders>
                  <w:shd w:val="clear" w:color="auto" w:fill="auto"/>
                  <w:noWrap w:val="0"/>
                  <w:vAlign w:val="center"/>
                </w:tcPr>
                <w:p w14:paraId="493C4833">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0.048</w:t>
                  </w:r>
                </w:p>
              </w:tc>
              <w:tc>
                <w:tcPr>
                  <w:tcW w:w="343" w:type="pct"/>
                  <w:tcBorders>
                    <w:tl2br w:val="nil"/>
                    <w:tr2bl w:val="nil"/>
                  </w:tcBorders>
                  <w:shd w:val="clear" w:color="auto" w:fill="auto"/>
                  <w:noWrap w:val="0"/>
                  <w:vAlign w:val="center"/>
                </w:tcPr>
                <w:p w14:paraId="7740E533">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1.92</w:t>
                  </w:r>
                </w:p>
              </w:tc>
              <w:tc>
                <w:tcPr>
                  <w:tcW w:w="343" w:type="pct"/>
                  <w:tcBorders>
                    <w:tl2br w:val="nil"/>
                    <w:tr2bl w:val="nil"/>
                  </w:tcBorders>
                  <w:shd w:val="clear" w:color="auto" w:fill="auto"/>
                  <w:noWrap w:val="0"/>
                  <w:vAlign w:val="center"/>
                </w:tcPr>
                <w:p w14:paraId="6EE77272">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0.067</w:t>
                  </w:r>
                </w:p>
              </w:tc>
              <w:tc>
                <w:tcPr>
                  <w:tcW w:w="343" w:type="pct"/>
                  <w:tcBorders>
                    <w:tl2br w:val="nil"/>
                    <w:tr2bl w:val="nil"/>
                  </w:tcBorders>
                  <w:shd w:val="clear" w:color="auto" w:fill="auto"/>
                  <w:noWrap w:val="0"/>
                  <w:vAlign w:val="center"/>
                </w:tcPr>
                <w:p w14:paraId="50D8CC6F">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0.0048</w:t>
                  </w:r>
                </w:p>
              </w:tc>
              <w:tc>
                <w:tcPr>
                  <w:tcW w:w="343" w:type="pct"/>
                  <w:tcBorders>
                    <w:tl2br w:val="nil"/>
                    <w:tr2bl w:val="nil"/>
                  </w:tcBorders>
                  <w:shd w:val="clear" w:color="auto" w:fill="auto"/>
                  <w:noWrap w:val="0"/>
                  <w:vAlign w:val="center"/>
                </w:tcPr>
                <w:p w14:paraId="7221DA97">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0.192</w:t>
                  </w:r>
                </w:p>
              </w:tc>
              <w:tc>
                <w:tcPr>
                  <w:tcW w:w="344" w:type="pct"/>
                  <w:tcBorders>
                    <w:tl2br w:val="nil"/>
                    <w:tr2bl w:val="nil"/>
                  </w:tcBorders>
                  <w:shd w:val="clear" w:color="auto" w:fill="auto"/>
                  <w:noWrap w:val="0"/>
                  <w:vAlign w:val="center"/>
                </w:tcPr>
                <w:p w14:paraId="31D02D0E">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0.0067</w:t>
                  </w:r>
                </w:p>
              </w:tc>
              <w:tc>
                <w:tcPr>
                  <w:tcW w:w="303" w:type="pct"/>
                  <w:tcBorders>
                    <w:tl2br w:val="nil"/>
                    <w:tr2bl w:val="nil"/>
                  </w:tcBorders>
                  <w:noWrap w:val="0"/>
                  <w:vAlign w:val="center"/>
                </w:tcPr>
                <w:p w14:paraId="44CD89C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DA003</w:t>
                  </w:r>
                </w:p>
              </w:tc>
              <w:tc>
                <w:tcPr>
                  <w:tcW w:w="370" w:type="pct"/>
                  <w:tcBorders>
                    <w:tl2br w:val="nil"/>
                    <w:tr2bl w:val="nil"/>
                  </w:tcBorders>
                  <w:noWrap w:val="0"/>
                  <w:vAlign w:val="center"/>
                </w:tcPr>
                <w:p w14:paraId="017AEAD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cs="Times New Roman"/>
                      <w:color w:val="auto"/>
                      <w:sz w:val="21"/>
                      <w:szCs w:val="21"/>
                      <w:u w:val="none" w:color="auto"/>
                    </w:rPr>
                  </w:pPr>
                  <w:r>
                    <w:rPr>
                      <w:rFonts w:hint="eastAsia" w:cs="Times New Roman"/>
                      <w:color w:val="auto"/>
                      <w:sz w:val="21"/>
                      <w:szCs w:val="21"/>
                      <w:u w:val="none" w:color="auto"/>
                      <w:lang w:val="en-US" w:eastAsia="zh-CN"/>
                    </w:rPr>
                    <w:t>高效静电油烟净化器</w:t>
                  </w:r>
                </w:p>
              </w:tc>
              <w:tc>
                <w:tcPr>
                  <w:tcW w:w="438" w:type="pct"/>
                  <w:tcBorders>
                    <w:tl2br w:val="nil"/>
                    <w:tr2bl w:val="nil"/>
                  </w:tcBorders>
                  <w:noWrap w:val="0"/>
                  <w:vAlign w:val="center"/>
                </w:tcPr>
                <w:p w14:paraId="42AC529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cs="Times New Roman"/>
                      <w:color w:val="auto"/>
                      <w:sz w:val="21"/>
                      <w:szCs w:val="21"/>
                      <w:u w:val="none" w:color="auto"/>
                      <w:lang w:val="en-US"/>
                    </w:rPr>
                  </w:pPr>
                  <w:r>
                    <w:rPr>
                      <w:rFonts w:hint="eastAsia" w:cs="Times New Roman"/>
                      <w:color w:val="auto"/>
                      <w:sz w:val="21"/>
                      <w:szCs w:val="21"/>
                      <w:u w:val="none" w:color="auto"/>
                      <w:lang w:val="en-US" w:eastAsia="zh-CN"/>
                    </w:rPr>
                    <w:t>25000</w:t>
                  </w:r>
                </w:p>
              </w:tc>
              <w:tc>
                <w:tcPr>
                  <w:tcW w:w="460" w:type="pct"/>
                  <w:tcBorders>
                    <w:tl2br w:val="nil"/>
                    <w:tr2bl w:val="nil"/>
                  </w:tcBorders>
                  <w:noWrap w:val="0"/>
                  <w:vAlign w:val="center"/>
                </w:tcPr>
                <w:p w14:paraId="6229D88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eastAsia="宋体" w:cs="Times New Roman"/>
                      <w:color w:val="auto"/>
                      <w:sz w:val="21"/>
                      <w:szCs w:val="21"/>
                      <w:u w:val="none" w:color="auto"/>
                      <w:lang w:val="en-US" w:eastAsia="zh-CN"/>
                    </w:rPr>
                  </w:pPr>
                  <w:r>
                    <w:rPr>
                      <w:rFonts w:hint="eastAsia" w:eastAsia="宋体" w:cs="Times New Roman"/>
                      <w:color w:val="auto"/>
                      <w:sz w:val="21"/>
                      <w:szCs w:val="21"/>
                      <w:u w:val="none" w:color="auto"/>
                      <w:lang w:val="en-US" w:eastAsia="zh-CN"/>
                    </w:rPr>
                    <w:t>50%</w:t>
                  </w:r>
                </w:p>
              </w:tc>
              <w:tc>
                <w:tcPr>
                  <w:tcW w:w="400" w:type="pct"/>
                  <w:tcBorders>
                    <w:tl2br w:val="nil"/>
                    <w:tr2bl w:val="nil"/>
                  </w:tcBorders>
                  <w:noWrap w:val="0"/>
                  <w:vAlign w:val="center"/>
                </w:tcPr>
                <w:p w14:paraId="794755F9">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90%</w:t>
                  </w:r>
                </w:p>
              </w:tc>
              <w:tc>
                <w:tcPr>
                  <w:tcW w:w="299" w:type="pct"/>
                  <w:tcBorders>
                    <w:tl2br w:val="nil"/>
                    <w:tr2bl w:val="nil"/>
                  </w:tcBorders>
                  <w:noWrap w:val="0"/>
                  <w:vAlign w:val="center"/>
                </w:tcPr>
                <w:p w14:paraId="2283B7B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是</w:t>
                  </w:r>
                </w:p>
              </w:tc>
            </w:tr>
            <w:tr w14:paraId="002380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12" w:hRule="atLeast"/>
                <w:tblHeader/>
                <w:jc w:val="center"/>
              </w:trPr>
              <w:tc>
                <w:tcPr>
                  <w:tcW w:w="91" w:type="pct"/>
                  <w:vMerge w:val="continue"/>
                  <w:tcBorders>
                    <w:tl2br w:val="nil"/>
                    <w:tr2bl w:val="nil"/>
                  </w:tcBorders>
                  <w:noWrap w:val="0"/>
                  <w:vAlign w:val="center"/>
                </w:tcPr>
                <w:p w14:paraId="1C56A29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cs="Times New Roman"/>
                      <w:color w:val="auto"/>
                      <w:sz w:val="21"/>
                      <w:szCs w:val="21"/>
                      <w:u w:val="none" w:color="auto"/>
                      <w:lang w:val="en-US" w:eastAsia="zh-CN"/>
                    </w:rPr>
                  </w:pPr>
                </w:p>
              </w:tc>
              <w:tc>
                <w:tcPr>
                  <w:tcW w:w="204" w:type="pct"/>
                  <w:vMerge w:val="continue"/>
                  <w:tcBorders>
                    <w:tl2br w:val="nil"/>
                    <w:tr2bl w:val="nil"/>
                  </w:tcBorders>
                  <w:noWrap w:val="0"/>
                  <w:vAlign w:val="center"/>
                </w:tcPr>
                <w:p w14:paraId="2C7A7B5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cs="Times New Roman"/>
                      <w:color w:val="auto"/>
                      <w:sz w:val="21"/>
                      <w:szCs w:val="21"/>
                      <w:u w:val="none" w:color="auto"/>
                      <w:lang w:eastAsia="zh-CN"/>
                    </w:rPr>
                  </w:pPr>
                </w:p>
              </w:tc>
              <w:tc>
                <w:tcPr>
                  <w:tcW w:w="146" w:type="pct"/>
                  <w:tcBorders>
                    <w:tl2br w:val="nil"/>
                    <w:tr2bl w:val="nil"/>
                  </w:tcBorders>
                  <w:noWrap w:val="0"/>
                  <w:vAlign w:val="center"/>
                </w:tcPr>
                <w:p w14:paraId="5A239D7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无组织</w:t>
                  </w:r>
                </w:p>
              </w:tc>
              <w:tc>
                <w:tcPr>
                  <w:tcW w:w="225" w:type="pct"/>
                  <w:tcBorders>
                    <w:tl2br w:val="nil"/>
                    <w:tr2bl w:val="nil"/>
                  </w:tcBorders>
                  <w:shd w:val="clear" w:color="auto" w:fill="auto"/>
                  <w:noWrap w:val="0"/>
                  <w:vAlign w:val="center"/>
                </w:tcPr>
                <w:p w14:paraId="4323191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eastAsia="宋体" w:cs="Times New Roman"/>
                      <w:color w:val="auto"/>
                      <w:sz w:val="21"/>
                      <w:szCs w:val="21"/>
                      <w:u w:val="none" w:color="auto"/>
                      <w:lang w:eastAsia="zh-CN"/>
                    </w:rPr>
                  </w:pPr>
                  <w:r>
                    <w:rPr>
                      <w:rFonts w:hint="eastAsia" w:cs="Times New Roman"/>
                      <w:color w:val="auto"/>
                      <w:sz w:val="21"/>
                      <w:szCs w:val="21"/>
                      <w:u w:val="none" w:color="auto"/>
                      <w:lang w:val="en-US" w:eastAsia="zh-CN"/>
                    </w:rPr>
                    <w:t>油烟</w:t>
                  </w:r>
                </w:p>
              </w:tc>
              <w:tc>
                <w:tcPr>
                  <w:tcW w:w="343" w:type="pct"/>
                  <w:tcBorders>
                    <w:tl2br w:val="nil"/>
                    <w:tr2bl w:val="nil"/>
                  </w:tcBorders>
                  <w:shd w:val="clear" w:color="auto" w:fill="auto"/>
                  <w:noWrap w:val="0"/>
                  <w:vAlign w:val="center"/>
                </w:tcPr>
                <w:p w14:paraId="6950919F">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4"/>
                      <w:u w:val="none" w:color="auto"/>
                      <w:lang w:val="en-US" w:eastAsia="zh-CN" w:bidi="ar-SA"/>
                    </w:rPr>
                  </w:pPr>
                  <w:r>
                    <w:rPr>
                      <w:rFonts w:hint="eastAsia" w:cs="Times New Roman"/>
                      <w:color w:val="auto"/>
                      <w:kern w:val="2"/>
                      <w:sz w:val="21"/>
                      <w:szCs w:val="21"/>
                      <w:highlight w:val="none"/>
                      <w:u w:val="none" w:color="auto"/>
                      <w:vertAlign w:val="baseline"/>
                      <w:lang w:val="en-US" w:eastAsia="zh-CN" w:bidi="ar-SA"/>
                    </w:rPr>
                    <w:t>0.048</w:t>
                  </w:r>
                </w:p>
              </w:tc>
              <w:tc>
                <w:tcPr>
                  <w:tcW w:w="343" w:type="pct"/>
                  <w:tcBorders>
                    <w:tl2br w:val="nil"/>
                    <w:tr2bl w:val="nil"/>
                  </w:tcBorders>
                  <w:shd w:val="clear" w:color="auto" w:fill="auto"/>
                  <w:noWrap w:val="0"/>
                  <w:vAlign w:val="center"/>
                </w:tcPr>
                <w:p w14:paraId="227EF15D">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w:t>
                  </w:r>
                </w:p>
              </w:tc>
              <w:tc>
                <w:tcPr>
                  <w:tcW w:w="343" w:type="pct"/>
                  <w:tcBorders>
                    <w:tl2br w:val="nil"/>
                    <w:tr2bl w:val="nil"/>
                  </w:tcBorders>
                  <w:shd w:val="clear" w:color="auto" w:fill="auto"/>
                  <w:noWrap w:val="0"/>
                  <w:vAlign w:val="center"/>
                </w:tcPr>
                <w:p w14:paraId="6BE846A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highlight w:val="none"/>
                      <w:u w:val="none" w:color="auto"/>
                      <w:vertAlign w:val="baseline"/>
                      <w:lang w:val="en-US" w:eastAsia="zh-CN" w:bidi="ar-SA"/>
                    </w:rPr>
                  </w:pPr>
                  <w:r>
                    <w:rPr>
                      <w:rFonts w:hint="eastAsia" w:cs="Times New Roman"/>
                      <w:color w:val="auto"/>
                      <w:kern w:val="2"/>
                      <w:sz w:val="21"/>
                      <w:szCs w:val="21"/>
                      <w:highlight w:val="none"/>
                      <w:u w:val="none" w:color="auto"/>
                      <w:vertAlign w:val="baseline"/>
                      <w:lang w:val="en-US" w:eastAsia="zh-CN" w:bidi="ar-SA"/>
                    </w:rPr>
                    <w:t>0.067</w:t>
                  </w:r>
                </w:p>
              </w:tc>
              <w:tc>
                <w:tcPr>
                  <w:tcW w:w="343" w:type="pct"/>
                  <w:tcBorders>
                    <w:tl2br w:val="nil"/>
                    <w:tr2bl w:val="nil"/>
                  </w:tcBorders>
                  <w:shd w:val="clear" w:color="auto" w:fill="auto"/>
                  <w:noWrap w:val="0"/>
                  <w:vAlign w:val="center"/>
                </w:tcPr>
                <w:p w14:paraId="28E8C34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kern w:val="2"/>
                      <w:sz w:val="21"/>
                      <w:szCs w:val="21"/>
                      <w:highlight w:val="none"/>
                      <w:u w:val="none" w:color="auto"/>
                      <w:vertAlign w:val="baseline"/>
                      <w:lang w:val="en-US" w:eastAsia="zh-CN" w:bidi="ar-SA"/>
                    </w:rPr>
                  </w:pPr>
                  <w:r>
                    <w:rPr>
                      <w:rFonts w:hint="eastAsia" w:cs="Times New Roman"/>
                      <w:color w:val="auto"/>
                      <w:kern w:val="2"/>
                      <w:sz w:val="21"/>
                      <w:szCs w:val="21"/>
                      <w:highlight w:val="none"/>
                      <w:u w:val="none" w:color="auto"/>
                      <w:vertAlign w:val="baseline"/>
                      <w:lang w:val="en-US" w:eastAsia="zh-CN" w:bidi="ar-SA"/>
                    </w:rPr>
                    <w:t>0.048</w:t>
                  </w:r>
                </w:p>
              </w:tc>
              <w:tc>
                <w:tcPr>
                  <w:tcW w:w="343" w:type="pct"/>
                  <w:tcBorders>
                    <w:tl2br w:val="nil"/>
                    <w:tr2bl w:val="nil"/>
                  </w:tcBorders>
                  <w:shd w:val="clear" w:color="auto" w:fill="auto"/>
                  <w:noWrap w:val="0"/>
                  <w:vAlign w:val="center"/>
                </w:tcPr>
                <w:p w14:paraId="66A9230F">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w:t>
                  </w:r>
                </w:p>
              </w:tc>
              <w:tc>
                <w:tcPr>
                  <w:tcW w:w="344" w:type="pct"/>
                  <w:tcBorders>
                    <w:tl2br w:val="nil"/>
                    <w:tr2bl w:val="nil"/>
                  </w:tcBorders>
                  <w:shd w:val="clear" w:color="auto" w:fill="auto"/>
                  <w:noWrap w:val="0"/>
                  <w:vAlign w:val="center"/>
                </w:tcPr>
                <w:p w14:paraId="72551264">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eastAsia" w:cs="Times New Roman"/>
                      <w:color w:val="auto"/>
                      <w:kern w:val="2"/>
                      <w:sz w:val="21"/>
                      <w:szCs w:val="24"/>
                      <w:u w:val="none" w:color="auto"/>
                      <w:lang w:val="en-US" w:eastAsia="zh-CN" w:bidi="ar-SA"/>
                    </w:rPr>
                  </w:pPr>
                  <w:r>
                    <w:rPr>
                      <w:rFonts w:hint="eastAsia" w:cs="Times New Roman"/>
                      <w:color w:val="auto"/>
                      <w:kern w:val="2"/>
                      <w:sz w:val="21"/>
                      <w:szCs w:val="21"/>
                      <w:highlight w:val="none"/>
                      <w:u w:val="none" w:color="auto"/>
                      <w:vertAlign w:val="baseline"/>
                      <w:lang w:val="en-US" w:eastAsia="zh-CN" w:bidi="ar-SA"/>
                    </w:rPr>
                    <w:t>0.067</w:t>
                  </w:r>
                </w:p>
              </w:tc>
              <w:tc>
                <w:tcPr>
                  <w:tcW w:w="303" w:type="pct"/>
                  <w:tcBorders>
                    <w:tl2br w:val="nil"/>
                    <w:tr2bl w:val="nil"/>
                  </w:tcBorders>
                  <w:noWrap w:val="0"/>
                  <w:vAlign w:val="center"/>
                </w:tcPr>
                <w:p w14:paraId="4D9BC707">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w:t>
                  </w:r>
                </w:p>
              </w:tc>
              <w:tc>
                <w:tcPr>
                  <w:tcW w:w="370" w:type="pct"/>
                  <w:tcBorders>
                    <w:tl2br w:val="nil"/>
                    <w:tr2bl w:val="nil"/>
                  </w:tcBorders>
                  <w:noWrap w:val="0"/>
                  <w:vAlign w:val="center"/>
                </w:tcPr>
                <w:p w14:paraId="2BE44A01">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车间通风</w:t>
                  </w:r>
                </w:p>
              </w:tc>
              <w:tc>
                <w:tcPr>
                  <w:tcW w:w="438" w:type="pct"/>
                  <w:tcBorders>
                    <w:tl2br w:val="nil"/>
                    <w:tr2bl w:val="nil"/>
                  </w:tcBorders>
                  <w:noWrap w:val="0"/>
                  <w:vAlign w:val="center"/>
                </w:tcPr>
                <w:p w14:paraId="374D1EE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w:t>
                  </w:r>
                </w:p>
              </w:tc>
              <w:tc>
                <w:tcPr>
                  <w:tcW w:w="460" w:type="pct"/>
                  <w:tcBorders>
                    <w:tl2br w:val="nil"/>
                    <w:tr2bl w:val="nil"/>
                  </w:tcBorders>
                  <w:noWrap w:val="0"/>
                  <w:vAlign w:val="center"/>
                </w:tcPr>
                <w:p w14:paraId="4324DA6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default"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w:t>
                  </w:r>
                </w:p>
              </w:tc>
              <w:tc>
                <w:tcPr>
                  <w:tcW w:w="400" w:type="pct"/>
                  <w:tcBorders>
                    <w:tl2br w:val="nil"/>
                    <w:tr2bl w:val="nil"/>
                  </w:tcBorders>
                  <w:noWrap w:val="0"/>
                  <w:vAlign w:val="center"/>
                </w:tcPr>
                <w:p w14:paraId="7627CD8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w:t>
                  </w:r>
                </w:p>
              </w:tc>
              <w:tc>
                <w:tcPr>
                  <w:tcW w:w="299" w:type="pct"/>
                  <w:tcBorders>
                    <w:tl2br w:val="nil"/>
                    <w:tr2bl w:val="nil"/>
                  </w:tcBorders>
                  <w:noWrap w:val="0"/>
                  <w:vAlign w:val="center"/>
                </w:tcPr>
                <w:p w14:paraId="16920890">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cs="Times New Roman"/>
                      <w:color w:val="auto"/>
                      <w:sz w:val="21"/>
                      <w:szCs w:val="21"/>
                      <w:u w:val="none" w:color="auto"/>
                      <w:lang w:val="en-US" w:eastAsia="zh-CN"/>
                    </w:rPr>
                  </w:pPr>
                  <w:r>
                    <w:rPr>
                      <w:rFonts w:hint="eastAsia" w:cs="Times New Roman"/>
                      <w:color w:val="auto"/>
                      <w:sz w:val="21"/>
                      <w:szCs w:val="21"/>
                      <w:u w:val="none" w:color="auto"/>
                      <w:lang w:val="en-US" w:eastAsia="zh-CN"/>
                    </w:rPr>
                    <w:t>/</w:t>
                  </w:r>
                </w:p>
              </w:tc>
            </w:tr>
            <w:tr w14:paraId="449BEAA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12" w:hRule="atLeast"/>
                <w:tblHeader/>
                <w:jc w:val="center"/>
              </w:trPr>
              <w:tc>
                <w:tcPr>
                  <w:tcW w:w="91" w:type="pct"/>
                  <w:tcBorders>
                    <w:tl2br w:val="nil"/>
                    <w:tr2bl w:val="nil"/>
                  </w:tcBorders>
                  <w:noWrap w:val="0"/>
                  <w:vAlign w:val="center"/>
                </w:tcPr>
                <w:p w14:paraId="68F75063">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4</w:t>
                  </w:r>
                </w:p>
              </w:tc>
              <w:tc>
                <w:tcPr>
                  <w:tcW w:w="204" w:type="pct"/>
                  <w:tcBorders>
                    <w:tl2br w:val="nil"/>
                    <w:tr2bl w:val="nil"/>
                  </w:tcBorders>
                  <w:noWrap w:val="0"/>
                  <w:vAlign w:val="center"/>
                </w:tcPr>
                <w:p w14:paraId="4F885F7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eastAsia="宋体" w:cs="Times New Roman"/>
                      <w:color w:val="auto"/>
                      <w:sz w:val="21"/>
                      <w:szCs w:val="21"/>
                      <w:u w:val="none" w:color="auto"/>
                      <w:lang w:eastAsia="zh-CN"/>
                    </w:rPr>
                  </w:pPr>
                  <w:r>
                    <w:rPr>
                      <w:rFonts w:hint="eastAsia" w:cs="Times New Roman"/>
                      <w:color w:val="auto"/>
                      <w:sz w:val="21"/>
                      <w:szCs w:val="21"/>
                      <w:u w:val="none" w:color="auto"/>
                      <w:lang w:eastAsia="zh-CN"/>
                    </w:rPr>
                    <w:t>投料粉尘</w:t>
                  </w:r>
                </w:p>
              </w:tc>
              <w:tc>
                <w:tcPr>
                  <w:tcW w:w="146" w:type="pct"/>
                  <w:tcBorders>
                    <w:tl2br w:val="nil"/>
                    <w:tr2bl w:val="nil"/>
                  </w:tcBorders>
                  <w:noWrap w:val="0"/>
                  <w:vAlign w:val="center"/>
                </w:tcPr>
                <w:p w14:paraId="68A4F69B">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eastAsia="宋体" w:cs="Times New Roman"/>
                      <w:color w:val="auto"/>
                      <w:sz w:val="21"/>
                      <w:szCs w:val="21"/>
                      <w:u w:val="none" w:color="auto"/>
                      <w:lang w:eastAsia="zh-CN"/>
                    </w:rPr>
                  </w:pPr>
                  <w:r>
                    <w:rPr>
                      <w:rFonts w:hint="eastAsia" w:cs="Times New Roman"/>
                      <w:color w:val="auto"/>
                      <w:sz w:val="21"/>
                      <w:szCs w:val="21"/>
                      <w:u w:val="none" w:color="auto"/>
                      <w:lang w:eastAsia="zh-CN"/>
                    </w:rPr>
                    <w:t>无组织</w:t>
                  </w:r>
                </w:p>
              </w:tc>
              <w:tc>
                <w:tcPr>
                  <w:tcW w:w="225" w:type="pct"/>
                  <w:tcBorders>
                    <w:tl2br w:val="nil"/>
                    <w:tr2bl w:val="nil"/>
                  </w:tcBorders>
                  <w:shd w:val="clear" w:color="auto" w:fill="auto"/>
                  <w:noWrap w:val="0"/>
                  <w:vAlign w:val="center"/>
                </w:tcPr>
                <w:p w14:paraId="161051F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eastAsia" w:eastAsia="宋体" w:cs="Times New Roman"/>
                      <w:color w:val="auto"/>
                      <w:sz w:val="21"/>
                      <w:szCs w:val="21"/>
                      <w:u w:val="none" w:color="auto"/>
                      <w:lang w:eastAsia="zh-CN"/>
                    </w:rPr>
                  </w:pPr>
                  <w:r>
                    <w:rPr>
                      <w:rFonts w:hint="eastAsia" w:cs="Times New Roman"/>
                      <w:color w:val="auto"/>
                      <w:sz w:val="21"/>
                      <w:szCs w:val="21"/>
                      <w:u w:val="none" w:color="auto"/>
                      <w:lang w:eastAsia="zh-CN"/>
                    </w:rPr>
                    <w:t>颗粒物</w:t>
                  </w:r>
                </w:p>
              </w:tc>
              <w:tc>
                <w:tcPr>
                  <w:tcW w:w="343" w:type="pct"/>
                  <w:tcBorders>
                    <w:tl2br w:val="nil"/>
                    <w:tr2bl w:val="nil"/>
                  </w:tcBorders>
                  <w:shd w:val="clear" w:color="auto" w:fill="auto"/>
                  <w:noWrap w:val="0"/>
                  <w:vAlign w:val="center"/>
                </w:tcPr>
                <w:p w14:paraId="680852A9">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0.061</w:t>
                  </w:r>
                </w:p>
              </w:tc>
              <w:tc>
                <w:tcPr>
                  <w:tcW w:w="343" w:type="pct"/>
                  <w:tcBorders>
                    <w:tl2br w:val="nil"/>
                    <w:tr2bl w:val="nil"/>
                  </w:tcBorders>
                  <w:shd w:val="clear" w:color="auto" w:fill="auto"/>
                  <w:noWrap w:val="0"/>
                  <w:vAlign w:val="center"/>
                </w:tcPr>
                <w:p w14:paraId="0EF07C56">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w:t>
                  </w:r>
                </w:p>
              </w:tc>
              <w:tc>
                <w:tcPr>
                  <w:tcW w:w="343" w:type="pct"/>
                  <w:tcBorders>
                    <w:tl2br w:val="nil"/>
                    <w:tr2bl w:val="nil"/>
                  </w:tcBorders>
                  <w:shd w:val="clear" w:color="auto" w:fill="auto"/>
                  <w:noWrap w:val="0"/>
                  <w:vAlign w:val="center"/>
                </w:tcPr>
                <w:p w14:paraId="665652CB">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0.034</w:t>
                  </w:r>
                </w:p>
              </w:tc>
              <w:tc>
                <w:tcPr>
                  <w:tcW w:w="343" w:type="pct"/>
                  <w:tcBorders>
                    <w:tl2br w:val="nil"/>
                    <w:tr2bl w:val="nil"/>
                  </w:tcBorders>
                  <w:shd w:val="clear" w:color="auto" w:fill="auto"/>
                  <w:noWrap w:val="0"/>
                  <w:vAlign w:val="center"/>
                </w:tcPr>
                <w:p w14:paraId="65C3D3E3">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0.061</w:t>
                  </w:r>
                </w:p>
              </w:tc>
              <w:tc>
                <w:tcPr>
                  <w:tcW w:w="343" w:type="pct"/>
                  <w:tcBorders>
                    <w:tl2br w:val="nil"/>
                    <w:tr2bl w:val="nil"/>
                  </w:tcBorders>
                  <w:shd w:val="clear" w:color="auto" w:fill="auto"/>
                  <w:noWrap w:val="0"/>
                  <w:vAlign w:val="center"/>
                </w:tcPr>
                <w:p w14:paraId="1AB53A8D">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w:t>
                  </w:r>
                </w:p>
              </w:tc>
              <w:tc>
                <w:tcPr>
                  <w:tcW w:w="344" w:type="pct"/>
                  <w:tcBorders>
                    <w:tl2br w:val="nil"/>
                    <w:tr2bl w:val="nil"/>
                  </w:tcBorders>
                  <w:shd w:val="clear" w:color="auto" w:fill="auto"/>
                  <w:noWrap w:val="0"/>
                  <w:vAlign w:val="center"/>
                </w:tcPr>
                <w:p w14:paraId="1ED9AB65">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0.034</w:t>
                  </w:r>
                </w:p>
              </w:tc>
              <w:tc>
                <w:tcPr>
                  <w:tcW w:w="303" w:type="pct"/>
                  <w:tcBorders>
                    <w:tl2br w:val="nil"/>
                    <w:tr2bl w:val="nil"/>
                  </w:tcBorders>
                  <w:noWrap w:val="0"/>
                  <w:vAlign w:val="center"/>
                </w:tcPr>
                <w:p w14:paraId="46B0FE82">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w:t>
                  </w:r>
                </w:p>
              </w:tc>
              <w:tc>
                <w:tcPr>
                  <w:tcW w:w="370" w:type="pct"/>
                  <w:tcBorders>
                    <w:tl2br w:val="nil"/>
                    <w:tr2bl w:val="nil"/>
                  </w:tcBorders>
                  <w:noWrap w:val="0"/>
                  <w:vAlign w:val="center"/>
                </w:tcPr>
                <w:p w14:paraId="2165BDC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eastAsia="宋体" w:cs="Times New Roman"/>
                      <w:color w:val="auto"/>
                      <w:sz w:val="21"/>
                      <w:szCs w:val="21"/>
                      <w:u w:val="none" w:color="auto"/>
                      <w:lang w:eastAsia="zh-CN"/>
                    </w:rPr>
                  </w:pPr>
                  <w:r>
                    <w:rPr>
                      <w:rFonts w:hint="eastAsia" w:cs="Times New Roman"/>
                      <w:color w:val="auto"/>
                      <w:sz w:val="21"/>
                      <w:szCs w:val="21"/>
                      <w:u w:val="none" w:color="auto"/>
                      <w:lang w:eastAsia="zh-CN"/>
                    </w:rPr>
                    <w:t>降低投料高度</w:t>
                  </w:r>
                </w:p>
              </w:tc>
              <w:tc>
                <w:tcPr>
                  <w:tcW w:w="438" w:type="pct"/>
                  <w:tcBorders>
                    <w:tl2br w:val="nil"/>
                    <w:tr2bl w:val="nil"/>
                  </w:tcBorders>
                  <w:noWrap w:val="0"/>
                  <w:vAlign w:val="center"/>
                </w:tcPr>
                <w:p w14:paraId="0D454AD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w:t>
                  </w:r>
                </w:p>
              </w:tc>
              <w:tc>
                <w:tcPr>
                  <w:tcW w:w="460" w:type="pct"/>
                  <w:tcBorders>
                    <w:tl2br w:val="nil"/>
                    <w:tr2bl w:val="nil"/>
                  </w:tcBorders>
                  <w:noWrap w:val="0"/>
                  <w:vAlign w:val="center"/>
                </w:tcPr>
                <w:p w14:paraId="7DE1ABB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w:t>
                  </w:r>
                </w:p>
              </w:tc>
              <w:tc>
                <w:tcPr>
                  <w:tcW w:w="400" w:type="pct"/>
                  <w:tcBorders>
                    <w:tl2br w:val="nil"/>
                    <w:tr2bl w:val="nil"/>
                  </w:tcBorders>
                  <w:noWrap w:val="0"/>
                  <w:vAlign w:val="center"/>
                </w:tcPr>
                <w:p w14:paraId="677EFF6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w:t>
                  </w:r>
                </w:p>
              </w:tc>
              <w:tc>
                <w:tcPr>
                  <w:tcW w:w="299" w:type="pct"/>
                  <w:tcBorders>
                    <w:tl2br w:val="nil"/>
                    <w:tr2bl w:val="nil"/>
                  </w:tcBorders>
                  <w:noWrap w:val="0"/>
                  <w:vAlign w:val="center"/>
                </w:tcPr>
                <w:p w14:paraId="33A20607">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w:t>
                  </w:r>
                </w:p>
              </w:tc>
            </w:tr>
            <w:tr w14:paraId="283F81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12" w:hRule="atLeast"/>
                <w:tblHeader/>
                <w:jc w:val="center"/>
              </w:trPr>
              <w:tc>
                <w:tcPr>
                  <w:tcW w:w="91" w:type="pct"/>
                  <w:vMerge w:val="restart"/>
                  <w:tcBorders>
                    <w:tl2br w:val="nil"/>
                    <w:tr2bl w:val="nil"/>
                  </w:tcBorders>
                  <w:noWrap w:val="0"/>
                  <w:vAlign w:val="center"/>
                </w:tcPr>
                <w:p w14:paraId="46FE08E7">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5</w:t>
                  </w:r>
                </w:p>
              </w:tc>
              <w:tc>
                <w:tcPr>
                  <w:tcW w:w="204" w:type="pct"/>
                  <w:vMerge w:val="restart"/>
                  <w:tcBorders>
                    <w:tl2br w:val="nil"/>
                    <w:tr2bl w:val="nil"/>
                  </w:tcBorders>
                  <w:noWrap w:val="0"/>
                  <w:vAlign w:val="center"/>
                </w:tcPr>
                <w:p w14:paraId="5AD5EBB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default"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污水处理系统恶臭</w:t>
                  </w:r>
                </w:p>
              </w:tc>
              <w:tc>
                <w:tcPr>
                  <w:tcW w:w="146" w:type="pct"/>
                  <w:vMerge w:val="restart"/>
                  <w:tcBorders>
                    <w:tl2br w:val="nil"/>
                    <w:tr2bl w:val="nil"/>
                  </w:tcBorders>
                  <w:noWrap w:val="0"/>
                  <w:vAlign w:val="center"/>
                </w:tcPr>
                <w:p w14:paraId="58E91B37">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eastAsia="宋体" w:cs="Times New Roman"/>
                      <w:color w:val="auto"/>
                      <w:sz w:val="21"/>
                      <w:szCs w:val="21"/>
                      <w:u w:val="none" w:color="auto"/>
                      <w:lang w:eastAsia="zh-CN"/>
                    </w:rPr>
                  </w:pPr>
                  <w:r>
                    <w:rPr>
                      <w:rFonts w:hint="eastAsia" w:cs="Times New Roman"/>
                      <w:color w:val="auto"/>
                      <w:sz w:val="21"/>
                      <w:szCs w:val="21"/>
                      <w:u w:val="none" w:color="auto"/>
                      <w:lang w:eastAsia="zh-CN"/>
                    </w:rPr>
                    <w:t>无组织</w:t>
                  </w:r>
                </w:p>
              </w:tc>
              <w:tc>
                <w:tcPr>
                  <w:tcW w:w="225" w:type="pct"/>
                  <w:tcBorders>
                    <w:tl2br w:val="nil"/>
                    <w:tr2bl w:val="nil"/>
                  </w:tcBorders>
                  <w:shd w:val="clear" w:color="auto" w:fill="auto"/>
                  <w:noWrap w:val="0"/>
                  <w:vAlign w:val="center"/>
                </w:tcPr>
                <w:p w14:paraId="231FA86C">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NH</w:t>
                  </w:r>
                  <w:r>
                    <w:rPr>
                      <w:rFonts w:hint="eastAsia" w:cs="Times New Roman"/>
                      <w:color w:val="auto"/>
                      <w:sz w:val="21"/>
                      <w:szCs w:val="21"/>
                      <w:u w:val="none" w:color="auto"/>
                      <w:vertAlign w:val="subscript"/>
                      <w:lang w:val="en-US" w:eastAsia="zh-CN"/>
                    </w:rPr>
                    <w:t>3</w:t>
                  </w:r>
                </w:p>
              </w:tc>
              <w:tc>
                <w:tcPr>
                  <w:tcW w:w="343" w:type="pct"/>
                  <w:tcBorders>
                    <w:tl2br w:val="nil"/>
                    <w:tr2bl w:val="nil"/>
                  </w:tcBorders>
                  <w:shd w:val="clear" w:color="auto" w:fill="auto"/>
                  <w:noWrap w:val="0"/>
                  <w:vAlign w:val="center"/>
                </w:tcPr>
                <w:p w14:paraId="193F2A6C">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0.008</w:t>
                  </w:r>
                </w:p>
              </w:tc>
              <w:tc>
                <w:tcPr>
                  <w:tcW w:w="343" w:type="pct"/>
                  <w:tcBorders>
                    <w:tl2br w:val="nil"/>
                    <w:tr2bl w:val="nil"/>
                  </w:tcBorders>
                  <w:shd w:val="clear" w:color="auto" w:fill="auto"/>
                  <w:noWrap w:val="0"/>
                  <w:vAlign w:val="center"/>
                </w:tcPr>
                <w:p w14:paraId="50736475">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w:t>
                  </w:r>
                </w:p>
              </w:tc>
              <w:tc>
                <w:tcPr>
                  <w:tcW w:w="343" w:type="pct"/>
                  <w:tcBorders>
                    <w:tl2br w:val="nil"/>
                    <w:tr2bl w:val="nil"/>
                  </w:tcBorders>
                  <w:shd w:val="clear" w:color="auto" w:fill="auto"/>
                  <w:noWrap w:val="0"/>
                  <w:vAlign w:val="center"/>
                </w:tcPr>
                <w:p w14:paraId="260AD7B9">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0.068</w:t>
                  </w:r>
                </w:p>
              </w:tc>
              <w:tc>
                <w:tcPr>
                  <w:tcW w:w="343" w:type="pct"/>
                  <w:tcBorders>
                    <w:tl2br w:val="nil"/>
                    <w:tr2bl w:val="nil"/>
                  </w:tcBorders>
                  <w:shd w:val="clear" w:color="auto" w:fill="auto"/>
                  <w:noWrap w:val="0"/>
                  <w:vAlign w:val="center"/>
                </w:tcPr>
                <w:p w14:paraId="7FEEBEC8">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0.008</w:t>
                  </w:r>
                </w:p>
              </w:tc>
              <w:tc>
                <w:tcPr>
                  <w:tcW w:w="343" w:type="pct"/>
                  <w:tcBorders>
                    <w:tl2br w:val="nil"/>
                    <w:tr2bl w:val="nil"/>
                  </w:tcBorders>
                  <w:shd w:val="clear" w:color="auto" w:fill="auto"/>
                  <w:noWrap w:val="0"/>
                  <w:vAlign w:val="center"/>
                </w:tcPr>
                <w:p w14:paraId="5E3F7D69">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w:t>
                  </w:r>
                </w:p>
              </w:tc>
              <w:tc>
                <w:tcPr>
                  <w:tcW w:w="344" w:type="pct"/>
                  <w:tcBorders>
                    <w:tl2br w:val="nil"/>
                    <w:tr2bl w:val="nil"/>
                  </w:tcBorders>
                  <w:shd w:val="clear" w:color="auto" w:fill="auto"/>
                  <w:noWrap w:val="0"/>
                  <w:vAlign w:val="center"/>
                </w:tcPr>
                <w:p w14:paraId="5AEFD85C">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0.068</w:t>
                  </w:r>
                </w:p>
              </w:tc>
              <w:tc>
                <w:tcPr>
                  <w:tcW w:w="303" w:type="pct"/>
                  <w:vMerge w:val="restart"/>
                  <w:tcBorders>
                    <w:tl2br w:val="nil"/>
                    <w:tr2bl w:val="nil"/>
                  </w:tcBorders>
                  <w:noWrap w:val="0"/>
                  <w:vAlign w:val="center"/>
                </w:tcPr>
                <w:p w14:paraId="7A7722C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w:t>
                  </w:r>
                </w:p>
              </w:tc>
              <w:tc>
                <w:tcPr>
                  <w:tcW w:w="370" w:type="pct"/>
                  <w:vMerge w:val="restart"/>
                  <w:tcBorders>
                    <w:tl2br w:val="nil"/>
                    <w:tr2bl w:val="nil"/>
                  </w:tcBorders>
                  <w:noWrap w:val="0"/>
                  <w:vAlign w:val="center"/>
                </w:tcPr>
                <w:p w14:paraId="4DC2AE01">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eastAsia="宋体" w:cs="Times New Roman"/>
                      <w:color w:val="auto"/>
                      <w:sz w:val="21"/>
                      <w:szCs w:val="21"/>
                      <w:u w:val="none" w:color="auto"/>
                      <w:lang w:eastAsia="zh-CN"/>
                    </w:rPr>
                  </w:pPr>
                  <w:r>
                    <w:rPr>
                      <w:rFonts w:hint="eastAsia" w:cs="Times New Roman"/>
                      <w:color w:val="auto"/>
                      <w:sz w:val="21"/>
                      <w:szCs w:val="21"/>
                      <w:u w:val="none" w:color="auto"/>
                      <w:lang w:eastAsia="zh-CN"/>
                    </w:rPr>
                    <w:t>设置地埋式污水处理设施，加盖密闭，加强厂区绿化</w:t>
                  </w:r>
                </w:p>
              </w:tc>
              <w:tc>
                <w:tcPr>
                  <w:tcW w:w="438" w:type="pct"/>
                  <w:tcBorders>
                    <w:tl2br w:val="nil"/>
                    <w:tr2bl w:val="nil"/>
                  </w:tcBorders>
                  <w:noWrap w:val="0"/>
                  <w:vAlign w:val="center"/>
                </w:tcPr>
                <w:p w14:paraId="4F8223E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cs="Times New Roman"/>
                      <w:color w:val="auto"/>
                      <w:sz w:val="21"/>
                      <w:szCs w:val="21"/>
                      <w:u w:val="none" w:color="auto"/>
                    </w:rPr>
                  </w:pPr>
                </w:p>
              </w:tc>
              <w:tc>
                <w:tcPr>
                  <w:tcW w:w="460" w:type="pct"/>
                  <w:tcBorders>
                    <w:tl2br w:val="nil"/>
                    <w:tr2bl w:val="nil"/>
                  </w:tcBorders>
                  <w:noWrap w:val="0"/>
                  <w:vAlign w:val="center"/>
                </w:tcPr>
                <w:p w14:paraId="43AFC28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eastAsia="宋体" w:cs="Times New Roman"/>
                      <w:color w:val="auto"/>
                      <w:sz w:val="21"/>
                      <w:szCs w:val="21"/>
                      <w:u w:val="none" w:color="auto"/>
                    </w:rPr>
                  </w:pPr>
                </w:p>
              </w:tc>
              <w:tc>
                <w:tcPr>
                  <w:tcW w:w="400" w:type="pct"/>
                  <w:tcBorders>
                    <w:tl2br w:val="nil"/>
                    <w:tr2bl w:val="nil"/>
                  </w:tcBorders>
                  <w:noWrap w:val="0"/>
                  <w:vAlign w:val="center"/>
                </w:tcPr>
                <w:p w14:paraId="1306E47E">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eastAsia="宋体" w:cs="Times New Roman"/>
                      <w:color w:val="auto"/>
                      <w:sz w:val="21"/>
                      <w:szCs w:val="21"/>
                      <w:u w:val="none" w:color="auto"/>
                      <w:lang w:val="en-US" w:eastAsia="zh-CN"/>
                    </w:rPr>
                  </w:pPr>
                </w:p>
              </w:tc>
              <w:tc>
                <w:tcPr>
                  <w:tcW w:w="299" w:type="pct"/>
                  <w:tcBorders>
                    <w:tl2br w:val="nil"/>
                    <w:tr2bl w:val="nil"/>
                  </w:tcBorders>
                  <w:noWrap w:val="0"/>
                  <w:vAlign w:val="center"/>
                </w:tcPr>
                <w:p w14:paraId="7DB4606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eastAsia="宋体" w:cs="Times New Roman"/>
                      <w:color w:val="auto"/>
                      <w:sz w:val="21"/>
                      <w:szCs w:val="21"/>
                      <w:u w:val="none" w:color="auto"/>
                      <w:lang w:val="en-US" w:eastAsia="zh-CN"/>
                    </w:rPr>
                  </w:pPr>
                </w:p>
              </w:tc>
            </w:tr>
            <w:tr w14:paraId="5AEF7F9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12" w:hRule="atLeast"/>
                <w:tblHeader/>
                <w:jc w:val="center"/>
              </w:trPr>
              <w:tc>
                <w:tcPr>
                  <w:tcW w:w="91" w:type="pct"/>
                  <w:vMerge w:val="continue"/>
                  <w:tcBorders>
                    <w:tl2br w:val="nil"/>
                    <w:tr2bl w:val="nil"/>
                  </w:tcBorders>
                  <w:noWrap w:val="0"/>
                  <w:vAlign w:val="center"/>
                </w:tcPr>
                <w:p w14:paraId="4C152D35">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cs="Times New Roman"/>
                      <w:color w:val="auto"/>
                      <w:sz w:val="21"/>
                      <w:szCs w:val="21"/>
                      <w:u w:val="none" w:color="auto"/>
                    </w:rPr>
                  </w:pPr>
                </w:p>
              </w:tc>
              <w:tc>
                <w:tcPr>
                  <w:tcW w:w="204" w:type="pct"/>
                  <w:vMerge w:val="continue"/>
                  <w:tcBorders>
                    <w:tl2br w:val="nil"/>
                    <w:tr2bl w:val="nil"/>
                  </w:tcBorders>
                  <w:noWrap w:val="0"/>
                  <w:vAlign w:val="center"/>
                </w:tcPr>
                <w:p w14:paraId="21F7E1B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cs="Times New Roman"/>
                      <w:color w:val="auto"/>
                      <w:sz w:val="21"/>
                      <w:szCs w:val="21"/>
                      <w:u w:val="none" w:color="auto"/>
                    </w:rPr>
                  </w:pPr>
                </w:p>
              </w:tc>
              <w:tc>
                <w:tcPr>
                  <w:tcW w:w="146" w:type="pct"/>
                  <w:vMerge w:val="continue"/>
                  <w:tcBorders>
                    <w:tl2br w:val="nil"/>
                    <w:tr2bl w:val="nil"/>
                  </w:tcBorders>
                  <w:noWrap w:val="0"/>
                  <w:vAlign w:val="center"/>
                </w:tcPr>
                <w:p w14:paraId="0DA4AE77">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cs="Times New Roman"/>
                      <w:color w:val="auto"/>
                      <w:sz w:val="21"/>
                      <w:szCs w:val="21"/>
                      <w:u w:val="none" w:color="auto"/>
                    </w:rPr>
                  </w:pPr>
                </w:p>
              </w:tc>
              <w:tc>
                <w:tcPr>
                  <w:tcW w:w="225" w:type="pct"/>
                  <w:tcBorders>
                    <w:tl2br w:val="nil"/>
                    <w:tr2bl w:val="nil"/>
                  </w:tcBorders>
                  <w:shd w:val="clear" w:color="auto" w:fill="auto"/>
                  <w:noWrap w:val="0"/>
                  <w:vAlign w:val="center"/>
                </w:tcPr>
                <w:p w14:paraId="24011BF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center"/>
                    <w:rPr>
                      <w:rFonts w:hint="default"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H</w:t>
                  </w:r>
                  <w:r>
                    <w:rPr>
                      <w:rFonts w:hint="eastAsia" w:cs="Times New Roman"/>
                      <w:color w:val="auto"/>
                      <w:sz w:val="21"/>
                      <w:szCs w:val="21"/>
                      <w:u w:val="none" w:color="auto"/>
                      <w:vertAlign w:val="subscript"/>
                      <w:lang w:val="en-US" w:eastAsia="zh-CN"/>
                    </w:rPr>
                    <w:t>2</w:t>
                  </w:r>
                  <w:r>
                    <w:rPr>
                      <w:rFonts w:hint="eastAsia" w:cs="Times New Roman"/>
                      <w:color w:val="auto"/>
                      <w:sz w:val="21"/>
                      <w:szCs w:val="21"/>
                      <w:u w:val="none" w:color="auto"/>
                      <w:lang w:val="en-US" w:eastAsia="zh-CN"/>
                    </w:rPr>
                    <w:t>S</w:t>
                  </w:r>
                </w:p>
              </w:tc>
              <w:tc>
                <w:tcPr>
                  <w:tcW w:w="343" w:type="pct"/>
                  <w:tcBorders>
                    <w:tl2br w:val="nil"/>
                    <w:tr2bl w:val="nil"/>
                  </w:tcBorders>
                  <w:shd w:val="clear" w:color="auto" w:fill="auto"/>
                  <w:noWrap w:val="0"/>
                  <w:vAlign w:val="center"/>
                </w:tcPr>
                <w:p w14:paraId="6FCD4FE4">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0.0003</w:t>
                  </w:r>
                </w:p>
              </w:tc>
              <w:tc>
                <w:tcPr>
                  <w:tcW w:w="343" w:type="pct"/>
                  <w:tcBorders>
                    <w:tl2br w:val="nil"/>
                    <w:tr2bl w:val="nil"/>
                  </w:tcBorders>
                  <w:shd w:val="clear" w:color="auto" w:fill="auto"/>
                  <w:noWrap w:val="0"/>
                  <w:vAlign w:val="center"/>
                </w:tcPr>
                <w:p w14:paraId="7833BE75">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w:t>
                  </w:r>
                </w:p>
              </w:tc>
              <w:tc>
                <w:tcPr>
                  <w:tcW w:w="343" w:type="pct"/>
                  <w:tcBorders>
                    <w:tl2br w:val="nil"/>
                    <w:tr2bl w:val="nil"/>
                  </w:tcBorders>
                  <w:shd w:val="clear" w:color="auto" w:fill="auto"/>
                  <w:noWrap w:val="0"/>
                  <w:vAlign w:val="center"/>
                </w:tcPr>
                <w:p w14:paraId="06C57437">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0.0026</w:t>
                  </w:r>
                </w:p>
              </w:tc>
              <w:tc>
                <w:tcPr>
                  <w:tcW w:w="343" w:type="pct"/>
                  <w:tcBorders>
                    <w:tl2br w:val="nil"/>
                    <w:tr2bl w:val="nil"/>
                  </w:tcBorders>
                  <w:shd w:val="clear" w:color="auto" w:fill="auto"/>
                  <w:noWrap w:val="0"/>
                  <w:vAlign w:val="center"/>
                </w:tcPr>
                <w:p w14:paraId="15DE6AEB">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0.0003</w:t>
                  </w:r>
                </w:p>
              </w:tc>
              <w:tc>
                <w:tcPr>
                  <w:tcW w:w="343" w:type="pct"/>
                  <w:tcBorders>
                    <w:tl2br w:val="nil"/>
                    <w:tr2bl w:val="nil"/>
                  </w:tcBorders>
                  <w:shd w:val="clear" w:color="auto" w:fill="auto"/>
                  <w:noWrap w:val="0"/>
                  <w:vAlign w:val="center"/>
                </w:tcPr>
                <w:p w14:paraId="322DDB01">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w:t>
                  </w:r>
                </w:p>
              </w:tc>
              <w:tc>
                <w:tcPr>
                  <w:tcW w:w="344" w:type="pct"/>
                  <w:tcBorders>
                    <w:tl2br w:val="nil"/>
                    <w:tr2bl w:val="nil"/>
                  </w:tcBorders>
                  <w:shd w:val="clear" w:color="auto" w:fill="auto"/>
                  <w:noWrap w:val="0"/>
                  <w:vAlign w:val="center"/>
                </w:tcPr>
                <w:p w14:paraId="7434E4C5">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0.0026</w:t>
                  </w:r>
                </w:p>
              </w:tc>
              <w:tc>
                <w:tcPr>
                  <w:tcW w:w="303" w:type="pct"/>
                  <w:vMerge w:val="continue"/>
                  <w:tcBorders>
                    <w:tl2br w:val="nil"/>
                    <w:tr2bl w:val="nil"/>
                  </w:tcBorders>
                  <w:noWrap w:val="0"/>
                  <w:vAlign w:val="center"/>
                </w:tcPr>
                <w:p w14:paraId="3CCB5C06">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cs="Times New Roman"/>
                      <w:color w:val="auto"/>
                      <w:sz w:val="21"/>
                      <w:szCs w:val="21"/>
                      <w:u w:val="none" w:color="auto"/>
                    </w:rPr>
                  </w:pPr>
                </w:p>
              </w:tc>
              <w:tc>
                <w:tcPr>
                  <w:tcW w:w="370" w:type="pct"/>
                  <w:vMerge w:val="continue"/>
                  <w:tcBorders>
                    <w:tl2br w:val="nil"/>
                    <w:tr2bl w:val="nil"/>
                  </w:tcBorders>
                  <w:noWrap w:val="0"/>
                  <w:vAlign w:val="center"/>
                </w:tcPr>
                <w:p w14:paraId="6EE81D31">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cs="Times New Roman"/>
                      <w:color w:val="auto"/>
                      <w:sz w:val="21"/>
                      <w:szCs w:val="21"/>
                      <w:u w:val="none" w:color="auto"/>
                    </w:rPr>
                  </w:pPr>
                </w:p>
              </w:tc>
              <w:tc>
                <w:tcPr>
                  <w:tcW w:w="438" w:type="pct"/>
                  <w:tcBorders>
                    <w:tl2br w:val="nil"/>
                    <w:tr2bl w:val="nil"/>
                  </w:tcBorders>
                  <w:noWrap w:val="0"/>
                  <w:vAlign w:val="center"/>
                </w:tcPr>
                <w:p w14:paraId="613ABFB4">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cs="Times New Roman"/>
                      <w:color w:val="auto"/>
                      <w:sz w:val="21"/>
                      <w:szCs w:val="21"/>
                      <w:u w:val="none" w:color="auto"/>
                    </w:rPr>
                  </w:pPr>
                </w:p>
              </w:tc>
              <w:tc>
                <w:tcPr>
                  <w:tcW w:w="460" w:type="pct"/>
                  <w:tcBorders>
                    <w:tl2br w:val="nil"/>
                    <w:tr2bl w:val="nil"/>
                  </w:tcBorders>
                  <w:noWrap w:val="0"/>
                  <w:vAlign w:val="center"/>
                </w:tcPr>
                <w:p w14:paraId="49DC6A8C">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leftChars="0" w:right="0" w:rightChars="0" w:firstLine="0" w:firstLineChars="0"/>
                    <w:jc w:val="center"/>
                    <w:rPr>
                      <w:rFonts w:hint="eastAsia" w:eastAsia="宋体" w:cs="Times New Roman"/>
                      <w:color w:val="auto"/>
                      <w:sz w:val="21"/>
                      <w:szCs w:val="21"/>
                      <w:u w:val="none" w:color="auto"/>
                    </w:rPr>
                  </w:pPr>
                </w:p>
              </w:tc>
              <w:tc>
                <w:tcPr>
                  <w:tcW w:w="400" w:type="pct"/>
                  <w:tcBorders>
                    <w:tl2br w:val="nil"/>
                    <w:tr2bl w:val="nil"/>
                  </w:tcBorders>
                  <w:noWrap w:val="0"/>
                  <w:vAlign w:val="center"/>
                </w:tcPr>
                <w:p w14:paraId="5BE1371F">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eastAsia="宋体" w:cs="Times New Roman"/>
                      <w:color w:val="auto"/>
                      <w:sz w:val="21"/>
                      <w:szCs w:val="21"/>
                      <w:u w:val="none" w:color="auto"/>
                      <w:lang w:val="en-US" w:eastAsia="zh-CN"/>
                    </w:rPr>
                  </w:pPr>
                </w:p>
              </w:tc>
              <w:tc>
                <w:tcPr>
                  <w:tcW w:w="299" w:type="pct"/>
                  <w:tcBorders>
                    <w:tl2br w:val="nil"/>
                    <w:tr2bl w:val="nil"/>
                  </w:tcBorders>
                  <w:noWrap w:val="0"/>
                  <w:vAlign w:val="center"/>
                </w:tcPr>
                <w:p w14:paraId="6A245848">
                  <w:pPr>
                    <w:keepNext w:val="0"/>
                    <w:keepLines w:val="0"/>
                    <w:pageBreakBefore w:val="0"/>
                    <w:suppressLineNumbers w:val="0"/>
                    <w:kinsoku/>
                    <w:wordWrap/>
                    <w:overflowPunct/>
                    <w:topLinePunct w:val="0"/>
                    <w:autoSpaceDE/>
                    <w:autoSpaceDN/>
                    <w:bidi w:val="0"/>
                    <w:spacing w:before="0" w:beforeAutospacing="0" w:after="0" w:afterAutospacing="0" w:line="240" w:lineRule="auto"/>
                    <w:ind w:left="0" w:right="0" w:firstLine="0" w:firstLineChars="0"/>
                    <w:jc w:val="center"/>
                    <w:rPr>
                      <w:rFonts w:hint="eastAsia" w:eastAsia="宋体" w:cs="Times New Roman"/>
                      <w:color w:val="auto"/>
                      <w:sz w:val="21"/>
                      <w:szCs w:val="21"/>
                      <w:u w:val="none" w:color="auto"/>
                      <w:lang w:val="en-US" w:eastAsia="zh-CN"/>
                    </w:rPr>
                  </w:pPr>
                </w:p>
              </w:tc>
            </w:tr>
          </w:tbl>
          <w:p w14:paraId="7C0D1DB1">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422" w:firstLineChars="200"/>
              <w:jc w:val="center"/>
              <w:textAlignment w:val="auto"/>
              <w:rPr>
                <w:rFonts w:hint="eastAsia" w:eastAsia="宋体" w:cs="Times New Roman"/>
                <w:b/>
                <w:color w:val="auto"/>
                <w:sz w:val="24"/>
                <w:szCs w:val="24"/>
                <w:u w:val="none" w:color="auto"/>
                <w:lang w:val="en-US" w:eastAsia="zh-CN"/>
              </w:rPr>
            </w:pPr>
            <w:bookmarkStart w:id="12" w:name="BIAO4FQJGHY"/>
            <w:bookmarkEnd w:id="12"/>
            <w:r>
              <w:rPr>
                <w:rFonts w:hint="eastAsia" w:eastAsia="宋体" w:cs="Times New Roman"/>
                <w:b/>
                <w:color w:val="auto"/>
                <w:sz w:val="21"/>
                <w:szCs w:val="21"/>
                <w:u w:val="none" w:color="auto"/>
              </w:rPr>
              <w:t>表4</w:t>
            </w:r>
            <w:r>
              <w:rPr>
                <w:rFonts w:hint="eastAsia" w:cs="Times New Roman"/>
                <w:b/>
                <w:color w:val="auto"/>
                <w:sz w:val="21"/>
                <w:szCs w:val="21"/>
                <w:u w:val="none" w:color="auto"/>
              </w:rPr>
              <w:t>-</w:t>
            </w:r>
            <w:r>
              <w:rPr>
                <w:rFonts w:hint="eastAsia" w:cs="Times New Roman"/>
                <w:b/>
                <w:color w:val="auto"/>
                <w:sz w:val="21"/>
                <w:szCs w:val="21"/>
                <w:u w:val="none" w:color="auto"/>
                <w:lang w:val="en-US" w:eastAsia="zh-CN"/>
              </w:rPr>
              <w:t>6</w:t>
            </w:r>
            <w:r>
              <w:rPr>
                <w:rFonts w:hint="eastAsia" w:eastAsia="宋体" w:cs="Times New Roman"/>
                <w:b/>
                <w:color w:val="auto"/>
                <w:sz w:val="21"/>
                <w:szCs w:val="21"/>
                <w:u w:val="none" w:color="auto"/>
              </w:rPr>
              <w:t xml:space="preserve"> 废气排放口基本情况</w:t>
            </w:r>
            <w:r>
              <w:rPr>
                <w:rFonts w:hint="eastAsia" w:cs="Times New Roman"/>
                <w:b/>
                <w:color w:val="auto"/>
                <w:sz w:val="21"/>
                <w:szCs w:val="21"/>
                <w:u w:val="none" w:color="auto"/>
                <w:lang w:val="en-US" w:eastAsia="zh-CN"/>
              </w:rPr>
              <w:t>一览表</w:t>
            </w:r>
          </w:p>
          <w:tbl>
            <w:tblPr>
              <w:tblStyle w:val="42"/>
              <w:tblW w:w="496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368"/>
              <w:gridCol w:w="732"/>
              <w:gridCol w:w="824"/>
              <w:gridCol w:w="607"/>
              <w:gridCol w:w="1670"/>
              <w:gridCol w:w="2957"/>
              <w:gridCol w:w="1197"/>
              <w:gridCol w:w="968"/>
              <w:gridCol w:w="938"/>
              <w:gridCol w:w="1025"/>
              <w:gridCol w:w="1160"/>
            </w:tblGrid>
            <w:tr w14:paraId="6C7F73F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147" w:type="pct"/>
                  <w:vMerge w:val="restart"/>
                  <w:tcBorders>
                    <w:tl2br w:val="nil"/>
                    <w:tr2bl w:val="nil"/>
                  </w:tcBorders>
                  <w:noWrap w:val="0"/>
                  <w:vAlign w:val="center"/>
                </w:tcPr>
                <w:p w14:paraId="36775862">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eastAsia" w:cs="Times New Roman"/>
                      <w:b/>
                      <w:color w:val="auto"/>
                      <w:sz w:val="21"/>
                      <w:szCs w:val="21"/>
                      <w:u w:val="none" w:color="auto"/>
                    </w:rPr>
                  </w:pPr>
                  <w:r>
                    <w:rPr>
                      <w:rFonts w:hint="eastAsia" w:eastAsia="宋体" w:cs="Times New Roman"/>
                      <w:b/>
                      <w:color w:val="auto"/>
                      <w:sz w:val="21"/>
                      <w:szCs w:val="21"/>
                      <w:u w:val="none" w:color="auto"/>
                    </w:rPr>
                    <w:t>序号</w:t>
                  </w:r>
                </w:p>
              </w:tc>
              <w:tc>
                <w:tcPr>
                  <w:tcW w:w="294" w:type="pct"/>
                  <w:vMerge w:val="restart"/>
                  <w:tcBorders>
                    <w:tl2br w:val="nil"/>
                    <w:tr2bl w:val="nil"/>
                  </w:tcBorders>
                  <w:noWrap w:val="0"/>
                  <w:vAlign w:val="center"/>
                </w:tcPr>
                <w:p w14:paraId="0D573B3A">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eastAsia" w:cs="Times New Roman"/>
                      <w:b/>
                      <w:color w:val="auto"/>
                      <w:sz w:val="21"/>
                      <w:szCs w:val="21"/>
                      <w:u w:val="none" w:color="auto"/>
                    </w:rPr>
                  </w:pPr>
                  <w:r>
                    <w:rPr>
                      <w:rFonts w:hint="eastAsia" w:eastAsia="宋体" w:cs="Times New Roman"/>
                      <w:b/>
                      <w:color w:val="auto"/>
                      <w:sz w:val="21"/>
                      <w:szCs w:val="21"/>
                      <w:u w:val="none" w:color="auto"/>
                    </w:rPr>
                    <w:t>排放口</w:t>
                  </w:r>
                </w:p>
                <w:p w14:paraId="32A930C4">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eastAsia" w:cs="Times New Roman"/>
                      <w:b/>
                      <w:color w:val="auto"/>
                      <w:sz w:val="21"/>
                      <w:szCs w:val="21"/>
                      <w:u w:val="none" w:color="auto"/>
                    </w:rPr>
                  </w:pPr>
                  <w:r>
                    <w:rPr>
                      <w:rFonts w:hint="eastAsia" w:eastAsia="宋体" w:cs="Times New Roman"/>
                      <w:b/>
                      <w:color w:val="auto"/>
                      <w:sz w:val="21"/>
                      <w:szCs w:val="21"/>
                      <w:u w:val="none" w:color="auto"/>
                    </w:rPr>
                    <w:t>名称</w:t>
                  </w:r>
                </w:p>
              </w:tc>
              <w:tc>
                <w:tcPr>
                  <w:tcW w:w="331" w:type="pct"/>
                  <w:vMerge w:val="restart"/>
                  <w:tcBorders>
                    <w:tl2br w:val="nil"/>
                    <w:tr2bl w:val="nil"/>
                  </w:tcBorders>
                  <w:noWrap w:val="0"/>
                  <w:vAlign w:val="center"/>
                </w:tcPr>
                <w:p w14:paraId="39D48AA6">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eastAsia" w:cs="Times New Roman"/>
                      <w:b/>
                      <w:color w:val="auto"/>
                      <w:sz w:val="21"/>
                      <w:szCs w:val="21"/>
                      <w:u w:val="none" w:color="auto"/>
                    </w:rPr>
                  </w:pPr>
                  <w:r>
                    <w:rPr>
                      <w:rFonts w:hint="eastAsia" w:eastAsia="宋体" w:cs="Times New Roman"/>
                      <w:b/>
                      <w:color w:val="auto"/>
                      <w:sz w:val="21"/>
                      <w:szCs w:val="21"/>
                      <w:u w:val="none" w:color="auto"/>
                    </w:rPr>
                    <w:t>排放口编号/监测点位</w:t>
                  </w:r>
                </w:p>
              </w:tc>
              <w:tc>
                <w:tcPr>
                  <w:tcW w:w="243" w:type="pct"/>
                  <w:vMerge w:val="restart"/>
                  <w:tcBorders>
                    <w:tl2br w:val="nil"/>
                    <w:tr2bl w:val="nil"/>
                  </w:tcBorders>
                  <w:noWrap w:val="0"/>
                  <w:vAlign w:val="center"/>
                </w:tcPr>
                <w:p w14:paraId="076440FE">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eastAsia" w:cs="Times New Roman"/>
                      <w:b/>
                      <w:color w:val="auto"/>
                      <w:sz w:val="21"/>
                      <w:szCs w:val="21"/>
                      <w:u w:val="none" w:color="auto"/>
                    </w:rPr>
                  </w:pPr>
                  <w:r>
                    <w:rPr>
                      <w:rFonts w:hint="eastAsia" w:eastAsia="宋体" w:cs="Times New Roman"/>
                      <w:b/>
                      <w:color w:val="auto"/>
                      <w:sz w:val="21"/>
                      <w:szCs w:val="21"/>
                      <w:u w:val="none" w:color="auto"/>
                    </w:rPr>
                    <w:t>排放口类型</w:t>
                  </w:r>
                </w:p>
              </w:tc>
              <w:tc>
                <w:tcPr>
                  <w:tcW w:w="670" w:type="pct"/>
                  <w:vMerge w:val="restart"/>
                  <w:tcBorders>
                    <w:tl2br w:val="nil"/>
                    <w:tr2bl w:val="nil"/>
                  </w:tcBorders>
                  <w:noWrap w:val="0"/>
                  <w:vAlign w:val="center"/>
                </w:tcPr>
                <w:p w14:paraId="66C1DE8A">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eastAsia" w:cs="Times New Roman"/>
                      <w:b/>
                      <w:color w:val="auto"/>
                      <w:sz w:val="21"/>
                      <w:szCs w:val="21"/>
                      <w:u w:val="none" w:color="auto"/>
                    </w:rPr>
                  </w:pPr>
                  <w:r>
                    <w:rPr>
                      <w:rFonts w:hint="eastAsia" w:eastAsia="宋体" w:cs="Times New Roman"/>
                      <w:b/>
                      <w:color w:val="auto"/>
                      <w:sz w:val="21"/>
                      <w:szCs w:val="21"/>
                      <w:u w:val="none" w:color="auto"/>
                    </w:rPr>
                    <w:t>监测因子</w:t>
                  </w:r>
                </w:p>
              </w:tc>
              <w:tc>
                <w:tcPr>
                  <w:tcW w:w="1187" w:type="pct"/>
                  <w:vMerge w:val="restart"/>
                  <w:tcBorders>
                    <w:tl2br w:val="nil"/>
                    <w:tr2bl w:val="nil"/>
                  </w:tcBorders>
                  <w:noWrap w:val="0"/>
                  <w:vAlign w:val="center"/>
                </w:tcPr>
                <w:p w14:paraId="0A6CCA5A">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eastAsia" w:cs="Times New Roman"/>
                      <w:b/>
                      <w:color w:val="auto"/>
                      <w:sz w:val="21"/>
                      <w:szCs w:val="21"/>
                      <w:u w:val="none" w:color="auto"/>
                    </w:rPr>
                  </w:pPr>
                  <w:r>
                    <w:rPr>
                      <w:rFonts w:hint="eastAsia" w:eastAsia="宋体" w:cs="Times New Roman"/>
                      <w:b/>
                      <w:color w:val="auto"/>
                      <w:sz w:val="21"/>
                      <w:szCs w:val="21"/>
                      <w:u w:val="none" w:color="auto"/>
                    </w:rPr>
                    <w:t>排放标准</w:t>
                  </w:r>
                </w:p>
              </w:tc>
              <w:tc>
                <w:tcPr>
                  <w:tcW w:w="869" w:type="pct"/>
                  <w:gridSpan w:val="2"/>
                  <w:tcBorders>
                    <w:tl2br w:val="nil"/>
                    <w:tr2bl w:val="nil"/>
                  </w:tcBorders>
                  <w:noWrap w:val="0"/>
                  <w:vAlign w:val="center"/>
                </w:tcPr>
                <w:p w14:paraId="2CE88763">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eastAsia" w:cs="Times New Roman"/>
                      <w:b/>
                      <w:color w:val="auto"/>
                      <w:sz w:val="21"/>
                      <w:szCs w:val="21"/>
                      <w:u w:val="none" w:color="auto"/>
                    </w:rPr>
                  </w:pPr>
                  <w:r>
                    <w:rPr>
                      <w:rFonts w:hint="eastAsia" w:eastAsia="宋体" w:cs="Times New Roman"/>
                      <w:b/>
                      <w:color w:val="auto"/>
                      <w:sz w:val="21"/>
                      <w:szCs w:val="21"/>
                      <w:u w:val="none" w:color="auto"/>
                    </w:rPr>
                    <w:t>排放口地理坐标</w:t>
                  </w:r>
                </w:p>
              </w:tc>
              <w:tc>
                <w:tcPr>
                  <w:tcW w:w="376" w:type="pct"/>
                  <w:vMerge w:val="restart"/>
                  <w:tcBorders>
                    <w:tl2br w:val="nil"/>
                    <w:tr2bl w:val="nil"/>
                  </w:tcBorders>
                  <w:noWrap w:val="0"/>
                  <w:vAlign w:val="center"/>
                </w:tcPr>
                <w:p w14:paraId="628F338A">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eastAsia" w:cs="Times New Roman"/>
                      <w:b/>
                      <w:color w:val="auto"/>
                      <w:sz w:val="21"/>
                      <w:szCs w:val="21"/>
                      <w:u w:val="none" w:color="auto"/>
                    </w:rPr>
                  </w:pPr>
                  <w:r>
                    <w:rPr>
                      <w:rFonts w:hint="eastAsia" w:eastAsia="宋体" w:cs="Times New Roman"/>
                      <w:b/>
                      <w:color w:val="auto"/>
                      <w:sz w:val="21"/>
                      <w:szCs w:val="21"/>
                      <w:u w:val="none" w:color="auto"/>
                    </w:rPr>
                    <w:t>排气筒高度（m）</w:t>
                  </w:r>
                </w:p>
              </w:tc>
              <w:tc>
                <w:tcPr>
                  <w:tcW w:w="411" w:type="pct"/>
                  <w:vMerge w:val="restart"/>
                  <w:tcBorders>
                    <w:tl2br w:val="nil"/>
                    <w:tr2bl w:val="nil"/>
                  </w:tcBorders>
                  <w:noWrap w:val="0"/>
                  <w:vAlign w:val="center"/>
                </w:tcPr>
                <w:p w14:paraId="76B46533">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eastAsia" w:cs="Times New Roman"/>
                      <w:b/>
                      <w:color w:val="auto"/>
                      <w:sz w:val="21"/>
                      <w:szCs w:val="21"/>
                      <w:u w:val="none" w:color="auto"/>
                    </w:rPr>
                  </w:pPr>
                  <w:r>
                    <w:rPr>
                      <w:rFonts w:hint="eastAsia" w:eastAsia="宋体" w:cs="Times New Roman"/>
                      <w:b/>
                      <w:color w:val="auto"/>
                      <w:sz w:val="21"/>
                      <w:szCs w:val="21"/>
                      <w:u w:val="none" w:color="auto"/>
                    </w:rPr>
                    <w:t>排气筒出口内径（m）</w:t>
                  </w:r>
                </w:p>
              </w:tc>
              <w:tc>
                <w:tcPr>
                  <w:tcW w:w="466" w:type="pct"/>
                  <w:vMerge w:val="restart"/>
                  <w:tcBorders>
                    <w:tl2br w:val="nil"/>
                    <w:tr2bl w:val="nil"/>
                  </w:tcBorders>
                  <w:noWrap w:val="0"/>
                  <w:vAlign w:val="center"/>
                </w:tcPr>
                <w:p w14:paraId="53A4DF6B">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eastAsia" w:cs="Times New Roman"/>
                      <w:b/>
                      <w:color w:val="auto"/>
                      <w:sz w:val="21"/>
                      <w:szCs w:val="21"/>
                      <w:u w:val="none" w:color="auto"/>
                    </w:rPr>
                  </w:pPr>
                  <w:r>
                    <w:rPr>
                      <w:rFonts w:hint="eastAsia" w:eastAsia="宋体" w:cs="Times New Roman"/>
                      <w:b/>
                      <w:color w:val="auto"/>
                      <w:sz w:val="21"/>
                      <w:szCs w:val="21"/>
                      <w:u w:val="none" w:color="auto"/>
                    </w:rPr>
                    <w:t>排气温度（℃）</w:t>
                  </w:r>
                </w:p>
              </w:tc>
            </w:tr>
            <w:tr w14:paraId="6CDDDE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340" w:hRule="atLeast"/>
                <w:tblHeader/>
                <w:jc w:val="center"/>
              </w:trPr>
              <w:tc>
                <w:tcPr>
                  <w:tcW w:w="147" w:type="pct"/>
                  <w:vMerge w:val="continue"/>
                  <w:tcBorders>
                    <w:tl2br w:val="nil"/>
                    <w:tr2bl w:val="nil"/>
                  </w:tcBorders>
                  <w:noWrap w:val="0"/>
                  <w:vAlign w:val="center"/>
                </w:tcPr>
                <w:p w14:paraId="6FFDEBE1">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eastAsia" w:cs="Times New Roman"/>
                      <w:color w:val="auto"/>
                      <w:sz w:val="21"/>
                      <w:szCs w:val="21"/>
                      <w:u w:val="none" w:color="auto"/>
                    </w:rPr>
                  </w:pPr>
                </w:p>
              </w:tc>
              <w:tc>
                <w:tcPr>
                  <w:tcW w:w="294" w:type="pct"/>
                  <w:vMerge w:val="continue"/>
                  <w:tcBorders>
                    <w:tl2br w:val="nil"/>
                    <w:tr2bl w:val="nil"/>
                  </w:tcBorders>
                  <w:noWrap w:val="0"/>
                  <w:vAlign w:val="center"/>
                </w:tcPr>
                <w:p w14:paraId="4B0D6440">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eastAsia" w:cs="Times New Roman"/>
                      <w:color w:val="auto"/>
                      <w:sz w:val="21"/>
                      <w:szCs w:val="21"/>
                      <w:u w:val="none" w:color="auto"/>
                    </w:rPr>
                  </w:pPr>
                </w:p>
              </w:tc>
              <w:tc>
                <w:tcPr>
                  <w:tcW w:w="331" w:type="pct"/>
                  <w:vMerge w:val="continue"/>
                  <w:tcBorders>
                    <w:tl2br w:val="nil"/>
                    <w:tr2bl w:val="nil"/>
                  </w:tcBorders>
                  <w:noWrap w:val="0"/>
                  <w:vAlign w:val="center"/>
                </w:tcPr>
                <w:p w14:paraId="224449BB">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eastAsia" w:cs="Times New Roman"/>
                      <w:color w:val="auto"/>
                      <w:sz w:val="21"/>
                      <w:szCs w:val="21"/>
                      <w:u w:val="none" w:color="auto"/>
                    </w:rPr>
                  </w:pPr>
                </w:p>
              </w:tc>
              <w:tc>
                <w:tcPr>
                  <w:tcW w:w="243" w:type="pct"/>
                  <w:vMerge w:val="continue"/>
                  <w:tcBorders>
                    <w:tl2br w:val="nil"/>
                    <w:tr2bl w:val="nil"/>
                  </w:tcBorders>
                  <w:noWrap w:val="0"/>
                  <w:vAlign w:val="center"/>
                </w:tcPr>
                <w:p w14:paraId="64D5FC02">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eastAsia" w:cs="Times New Roman"/>
                      <w:color w:val="auto"/>
                      <w:sz w:val="21"/>
                      <w:szCs w:val="21"/>
                      <w:u w:val="none" w:color="auto"/>
                    </w:rPr>
                  </w:pPr>
                </w:p>
              </w:tc>
              <w:tc>
                <w:tcPr>
                  <w:tcW w:w="670" w:type="pct"/>
                  <w:vMerge w:val="continue"/>
                  <w:tcBorders>
                    <w:tl2br w:val="nil"/>
                    <w:tr2bl w:val="nil"/>
                  </w:tcBorders>
                  <w:noWrap w:val="0"/>
                  <w:vAlign w:val="center"/>
                </w:tcPr>
                <w:p w14:paraId="0F9A676A">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eastAsia" w:cs="Times New Roman"/>
                      <w:color w:val="auto"/>
                      <w:sz w:val="21"/>
                      <w:szCs w:val="21"/>
                      <w:u w:val="none" w:color="auto"/>
                    </w:rPr>
                  </w:pPr>
                </w:p>
              </w:tc>
              <w:tc>
                <w:tcPr>
                  <w:tcW w:w="1187" w:type="pct"/>
                  <w:vMerge w:val="continue"/>
                  <w:tcBorders>
                    <w:tl2br w:val="nil"/>
                    <w:tr2bl w:val="nil"/>
                  </w:tcBorders>
                  <w:noWrap w:val="0"/>
                  <w:vAlign w:val="center"/>
                </w:tcPr>
                <w:p w14:paraId="68467D66">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eastAsia" w:cs="Times New Roman"/>
                      <w:color w:val="auto"/>
                      <w:sz w:val="21"/>
                      <w:szCs w:val="21"/>
                      <w:u w:val="none" w:color="auto"/>
                    </w:rPr>
                  </w:pPr>
                </w:p>
              </w:tc>
              <w:tc>
                <w:tcPr>
                  <w:tcW w:w="480" w:type="pct"/>
                  <w:tcBorders>
                    <w:tl2br w:val="nil"/>
                    <w:tr2bl w:val="nil"/>
                  </w:tcBorders>
                  <w:noWrap w:val="0"/>
                  <w:vAlign w:val="center"/>
                </w:tcPr>
                <w:p w14:paraId="7C1A0D8E">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eastAsia" w:cs="Times New Roman"/>
                      <w:b/>
                      <w:color w:val="auto"/>
                      <w:sz w:val="21"/>
                      <w:szCs w:val="21"/>
                      <w:u w:val="none" w:color="auto"/>
                    </w:rPr>
                  </w:pPr>
                  <w:r>
                    <w:rPr>
                      <w:rFonts w:hint="eastAsia" w:eastAsia="宋体" w:cs="Times New Roman"/>
                      <w:b/>
                      <w:color w:val="auto"/>
                      <w:sz w:val="21"/>
                      <w:szCs w:val="21"/>
                      <w:u w:val="none" w:color="auto"/>
                    </w:rPr>
                    <w:t>经度</w:t>
                  </w:r>
                </w:p>
              </w:tc>
              <w:tc>
                <w:tcPr>
                  <w:tcW w:w="388" w:type="pct"/>
                  <w:tcBorders>
                    <w:tl2br w:val="nil"/>
                    <w:tr2bl w:val="nil"/>
                  </w:tcBorders>
                  <w:noWrap w:val="0"/>
                  <w:vAlign w:val="center"/>
                </w:tcPr>
                <w:p w14:paraId="02D6E7EE">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eastAsia" w:cs="Times New Roman"/>
                      <w:b/>
                      <w:color w:val="auto"/>
                      <w:sz w:val="21"/>
                      <w:szCs w:val="21"/>
                      <w:u w:val="none" w:color="auto"/>
                    </w:rPr>
                  </w:pPr>
                  <w:r>
                    <w:rPr>
                      <w:rFonts w:hint="eastAsia" w:eastAsia="宋体" w:cs="Times New Roman"/>
                      <w:b/>
                      <w:color w:val="auto"/>
                      <w:sz w:val="21"/>
                      <w:szCs w:val="21"/>
                      <w:u w:val="none" w:color="auto"/>
                    </w:rPr>
                    <w:t>纬度</w:t>
                  </w:r>
                </w:p>
              </w:tc>
              <w:tc>
                <w:tcPr>
                  <w:tcW w:w="376" w:type="pct"/>
                  <w:vMerge w:val="continue"/>
                  <w:tcBorders>
                    <w:tl2br w:val="nil"/>
                    <w:tr2bl w:val="nil"/>
                  </w:tcBorders>
                  <w:noWrap w:val="0"/>
                  <w:vAlign w:val="center"/>
                </w:tcPr>
                <w:p w14:paraId="176321F3">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eastAsia" w:cs="Times New Roman"/>
                      <w:color w:val="auto"/>
                      <w:sz w:val="21"/>
                      <w:szCs w:val="21"/>
                      <w:u w:val="none" w:color="auto"/>
                    </w:rPr>
                  </w:pPr>
                </w:p>
              </w:tc>
              <w:tc>
                <w:tcPr>
                  <w:tcW w:w="411" w:type="pct"/>
                  <w:vMerge w:val="continue"/>
                  <w:tcBorders>
                    <w:tl2br w:val="nil"/>
                    <w:tr2bl w:val="nil"/>
                  </w:tcBorders>
                  <w:noWrap w:val="0"/>
                  <w:vAlign w:val="center"/>
                </w:tcPr>
                <w:p w14:paraId="065C8B4E">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eastAsia" w:cs="Times New Roman"/>
                      <w:color w:val="auto"/>
                      <w:sz w:val="21"/>
                      <w:szCs w:val="21"/>
                      <w:u w:val="none" w:color="auto"/>
                    </w:rPr>
                  </w:pPr>
                </w:p>
              </w:tc>
              <w:tc>
                <w:tcPr>
                  <w:tcW w:w="466" w:type="pct"/>
                  <w:vMerge w:val="continue"/>
                  <w:tcBorders>
                    <w:tl2br w:val="nil"/>
                    <w:tr2bl w:val="nil"/>
                  </w:tcBorders>
                  <w:noWrap w:val="0"/>
                  <w:vAlign w:val="center"/>
                </w:tcPr>
                <w:p w14:paraId="0EAFBA58">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eastAsia" w:cs="Times New Roman"/>
                      <w:color w:val="auto"/>
                      <w:sz w:val="21"/>
                      <w:szCs w:val="21"/>
                      <w:u w:val="none" w:color="auto"/>
                    </w:rPr>
                  </w:pPr>
                </w:p>
              </w:tc>
            </w:tr>
            <w:tr w14:paraId="4A9D1F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146" w:hRule="atLeast"/>
                <w:tblHeader/>
                <w:jc w:val="center"/>
              </w:trPr>
              <w:tc>
                <w:tcPr>
                  <w:tcW w:w="147" w:type="pct"/>
                  <w:tcBorders>
                    <w:tl2br w:val="nil"/>
                    <w:tr2bl w:val="nil"/>
                  </w:tcBorders>
                  <w:noWrap w:val="0"/>
                  <w:vAlign w:val="center"/>
                </w:tcPr>
                <w:p w14:paraId="6AA54961">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eastAsia" w:cs="Times New Roman"/>
                      <w:color w:val="auto"/>
                      <w:sz w:val="21"/>
                      <w:szCs w:val="21"/>
                      <w:u w:val="none" w:color="auto"/>
                    </w:rPr>
                  </w:pPr>
                  <w:r>
                    <w:rPr>
                      <w:rFonts w:hint="eastAsia" w:cs="Times New Roman"/>
                      <w:color w:val="auto"/>
                      <w:sz w:val="21"/>
                      <w:szCs w:val="21"/>
                      <w:u w:val="none" w:color="auto"/>
                    </w:rPr>
                    <w:t>1</w:t>
                  </w:r>
                </w:p>
              </w:tc>
              <w:tc>
                <w:tcPr>
                  <w:tcW w:w="294" w:type="pct"/>
                  <w:vMerge w:val="restart"/>
                  <w:tcBorders>
                    <w:tl2br w:val="nil"/>
                    <w:tr2bl w:val="nil"/>
                  </w:tcBorders>
                  <w:noWrap w:val="0"/>
                  <w:vAlign w:val="center"/>
                </w:tcPr>
                <w:p w14:paraId="70D68688">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eastAsia" w:cs="Times New Roman"/>
                      <w:color w:val="auto"/>
                      <w:sz w:val="21"/>
                      <w:szCs w:val="21"/>
                      <w:u w:val="none" w:color="auto"/>
                    </w:rPr>
                  </w:pPr>
                  <w:r>
                    <w:rPr>
                      <w:rFonts w:hint="eastAsia" w:eastAsia="宋体" w:cs="Times New Roman"/>
                      <w:color w:val="auto"/>
                      <w:sz w:val="21"/>
                      <w:szCs w:val="21"/>
                      <w:u w:val="none" w:color="auto"/>
                    </w:rPr>
                    <w:t>废气排气筒</w:t>
                  </w:r>
                </w:p>
              </w:tc>
              <w:tc>
                <w:tcPr>
                  <w:tcW w:w="331" w:type="pct"/>
                  <w:tcBorders>
                    <w:tl2br w:val="nil"/>
                    <w:tr2bl w:val="nil"/>
                  </w:tcBorders>
                  <w:noWrap w:val="0"/>
                  <w:vAlign w:val="center"/>
                </w:tcPr>
                <w:p w14:paraId="01BC8682">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eastAsia" w:eastAsia="宋体" w:cs="Times New Roman"/>
                      <w:color w:val="auto"/>
                      <w:sz w:val="21"/>
                      <w:szCs w:val="21"/>
                      <w:u w:val="none" w:color="auto"/>
                      <w:lang w:eastAsia="zh-CN"/>
                    </w:rPr>
                  </w:pPr>
                  <w:r>
                    <w:rPr>
                      <w:rFonts w:hint="eastAsia" w:cs="Times New Roman"/>
                      <w:color w:val="auto"/>
                      <w:sz w:val="21"/>
                      <w:szCs w:val="21"/>
                      <w:u w:val="none" w:color="auto"/>
                    </w:rPr>
                    <w:t>DA00</w:t>
                  </w:r>
                  <w:r>
                    <w:rPr>
                      <w:rFonts w:hint="eastAsia" w:cs="Times New Roman"/>
                      <w:color w:val="auto"/>
                      <w:sz w:val="21"/>
                      <w:szCs w:val="21"/>
                      <w:u w:val="none" w:color="auto"/>
                      <w:lang w:val="en-US" w:eastAsia="zh-CN"/>
                    </w:rPr>
                    <w:t>1</w:t>
                  </w:r>
                </w:p>
              </w:tc>
              <w:tc>
                <w:tcPr>
                  <w:tcW w:w="243" w:type="pct"/>
                  <w:tcBorders>
                    <w:tl2br w:val="nil"/>
                    <w:tr2bl w:val="nil"/>
                  </w:tcBorders>
                  <w:noWrap w:val="0"/>
                  <w:vAlign w:val="center"/>
                </w:tcPr>
                <w:p w14:paraId="059A3A98">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eastAsia" w:cs="Times New Roman"/>
                      <w:color w:val="auto"/>
                      <w:sz w:val="21"/>
                      <w:szCs w:val="21"/>
                      <w:u w:val="none" w:color="auto"/>
                    </w:rPr>
                  </w:pPr>
                  <w:r>
                    <w:rPr>
                      <w:rFonts w:hint="eastAsia" w:eastAsia="宋体" w:cs="Times New Roman"/>
                      <w:color w:val="auto"/>
                      <w:sz w:val="21"/>
                      <w:szCs w:val="21"/>
                      <w:u w:val="none" w:color="auto"/>
                      <w:lang w:eastAsia="zh-CN"/>
                    </w:rPr>
                    <w:t>一般</w:t>
                  </w:r>
                  <w:r>
                    <w:rPr>
                      <w:rFonts w:hint="eastAsia" w:eastAsia="宋体" w:cs="Times New Roman"/>
                      <w:color w:val="auto"/>
                      <w:sz w:val="21"/>
                      <w:szCs w:val="21"/>
                      <w:u w:val="none" w:color="auto"/>
                    </w:rPr>
                    <w:t>排放口</w:t>
                  </w:r>
                </w:p>
              </w:tc>
              <w:tc>
                <w:tcPr>
                  <w:tcW w:w="670" w:type="pct"/>
                  <w:tcBorders>
                    <w:tl2br w:val="nil"/>
                    <w:tr2bl w:val="nil"/>
                  </w:tcBorders>
                  <w:noWrap w:val="0"/>
                  <w:vAlign w:val="center"/>
                </w:tcPr>
                <w:p w14:paraId="7C46D7A2">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eastAsia" w:eastAsia="宋体" w:cs="Times New Roman"/>
                      <w:color w:val="auto"/>
                      <w:sz w:val="21"/>
                      <w:szCs w:val="21"/>
                      <w:u w:val="none" w:color="auto"/>
                    </w:rPr>
                  </w:pPr>
                  <w:r>
                    <w:rPr>
                      <w:rFonts w:hint="eastAsia" w:eastAsia="宋体" w:cs="Times New Roman"/>
                      <w:color w:val="auto"/>
                      <w:sz w:val="21"/>
                      <w:szCs w:val="21"/>
                      <w:u w:val="none" w:color="auto"/>
                    </w:rPr>
                    <w:t>二氧化硫、颗粒物</w:t>
                  </w:r>
                  <w:r>
                    <w:rPr>
                      <w:rFonts w:hint="eastAsia" w:eastAsia="宋体" w:cs="Times New Roman"/>
                      <w:color w:val="auto"/>
                      <w:sz w:val="21"/>
                      <w:szCs w:val="21"/>
                      <w:u w:val="none" w:color="auto"/>
                      <w:lang w:eastAsia="zh-CN"/>
                    </w:rPr>
                    <w:t>、林格曼黑度</w:t>
                  </w:r>
                  <w:r>
                    <w:rPr>
                      <w:rFonts w:hint="eastAsia" w:cs="Times New Roman"/>
                      <w:color w:val="auto"/>
                      <w:sz w:val="21"/>
                      <w:szCs w:val="21"/>
                      <w:u w:val="none" w:color="auto"/>
                      <w:lang w:eastAsia="zh-CN"/>
                    </w:rPr>
                    <w:t>、</w:t>
                  </w:r>
                </w:p>
                <w:p w14:paraId="4A64D49B">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eastAsia" w:eastAsia="宋体" w:cs="Times New Roman"/>
                      <w:color w:val="auto"/>
                      <w:sz w:val="21"/>
                      <w:szCs w:val="21"/>
                      <w:u w:val="none" w:color="auto"/>
                    </w:rPr>
                  </w:pPr>
                  <w:r>
                    <w:rPr>
                      <w:rFonts w:hint="eastAsia" w:eastAsia="宋体" w:cs="Times New Roman"/>
                      <w:color w:val="auto"/>
                      <w:sz w:val="21"/>
                      <w:szCs w:val="21"/>
                      <w:u w:val="none" w:color="auto"/>
                    </w:rPr>
                    <w:t>氮氧化物</w:t>
                  </w:r>
                </w:p>
              </w:tc>
              <w:tc>
                <w:tcPr>
                  <w:tcW w:w="1187" w:type="pct"/>
                  <w:tcBorders>
                    <w:tl2br w:val="nil"/>
                    <w:tr2bl w:val="nil"/>
                  </w:tcBorders>
                  <w:noWrap w:val="0"/>
                  <w:vAlign w:val="center"/>
                </w:tcPr>
                <w:p w14:paraId="6F9DAFD4">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eastAsia" w:cs="Times New Roman"/>
                      <w:color w:val="auto"/>
                      <w:sz w:val="21"/>
                      <w:szCs w:val="21"/>
                      <w:u w:val="none" w:color="auto"/>
                    </w:rPr>
                  </w:pPr>
                  <w:r>
                    <w:rPr>
                      <w:rFonts w:hint="eastAsia" w:eastAsia="宋体" w:cs="Times New Roman"/>
                      <w:color w:val="auto"/>
                      <w:sz w:val="21"/>
                      <w:szCs w:val="21"/>
                      <w:u w:val="none" w:color="auto"/>
                      <w:lang w:val="en-US" w:eastAsia="zh-CN"/>
                    </w:rPr>
                    <w:t>《锅炉大气污染物排放标准》（GB13271-2014）</w:t>
                  </w:r>
                  <w:r>
                    <w:rPr>
                      <w:rFonts w:hint="eastAsia" w:cs="Times New Roman"/>
                      <w:color w:val="auto"/>
                      <w:sz w:val="21"/>
                      <w:szCs w:val="21"/>
                      <w:u w:val="none" w:color="auto"/>
                      <w:lang w:val="en-US" w:eastAsia="zh-CN"/>
                    </w:rPr>
                    <w:t>表3</w:t>
                  </w:r>
                  <w:r>
                    <w:rPr>
                      <w:rFonts w:hint="eastAsia" w:eastAsia="宋体" w:cs="Times New Roman"/>
                      <w:color w:val="auto"/>
                      <w:sz w:val="21"/>
                      <w:szCs w:val="21"/>
                      <w:u w:val="none" w:color="auto"/>
                      <w:lang w:val="en-US" w:eastAsia="zh-CN"/>
                    </w:rPr>
                    <w:t>燃煤锅炉特别排放限值</w:t>
                  </w:r>
                </w:p>
              </w:tc>
              <w:tc>
                <w:tcPr>
                  <w:tcW w:w="480" w:type="pct"/>
                  <w:tcBorders>
                    <w:tl2br w:val="nil"/>
                    <w:tr2bl w:val="nil"/>
                  </w:tcBorders>
                  <w:noWrap w:val="0"/>
                  <w:vAlign w:val="center"/>
                </w:tcPr>
                <w:p w14:paraId="5BFFD11B">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113.308590</w:t>
                  </w:r>
                </w:p>
              </w:tc>
              <w:tc>
                <w:tcPr>
                  <w:tcW w:w="388" w:type="pct"/>
                  <w:tcBorders>
                    <w:tl2br w:val="nil"/>
                    <w:tr2bl w:val="nil"/>
                  </w:tcBorders>
                  <w:noWrap w:val="0"/>
                  <w:vAlign w:val="center"/>
                </w:tcPr>
                <w:p w14:paraId="3B88DC4D">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28.919906</w:t>
                  </w:r>
                </w:p>
              </w:tc>
              <w:tc>
                <w:tcPr>
                  <w:tcW w:w="376" w:type="pct"/>
                  <w:tcBorders>
                    <w:tl2br w:val="nil"/>
                    <w:tr2bl w:val="nil"/>
                  </w:tcBorders>
                  <w:noWrap w:val="0"/>
                  <w:vAlign w:val="center"/>
                </w:tcPr>
                <w:p w14:paraId="55D39870">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30</w:t>
                  </w:r>
                </w:p>
              </w:tc>
              <w:tc>
                <w:tcPr>
                  <w:tcW w:w="411" w:type="pct"/>
                  <w:tcBorders>
                    <w:tl2br w:val="nil"/>
                    <w:tr2bl w:val="nil"/>
                  </w:tcBorders>
                  <w:noWrap w:val="0"/>
                  <w:vAlign w:val="center"/>
                </w:tcPr>
                <w:p w14:paraId="5D02D53F">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0.16</w:t>
                  </w:r>
                </w:p>
              </w:tc>
              <w:tc>
                <w:tcPr>
                  <w:tcW w:w="466" w:type="pct"/>
                  <w:tcBorders>
                    <w:tl2br w:val="nil"/>
                    <w:tr2bl w:val="nil"/>
                  </w:tcBorders>
                  <w:noWrap w:val="0"/>
                  <w:vAlign w:val="center"/>
                </w:tcPr>
                <w:p w14:paraId="17E41665">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eastAsia" w:cs="Times New Roman"/>
                      <w:color w:val="auto"/>
                      <w:sz w:val="21"/>
                      <w:szCs w:val="21"/>
                      <w:u w:val="none" w:color="auto"/>
                    </w:rPr>
                  </w:pPr>
                  <w:r>
                    <w:rPr>
                      <w:rFonts w:hint="eastAsia" w:eastAsia="宋体" w:cs="Times New Roman"/>
                      <w:color w:val="auto"/>
                      <w:sz w:val="21"/>
                      <w:szCs w:val="21"/>
                      <w:u w:val="none" w:color="auto"/>
                    </w:rPr>
                    <w:t>9</w:t>
                  </w:r>
                  <w:r>
                    <w:rPr>
                      <w:rFonts w:hint="eastAsia" w:cs="Times New Roman"/>
                      <w:color w:val="auto"/>
                      <w:sz w:val="21"/>
                      <w:szCs w:val="21"/>
                      <w:u w:val="none" w:color="auto"/>
                    </w:rPr>
                    <w:t>0</w:t>
                  </w:r>
                </w:p>
              </w:tc>
            </w:tr>
            <w:tr w14:paraId="43D446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156" w:hRule="atLeast"/>
                <w:tblHeader/>
                <w:jc w:val="center"/>
              </w:trPr>
              <w:tc>
                <w:tcPr>
                  <w:tcW w:w="147" w:type="pct"/>
                  <w:tcBorders>
                    <w:tl2br w:val="nil"/>
                    <w:tr2bl w:val="nil"/>
                  </w:tcBorders>
                  <w:noWrap w:val="0"/>
                  <w:vAlign w:val="center"/>
                </w:tcPr>
                <w:p w14:paraId="312284FF">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eastAsia"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2</w:t>
                  </w:r>
                </w:p>
              </w:tc>
              <w:tc>
                <w:tcPr>
                  <w:tcW w:w="294" w:type="pct"/>
                  <w:vMerge w:val="continue"/>
                  <w:tcBorders>
                    <w:tl2br w:val="nil"/>
                    <w:tr2bl w:val="nil"/>
                  </w:tcBorders>
                  <w:noWrap w:val="0"/>
                  <w:vAlign w:val="center"/>
                </w:tcPr>
                <w:p w14:paraId="44A3ECC1">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eastAsia" w:eastAsia="宋体" w:cs="Times New Roman"/>
                      <w:color w:val="auto"/>
                      <w:sz w:val="21"/>
                      <w:szCs w:val="21"/>
                      <w:u w:val="none" w:color="auto"/>
                    </w:rPr>
                  </w:pPr>
                </w:p>
              </w:tc>
              <w:tc>
                <w:tcPr>
                  <w:tcW w:w="331" w:type="pct"/>
                  <w:tcBorders>
                    <w:tl2br w:val="nil"/>
                    <w:tr2bl w:val="nil"/>
                  </w:tcBorders>
                  <w:noWrap w:val="0"/>
                  <w:vAlign w:val="center"/>
                </w:tcPr>
                <w:p w14:paraId="2D8A1C96">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DA002</w:t>
                  </w:r>
                </w:p>
              </w:tc>
              <w:tc>
                <w:tcPr>
                  <w:tcW w:w="243" w:type="pct"/>
                  <w:tcBorders>
                    <w:tl2br w:val="nil"/>
                    <w:tr2bl w:val="nil"/>
                  </w:tcBorders>
                  <w:noWrap w:val="0"/>
                  <w:vAlign w:val="center"/>
                </w:tcPr>
                <w:p w14:paraId="413CD36B">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eastAsia" w:eastAsia="宋体" w:cs="Times New Roman"/>
                      <w:color w:val="auto"/>
                      <w:sz w:val="21"/>
                      <w:szCs w:val="21"/>
                      <w:u w:val="none" w:color="auto"/>
                    </w:rPr>
                  </w:pPr>
                  <w:r>
                    <w:rPr>
                      <w:rFonts w:hint="eastAsia" w:eastAsia="宋体" w:cs="Times New Roman"/>
                      <w:color w:val="auto"/>
                      <w:sz w:val="21"/>
                      <w:szCs w:val="21"/>
                      <w:u w:val="none" w:color="auto"/>
                      <w:lang w:eastAsia="zh-CN"/>
                    </w:rPr>
                    <w:t>一般</w:t>
                  </w:r>
                  <w:r>
                    <w:rPr>
                      <w:rFonts w:hint="eastAsia" w:eastAsia="宋体" w:cs="Times New Roman"/>
                      <w:color w:val="auto"/>
                      <w:sz w:val="21"/>
                      <w:szCs w:val="21"/>
                      <w:u w:val="none" w:color="auto"/>
                    </w:rPr>
                    <w:t>排放口</w:t>
                  </w:r>
                </w:p>
              </w:tc>
              <w:tc>
                <w:tcPr>
                  <w:tcW w:w="670" w:type="pct"/>
                  <w:tcBorders>
                    <w:tl2br w:val="nil"/>
                    <w:tr2bl w:val="nil"/>
                  </w:tcBorders>
                  <w:shd w:val="clear" w:color="auto" w:fill="auto"/>
                  <w:noWrap w:val="0"/>
                  <w:vAlign w:val="center"/>
                </w:tcPr>
                <w:p w14:paraId="719DABE0">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rPr>
                      <w:rFonts w:hint="eastAsia" w:eastAsia="宋体" w:cs="Times New Roman"/>
                      <w:color w:val="auto"/>
                      <w:sz w:val="21"/>
                      <w:szCs w:val="21"/>
                      <w:u w:val="none" w:color="auto"/>
                    </w:rPr>
                  </w:pPr>
                  <w:r>
                    <w:rPr>
                      <w:rFonts w:hint="eastAsia" w:eastAsia="宋体" w:cs="Times New Roman"/>
                      <w:color w:val="auto"/>
                      <w:sz w:val="21"/>
                      <w:szCs w:val="21"/>
                      <w:u w:val="none" w:color="auto"/>
                    </w:rPr>
                    <w:t>二氧化硫、颗粒物</w:t>
                  </w:r>
                  <w:r>
                    <w:rPr>
                      <w:rFonts w:hint="eastAsia" w:eastAsia="宋体" w:cs="Times New Roman"/>
                      <w:color w:val="auto"/>
                      <w:sz w:val="21"/>
                      <w:szCs w:val="21"/>
                      <w:u w:val="none" w:color="auto"/>
                      <w:lang w:eastAsia="zh-CN"/>
                    </w:rPr>
                    <w:t>、林格曼黑度</w:t>
                  </w:r>
                  <w:r>
                    <w:rPr>
                      <w:rFonts w:hint="eastAsia" w:cs="Times New Roman"/>
                      <w:color w:val="auto"/>
                      <w:sz w:val="21"/>
                      <w:szCs w:val="21"/>
                      <w:u w:val="none" w:color="auto"/>
                      <w:lang w:eastAsia="zh-CN"/>
                    </w:rPr>
                    <w:t>、</w:t>
                  </w:r>
                </w:p>
                <w:p w14:paraId="2AD10336">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rPr>
                      <w:rFonts w:hint="eastAsia" w:ascii="Times New Roman" w:hAnsi="Times New Roman" w:eastAsia="宋体" w:cs="Times New Roman"/>
                      <w:color w:val="auto"/>
                      <w:kern w:val="2"/>
                      <w:sz w:val="21"/>
                      <w:szCs w:val="21"/>
                      <w:u w:val="none" w:color="auto"/>
                      <w:lang w:val="en-US" w:eastAsia="zh-CN" w:bidi="ar-SA"/>
                    </w:rPr>
                  </w:pPr>
                  <w:r>
                    <w:rPr>
                      <w:rFonts w:hint="eastAsia" w:eastAsia="宋体" w:cs="Times New Roman"/>
                      <w:color w:val="auto"/>
                      <w:sz w:val="21"/>
                      <w:szCs w:val="21"/>
                      <w:u w:val="none" w:color="auto"/>
                    </w:rPr>
                    <w:t>氮氧化物</w:t>
                  </w:r>
                </w:p>
              </w:tc>
              <w:tc>
                <w:tcPr>
                  <w:tcW w:w="1187" w:type="pct"/>
                  <w:tcBorders>
                    <w:tl2br w:val="nil"/>
                    <w:tr2bl w:val="nil"/>
                  </w:tcBorders>
                  <w:noWrap w:val="0"/>
                  <w:vAlign w:val="center"/>
                </w:tcPr>
                <w:p w14:paraId="7292200B">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eastAsia" w:eastAsia="宋体" w:cs="Times New Roman"/>
                      <w:color w:val="auto"/>
                      <w:sz w:val="21"/>
                      <w:szCs w:val="21"/>
                      <w:u w:val="none" w:color="auto"/>
                      <w:lang w:eastAsia="zh-CN"/>
                    </w:rPr>
                  </w:pPr>
                  <w:r>
                    <w:rPr>
                      <w:rFonts w:hint="eastAsia" w:eastAsia="宋体" w:cs="Times New Roman"/>
                      <w:color w:val="auto"/>
                      <w:sz w:val="21"/>
                      <w:szCs w:val="21"/>
                      <w:u w:val="none" w:color="auto"/>
                      <w:lang w:val="en-US" w:eastAsia="zh-CN"/>
                    </w:rPr>
                    <w:t>《锅炉大气污染物排放标准》（GB13271-2014）</w:t>
                  </w:r>
                  <w:r>
                    <w:rPr>
                      <w:rFonts w:hint="eastAsia" w:cs="Times New Roman"/>
                      <w:color w:val="auto"/>
                      <w:sz w:val="21"/>
                      <w:szCs w:val="21"/>
                      <w:u w:val="none" w:color="auto"/>
                      <w:lang w:val="en-US" w:eastAsia="zh-CN"/>
                    </w:rPr>
                    <w:t>表3</w:t>
                  </w:r>
                  <w:r>
                    <w:rPr>
                      <w:rFonts w:hint="eastAsia" w:eastAsia="宋体" w:cs="Times New Roman"/>
                      <w:color w:val="auto"/>
                      <w:sz w:val="21"/>
                      <w:szCs w:val="21"/>
                      <w:u w:val="none" w:color="auto"/>
                      <w:lang w:val="en-US" w:eastAsia="zh-CN"/>
                    </w:rPr>
                    <w:t>燃煤锅炉特别排放限值</w:t>
                  </w:r>
                </w:p>
              </w:tc>
              <w:tc>
                <w:tcPr>
                  <w:tcW w:w="480" w:type="pct"/>
                  <w:tcBorders>
                    <w:tl2br w:val="nil"/>
                    <w:tr2bl w:val="nil"/>
                  </w:tcBorders>
                  <w:noWrap w:val="0"/>
                  <w:vAlign w:val="center"/>
                </w:tcPr>
                <w:p w14:paraId="2036FC72">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113.308499</w:t>
                  </w:r>
                </w:p>
              </w:tc>
              <w:tc>
                <w:tcPr>
                  <w:tcW w:w="388" w:type="pct"/>
                  <w:tcBorders>
                    <w:tl2br w:val="nil"/>
                    <w:tr2bl w:val="nil"/>
                  </w:tcBorders>
                  <w:noWrap w:val="0"/>
                  <w:vAlign w:val="center"/>
                </w:tcPr>
                <w:p w14:paraId="44FB11EB">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28.918963</w:t>
                  </w:r>
                </w:p>
              </w:tc>
              <w:tc>
                <w:tcPr>
                  <w:tcW w:w="376" w:type="pct"/>
                  <w:tcBorders>
                    <w:tl2br w:val="nil"/>
                    <w:tr2bl w:val="nil"/>
                  </w:tcBorders>
                  <w:noWrap w:val="0"/>
                  <w:vAlign w:val="center"/>
                </w:tcPr>
                <w:p w14:paraId="2F5A176C">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30</w:t>
                  </w:r>
                </w:p>
              </w:tc>
              <w:tc>
                <w:tcPr>
                  <w:tcW w:w="411" w:type="pct"/>
                  <w:tcBorders>
                    <w:tl2br w:val="nil"/>
                    <w:tr2bl w:val="nil"/>
                  </w:tcBorders>
                  <w:noWrap w:val="0"/>
                  <w:vAlign w:val="center"/>
                </w:tcPr>
                <w:p w14:paraId="3DADC77D">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0.2</w:t>
                  </w:r>
                </w:p>
              </w:tc>
              <w:tc>
                <w:tcPr>
                  <w:tcW w:w="466" w:type="pct"/>
                  <w:tcBorders>
                    <w:tl2br w:val="nil"/>
                    <w:tr2bl w:val="nil"/>
                  </w:tcBorders>
                  <w:noWrap w:val="0"/>
                  <w:vAlign w:val="center"/>
                </w:tcPr>
                <w:p w14:paraId="00708278">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90</w:t>
                  </w:r>
                </w:p>
              </w:tc>
            </w:tr>
            <w:tr w14:paraId="5597579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1083" w:hRule="atLeast"/>
                <w:tblHeader/>
                <w:jc w:val="center"/>
              </w:trPr>
              <w:tc>
                <w:tcPr>
                  <w:tcW w:w="147" w:type="pct"/>
                  <w:tcBorders>
                    <w:tl2br w:val="nil"/>
                    <w:tr2bl w:val="nil"/>
                  </w:tcBorders>
                  <w:noWrap w:val="0"/>
                  <w:vAlign w:val="center"/>
                </w:tcPr>
                <w:p w14:paraId="3C0BB3C8">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eastAsia"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3</w:t>
                  </w:r>
                </w:p>
              </w:tc>
              <w:tc>
                <w:tcPr>
                  <w:tcW w:w="294" w:type="pct"/>
                  <w:vMerge w:val="continue"/>
                  <w:tcBorders>
                    <w:tl2br w:val="nil"/>
                    <w:tr2bl w:val="nil"/>
                  </w:tcBorders>
                  <w:noWrap w:val="0"/>
                  <w:vAlign w:val="center"/>
                </w:tcPr>
                <w:p w14:paraId="41351FC2">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eastAsia" w:eastAsia="宋体" w:cs="Times New Roman"/>
                      <w:color w:val="auto"/>
                      <w:sz w:val="21"/>
                      <w:szCs w:val="21"/>
                      <w:u w:val="none" w:color="auto"/>
                    </w:rPr>
                  </w:pPr>
                </w:p>
              </w:tc>
              <w:tc>
                <w:tcPr>
                  <w:tcW w:w="331" w:type="pct"/>
                  <w:tcBorders>
                    <w:tl2br w:val="nil"/>
                    <w:tr2bl w:val="nil"/>
                  </w:tcBorders>
                  <w:noWrap w:val="0"/>
                  <w:vAlign w:val="center"/>
                </w:tcPr>
                <w:p w14:paraId="797C0D8A">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DA003</w:t>
                  </w:r>
                </w:p>
              </w:tc>
              <w:tc>
                <w:tcPr>
                  <w:tcW w:w="243" w:type="pct"/>
                  <w:tcBorders>
                    <w:tl2br w:val="nil"/>
                    <w:tr2bl w:val="nil"/>
                  </w:tcBorders>
                  <w:noWrap w:val="0"/>
                  <w:vAlign w:val="center"/>
                </w:tcPr>
                <w:p w14:paraId="1E585FF4">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eastAsia" w:eastAsia="宋体" w:cs="Times New Roman"/>
                      <w:color w:val="auto"/>
                      <w:sz w:val="21"/>
                      <w:szCs w:val="21"/>
                      <w:u w:val="none" w:color="auto"/>
                    </w:rPr>
                  </w:pPr>
                  <w:r>
                    <w:rPr>
                      <w:rFonts w:hint="eastAsia" w:eastAsia="宋体" w:cs="Times New Roman"/>
                      <w:color w:val="auto"/>
                      <w:sz w:val="21"/>
                      <w:szCs w:val="21"/>
                      <w:u w:val="none" w:color="auto"/>
                      <w:lang w:eastAsia="zh-CN"/>
                    </w:rPr>
                    <w:t>一般</w:t>
                  </w:r>
                  <w:r>
                    <w:rPr>
                      <w:rFonts w:hint="eastAsia" w:eastAsia="宋体" w:cs="Times New Roman"/>
                      <w:color w:val="auto"/>
                      <w:sz w:val="21"/>
                      <w:szCs w:val="21"/>
                      <w:u w:val="none" w:color="auto"/>
                    </w:rPr>
                    <w:t>排放口</w:t>
                  </w:r>
                </w:p>
              </w:tc>
              <w:tc>
                <w:tcPr>
                  <w:tcW w:w="670" w:type="pct"/>
                  <w:tcBorders>
                    <w:tl2br w:val="nil"/>
                    <w:tr2bl w:val="nil"/>
                  </w:tcBorders>
                  <w:shd w:val="clear" w:color="auto" w:fill="auto"/>
                  <w:noWrap w:val="0"/>
                  <w:vAlign w:val="center"/>
                </w:tcPr>
                <w:p w14:paraId="36B0A876">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rPr>
                      <w:rFonts w:hint="eastAsia" w:eastAsia="宋体" w:cs="Times New Roman"/>
                      <w:color w:val="auto"/>
                      <w:sz w:val="21"/>
                      <w:szCs w:val="21"/>
                      <w:u w:val="none" w:color="auto"/>
                      <w:lang w:eastAsia="zh-CN"/>
                    </w:rPr>
                  </w:pPr>
                  <w:r>
                    <w:rPr>
                      <w:rFonts w:hint="eastAsia" w:cs="Times New Roman"/>
                      <w:color w:val="auto"/>
                      <w:sz w:val="21"/>
                      <w:szCs w:val="21"/>
                      <w:u w:val="none" w:color="auto"/>
                      <w:lang w:eastAsia="zh-CN"/>
                    </w:rPr>
                    <w:t>油烟</w:t>
                  </w:r>
                </w:p>
              </w:tc>
              <w:tc>
                <w:tcPr>
                  <w:tcW w:w="1187" w:type="pct"/>
                  <w:tcBorders>
                    <w:tl2br w:val="nil"/>
                    <w:tr2bl w:val="nil"/>
                  </w:tcBorders>
                  <w:noWrap w:val="0"/>
                  <w:vAlign w:val="center"/>
                </w:tcPr>
                <w:p w14:paraId="05E0186B">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eastAsia" w:eastAsia="宋体" w:cs="Times New Roman"/>
                      <w:color w:val="auto"/>
                      <w:sz w:val="21"/>
                      <w:szCs w:val="21"/>
                      <w:u w:val="none" w:color="auto"/>
                      <w:lang w:eastAsia="zh-CN"/>
                    </w:rPr>
                  </w:pPr>
                  <w:r>
                    <w:rPr>
                      <w:rFonts w:hint="eastAsia" w:cs="Times New Roman"/>
                      <w:color w:val="auto"/>
                      <w:sz w:val="21"/>
                      <w:szCs w:val="21"/>
                      <w:u w:val="none" w:color="auto"/>
                      <w:lang w:val="en-US" w:eastAsia="zh-CN"/>
                    </w:rPr>
                    <w:t>《饮食业油烟排放标准》（GB18483-2001）</w:t>
                  </w:r>
                </w:p>
              </w:tc>
              <w:tc>
                <w:tcPr>
                  <w:tcW w:w="480" w:type="pct"/>
                  <w:tcBorders>
                    <w:tl2br w:val="nil"/>
                    <w:tr2bl w:val="nil"/>
                  </w:tcBorders>
                  <w:noWrap w:val="0"/>
                  <w:vAlign w:val="center"/>
                </w:tcPr>
                <w:p w14:paraId="2F1700A7">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113.309062</w:t>
                  </w:r>
                </w:p>
              </w:tc>
              <w:tc>
                <w:tcPr>
                  <w:tcW w:w="388" w:type="pct"/>
                  <w:tcBorders>
                    <w:tl2br w:val="nil"/>
                    <w:tr2bl w:val="nil"/>
                  </w:tcBorders>
                  <w:noWrap w:val="0"/>
                  <w:vAlign w:val="center"/>
                </w:tcPr>
                <w:p w14:paraId="4E9AF2A1">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28.918115</w:t>
                  </w:r>
                </w:p>
              </w:tc>
              <w:tc>
                <w:tcPr>
                  <w:tcW w:w="376" w:type="pct"/>
                  <w:tcBorders>
                    <w:tl2br w:val="nil"/>
                    <w:tr2bl w:val="nil"/>
                  </w:tcBorders>
                  <w:noWrap w:val="0"/>
                  <w:vAlign w:val="center"/>
                </w:tcPr>
                <w:p w14:paraId="3586CA7D">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15</w:t>
                  </w:r>
                </w:p>
              </w:tc>
              <w:tc>
                <w:tcPr>
                  <w:tcW w:w="411" w:type="pct"/>
                  <w:tcBorders>
                    <w:tl2br w:val="nil"/>
                    <w:tr2bl w:val="nil"/>
                  </w:tcBorders>
                  <w:noWrap w:val="0"/>
                  <w:vAlign w:val="center"/>
                </w:tcPr>
                <w:p w14:paraId="15BE5602">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0.8</w:t>
                  </w:r>
                </w:p>
              </w:tc>
              <w:tc>
                <w:tcPr>
                  <w:tcW w:w="466" w:type="pct"/>
                  <w:tcBorders>
                    <w:tl2br w:val="nil"/>
                    <w:tr2bl w:val="nil"/>
                  </w:tcBorders>
                  <w:noWrap w:val="0"/>
                  <w:vAlign w:val="center"/>
                </w:tcPr>
                <w:p w14:paraId="5EAFF285">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eastAsia="宋体" w:cs="Times New Roman"/>
                      <w:color w:val="auto"/>
                      <w:sz w:val="21"/>
                      <w:szCs w:val="21"/>
                      <w:u w:val="none" w:color="auto"/>
                      <w:lang w:val="en-US" w:eastAsia="zh-CN"/>
                    </w:rPr>
                  </w:pPr>
                  <w:r>
                    <w:rPr>
                      <w:rFonts w:hint="eastAsia" w:cs="Times New Roman"/>
                      <w:color w:val="auto"/>
                      <w:sz w:val="21"/>
                      <w:szCs w:val="21"/>
                      <w:u w:val="none" w:color="auto"/>
                      <w:lang w:val="en-US" w:eastAsia="zh-CN"/>
                    </w:rPr>
                    <w:t>90</w:t>
                  </w:r>
                </w:p>
              </w:tc>
            </w:tr>
          </w:tbl>
          <w:p w14:paraId="4051DD6C">
            <w:pPr>
              <w:pStyle w:val="40"/>
              <w:numPr>
                <w:ilvl w:val="0"/>
                <w:numId w:val="0"/>
              </w:numPr>
              <w:adjustRightInd w:val="0"/>
              <w:snapToGrid w:val="0"/>
              <w:spacing w:before="0" w:beforeAutospacing="0" w:after="0" w:afterAutospacing="0"/>
              <w:ind w:leftChars="200"/>
              <w:jc w:val="both"/>
              <w:rPr>
                <w:rFonts w:hint="eastAsia" w:ascii="Times New Roman" w:hAnsi="Times New Roman" w:cs="Times New Roman"/>
                <w:color w:val="auto"/>
                <w:kern w:val="2"/>
                <w:sz w:val="24"/>
                <w:szCs w:val="24"/>
                <w:highlight w:val="none"/>
                <w:u w:val="none" w:color="auto"/>
                <w:vertAlign w:val="baseline"/>
                <w:lang w:val="en-US" w:eastAsia="zh-CN"/>
              </w:rPr>
            </w:pPr>
          </w:p>
          <w:p w14:paraId="5C625335">
            <w:pPr>
              <w:pStyle w:val="40"/>
              <w:numPr>
                <w:ilvl w:val="0"/>
                <w:numId w:val="0"/>
              </w:numPr>
              <w:adjustRightInd w:val="0"/>
              <w:snapToGrid w:val="0"/>
              <w:spacing w:before="0" w:beforeAutospacing="0" w:after="0" w:afterAutospacing="0"/>
              <w:jc w:val="both"/>
              <w:rPr>
                <w:rFonts w:hint="eastAsia" w:ascii="Times New Roman" w:hAnsi="Times New Roman" w:cs="Times New Roman"/>
                <w:color w:val="auto"/>
                <w:kern w:val="2"/>
                <w:sz w:val="24"/>
                <w:szCs w:val="24"/>
                <w:highlight w:val="none"/>
                <w:u w:val="none" w:color="auto"/>
                <w:vertAlign w:val="baseline"/>
                <w:lang w:val="en-US" w:eastAsia="zh-CN"/>
              </w:rPr>
            </w:pPr>
          </w:p>
        </w:tc>
      </w:tr>
    </w:tbl>
    <w:p w14:paraId="0F7D73C1">
      <w:pPr>
        <w:pStyle w:val="40"/>
        <w:adjustRightInd w:val="0"/>
        <w:snapToGrid w:val="0"/>
        <w:spacing w:before="0" w:beforeAutospacing="0" w:after="0" w:afterAutospacing="0"/>
        <w:jc w:val="center"/>
        <w:rPr>
          <w:rFonts w:hint="default" w:ascii="Times New Roman" w:hAnsi="Times New Roman" w:eastAsia="宋体" w:cs="Times New Roman"/>
          <w:color w:val="auto"/>
          <w:kern w:val="2"/>
          <w:sz w:val="24"/>
          <w:szCs w:val="24"/>
          <w:highlight w:val="none"/>
          <w:u w:val="none" w:color="auto"/>
        </w:rPr>
        <w:sectPr>
          <w:pgSz w:w="16840" w:h="11907"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p>
    <w:tbl>
      <w:tblPr>
        <w:tblStyle w:val="42"/>
        <w:tblW w:w="8959"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37"/>
        <w:gridCol w:w="8222"/>
      </w:tblGrid>
      <w:tr w14:paraId="5480F7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trPr>
        <w:tc>
          <w:tcPr>
            <w:tcW w:w="737" w:type="dxa"/>
            <w:tcMar>
              <w:left w:w="28" w:type="dxa"/>
              <w:right w:w="28" w:type="dxa"/>
            </w:tcMar>
            <w:vAlign w:val="center"/>
          </w:tcPr>
          <w:p w14:paraId="3DEC8F5B">
            <w:pPr>
              <w:adjustRightInd w:val="0"/>
              <w:snapToGrid w:val="0"/>
              <w:jc w:val="center"/>
              <w:rPr>
                <w:rFonts w:hint="default" w:ascii="Times New Roman" w:hAnsi="Times New Roman" w:eastAsia="宋体" w:cs="Times New Roman"/>
                <w:bCs/>
                <w:color w:val="auto"/>
                <w:szCs w:val="21"/>
                <w:highlight w:val="none"/>
                <w:u w:val="none" w:color="auto"/>
              </w:rPr>
            </w:pPr>
            <w:r>
              <w:rPr>
                <w:rFonts w:hint="default" w:ascii="Times New Roman" w:hAnsi="Times New Roman" w:eastAsia="宋体" w:cs="Times New Roman"/>
                <w:bCs/>
                <w:color w:val="auto"/>
                <w:szCs w:val="21"/>
                <w:highlight w:val="none"/>
                <w:u w:val="none" w:color="auto"/>
              </w:rPr>
              <w:t>运营</w:t>
            </w:r>
          </w:p>
          <w:p w14:paraId="67EAB015">
            <w:pPr>
              <w:adjustRightInd w:val="0"/>
              <w:snapToGrid w:val="0"/>
              <w:jc w:val="center"/>
              <w:rPr>
                <w:rFonts w:hint="default" w:ascii="Times New Roman" w:hAnsi="Times New Roman" w:eastAsia="宋体" w:cs="Times New Roman"/>
                <w:bCs/>
                <w:color w:val="auto"/>
                <w:szCs w:val="21"/>
                <w:highlight w:val="none"/>
                <w:u w:val="none" w:color="auto"/>
              </w:rPr>
            </w:pPr>
            <w:r>
              <w:rPr>
                <w:rFonts w:hint="default" w:ascii="Times New Roman" w:hAnsi="Times New Roman" w:eastAsia="宋体" w:cs="Times New Roman"/>
                <w:bCs/>
                <w:color w:val="auto"/>
                <w:szCs w:val="21"/>
                <w:highlight w:val="none"/>
                <w:u w:val="none" w:color="auto"/>
              </w:rPr>
              <w:t>期环</w:t>
            </w:r>
          </w:p>
          <w:p w14:paraId="330A5F89">
            <w:pPr>
              <w:adjustRightInd w:val="0"/>
              <w:snapToGrid w:val="0"/>
              <w:jc w:val="center"/>
              <w:rPr>
                <w:rFonts w:hint="default" w:ascii="Times New Roman" w:hAnsi="Times New Roman" w:eastAsia="宋体" w:cs="Times New Roman"/>
                <w:bCs/>
                <w:color w:val="auto"/>
                <w:szCs w:val="21"/>
                <w:highlight w:val="none"/>
                <w:u w:val="none" w:color="auto"/>
              </w:rPr>
            </w:pPr>
            <w:r>
              <w:rPr>
                <w:rFonts w:hint="default" w:ascii="Times New Roman" w:hAnsi="Times New Roman" w:eastAsia="宋体" w:cs="Times New Roman"/>
                <w:bCs/>
                <w:color w:val="auto"/>
                <w:szCs w:val="21"/>
                <w:highlight w:val="none"/>
                <w:u w:val="none" w:color="auto"/>
              </w:rPr>
              <w:t>境影</w:t>
            </w:r>
          </w:p>
          <w:p w14:paraId="54D72647">
            <w:pPr>
              <w:adjustRightInd w:val="0"/>
              <w:snapToGrid w:val="0"/>
              <w:jc w:val="center"/>
              <w:rPr>
                <w:rFonts w:hint="default" w:ascii="Times New Roman" w:hAnsi="Times New Roman" w:eastAsia="宋体" w:cs="Times New Roman"/>
                <w:bCs/>
                <w:color w:val="auto"/>
                <w:szCs w:val="21"/>
                <w:highlight w:val="none"/>
                <w:u w:val="none" w:color="auto"/>
              </w:rPr>
            </w:pPr>
            <w:r>
              <w:rPr>
                <w:rFonts w:hint="default" w:ascii="Times New Roman" w:hAnsi="Times New Roman" w:eastAsia="宋体" w:cs="Times New Roman"/>
                <w:bCs/>
                <w:color w:val="auto"/>
                <w:szCs w:val="21"/>
                <w:highlight w:val="none"/>
                <w:u w:val="none" w:color="auto"/>
              </w:rPr>
              <w:t>响和</w:t>
            </w:r>
          </w:p>
          <w:p w14:paraId="7699713E">
            <w:pPr>
              <w:adjustRightInd w:val="0"/>
              <w:snapToGrid w:val="0"/>
              <w:jc w:val="center"/>
              <w:rPr>
                <w:rFonts w:hint="default" w:ascii="Times New Roman" w:hAnsi="Times New Roman" w:eastAsia="宋体" w:cs="Times New Roman"/>
                <w:bCs/>
                <w:color w:val="auto"/>
                <w:szCs w:val="21"/>
                <w:highlight w:val="none"/>
                <w:u w:val="none" w:color="auto"/>
              </w:rPr>
            </w:pPr>
            <w:r>
              <w:rPr>
                <w:rFonts w:hint="default" w:ascii="Times New Roman" w:hAnsi="Times New Roman" w:eastAsia="宋体" w:cs="Times New Roman"/>
                <w:bCs/>
                <w:color w:val="auto"/>
                <w:szCs w:val="21"/>
                <w:highlight w:val="none"/>
                <w:u w:val="none" w:color="auto"/>
              </w:rPr>
              <w:t>保护</w:t>
            </w:r>
          </w:p>
          <w:p w14:paraId="78D538BB">
            <w:pPr>
              <w:adjustRightInd w:val="0"/>
              <w:snapToGrid w:val="0"/>
              <w:jc w:val="center"/>
              <w:rPr>
                <w:rFonts w:hint="default" w:ascii="Times New Roman" w:hAnsi="Times New Roman" w:eastAsia="宋体" w:cs="Times New Roman"/>
                <w:bCs/>
                <w:color w:val="auto"/>
                <w:szCs w:val="21"/>
                <w:highlight w:val="none"/>
                <w:u w:val="none" w:color="auto"/>
              </w:rPr>
            </w:pPr>
            <w:r>
              <w:rPr>
                <w:rFonts w:hint="default" w:ascii="Times New Roman" w:hAnsi="Times New Roman" w:eastAsia="宋体" w:cs="Times New Roman"/>
                <w:bCs/>
                <w:color w:val="auto"/>
                <w:szCs w:val="21"/>
                <w:highlight w:val="none"/>
                <w:u w:val="none" w:color="auto"/>
              </w:rPr>
              <w:t>措施</w:t>
            </w:r>
          </w:p>
        </w:tc>
        <w:tc>
          <w:tcPr>
            <w:tcW w:w="8222" w:type="dxa"/>
          </w:tcPr>
          <w:p w14:paraId="135CE405">
            <w:pPr>
              <w:spacing w:line="360" w:lineRule="auto"/>
              <w:ind w:firstLine="480" w:firstLineChars="200"/>
              <w:rPr>
                <w:rStyle w:val="70"/>
                <w:rFonts w:hint="default" w:ascii="Times New Roman" w:hAnsi="Times New Roman" w:eastAsia="宋体" w:cs="Times New Roman"/>
                <w:b w:val="0"/>
                <w:bCs w:val="0"/>
                <w:color w:val="auto"/>
                <w:sz w:val="24"/>
                <w:szCs w:val="24"/>
                <w:highlight w:val="none"/>
                <w:u w:val="none" w:color="auto"/>
                <w:lang w:val="en-US" w:eastAsia="zh-CN"/>
              </w:rPr>
            </w:pPr>
            <w:r>
              <w:rPr>
                <w:rStyle w:val="70"/>
                <w:rFonts w:hint="default" w:ascii="Times New Roman" w:hAnsi="Times New Roman" w:eastAsia="宋体" w:cs="Times New Roman"/>
                <w:b w:val="0"/>
                <w:bCs w:val="0"/>
                <w:color w:val="auto"/>
                <w:sz w:val="24"/>
                <w:szCs w:val="24"/>
                <w:highlight w:val="none"/>
                <w:u w:val="none" w:color="auto"/>
                <w:lang w:val="en-US" w:eastAsia="zh-CN"/>
              </w:rPr>
              <w:t>3、污染物排放量核算</w:t>
            </w:r>
          </w:p>
          <w:p w14:paraId="44DBDC9B">
            <w:pPr>
              <w:keepNext w:val="0"/>
              <w:keepLines w:val="0"/>
              <w:widowControl/>
              <w:suppressLineNumbers w:val="0"/>
              <w:bidi w:val="0"/>
              <w:spacing w:before="0" w:beforeAutospacing="0" w:after="0" w:afterAutospacing="0" w:line="360" w:lineRule="auto"/>
              <w:ind w:left="0" w:right="0" w:firstLine="480" w:firstLineChars="200"/>
              <w:jc w:val="left"/>
              <w:rPr>
                <w:rFonts w:hint="default" w:ascii="Times New Roman" w:hAnsi="Times New Roman" w:eastAsia="宋体" w:cs="Times New Roman"/>
                <w:color w:val="auto"/>
                <w:kern w:val="0"/>
                <w:sz w:val="24"/>
                <w:szCs w:val="20"/>
              </w:rPr>
            </w:pPr>
            <w:r>
              <w:rPr>
                <w:rFonts w:hint="default" w:ascii="Times New Roman" w:hAnsi="Times New Roman" w:eastAsia="宋体" w:cs="Times New Roman"/>
                <w:color w:val="auto"/>
                <w:kern w:val="0"/>
                <w:sz w:val="24"/>
                <w:szCs w:val="20"/>
              </w:rPr>
              <w:t>本项目废气污染物排放量核算具体情况如下：</w:t>
            </w:r>
          </w:p>
          <w:p w14:paraId="491D3FC3">
            <w:pPr>
              <w:keepNext w:val="0"/>
              <w:keepLines w:val="0"/>
              <w:widowControl w:val="0"/>
              <w:suppressLineNumbers w:val="0"/>
              <w:bidi w:val="0"/>
              <w:spacing w:before="0" w:beforeLines="0" w:beforeAutospacing="0" w:after="0" w:afterLines="0" w:afterAutospacing="0" w:line="360" w:lineRule="auto"/>
              <w:ind w:left="0" w:right="0" w:firstLine="422" w:firstLineChars="200"/>
              <w:jc w:val="center"/>
              <w:rPr>
                <w:rFonts w:hint="default" w:ascii="Times New Roman" w:hAnsi="Times New Roman" w:eastAsia="宋体" w:cs="Times New Roman"/>
                <w:b/>
                <w:bCs/>
                <w:color w:val="auto"/>
                <w:kern w:val="0"/>
                <w:sz w:val="21"/>
                <w:szCs w:val="21"/>
                <w:u w:val="none"/>
                <w:lang w:val="en-US" w:eastAsia="zh-CN" w:bidi="ar-SA"/>
              </w:rPr>
            </w:pPr>
            <w:r>
              <w:rPr>
                <w:rFonts w:hint="default" w:ascii="Times New Roman" w:hAnsi="Times New Roman" w:eastAsia="宋体" w:cs="Times New Roman"/>
                <w:b/>
                <w:color w:val="auto"/>
                <w:kern w:val="0"/>
                <w:sz w:val="21"/>
                <w:szCs w:val="21"/>
                <w:u w:val="none" w:color="auto"/>
                <w:lang w:val="en-US" w:eastAsia="zh-CN" w:bidi="ar-SA"/>
              </w:rPr>
              <w:t>表4-7  大气污染物有组织排放量核算表</w:t>
            </w:r>
          </w:p>
          <w:tbl>
            <w:tblPr>
              <w:tblStyle w:val="43"/>
              <w:tblW w:w="798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8"/>
              <w:gridCol w:w="1010"/>
              <w:gridCol w:w="1110"/>
              <w:gridCol w:w="1245"/>
              <w:gridCol w:w="1200"/>
              <w:gridCol w:w="1830"/>
              <w:gridCol w:w="850"/>
            </w:tblGrid>
            <w:tr w14:paraId="32973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738" w:type="dxa"/>
                  <w:tcBorders>
                    <w:top w:val="single" w:color="auto" w:sz="12" w:space="0"/>
                  </w:tcBorders>
                  <w:vAlign w:val="center"/>
                </w:tcPr>
                <w:p w14:paraId="71A970F5">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u w:val="none"/>
                      <w:vertAlign w:val="baseline"/>
                      <w:lang w:val="en-US" w:eastAsia="zh-CN" w:bidi="ar-SA"/>
                    </w:rPr>
                  </w:pPr>
                  <w:r>
                    <w:rPr>
                      <w:rFonts w:hint="default" w:ascii="Times New Roman" w:hAnsi="Times New Roman" w:eastAsia="宋体" w:cs="Times New Roman"/>
                      <w:b w:val="0"/>
                      <w:bCs w:val="0"/>
                      <w:color w:val="auto"/>
                      <w:kern w:val="0"/>
                      <w:sz w:val="21"/>
                      <w:szCs w:val="21"/>
                      <w:u w:val="none"/>
                      <w:vertAlign w:val="baseline"/>
                      <w:lang w:val="en-US" w:eastAsia="zh-CN" w:bidi="ar-SA"/>
                    </w:rPr>
                    <w:t>序号</w:t>
                  </w:r>
                </w:p>
              </w:tc>
              <w:tc>
                <w:tcPr>
                  <w:tcW w:w="1010" w:type="dxa"/>
                  <w:tcBorders>
                    <w:top w:val="single" w:color="auto" w:sz="12" w:space="0"/>
                  </w:tcBorders>
                  <w:vAlign w:val="center"/>
                </w:tcPr>
                <w:p w14:paraId="1F49229C">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u w:val="none"/>
                      <w:vertAlign w:val="baseline"/>
                      <w:lang w:val="en-US" w:eastAsia="zh-CN" w:bidi="ar-SA"/>
                    </w:rPr>
                  </w:pPr>
                  <w:r>
                    <w:rPr>
                      <w:rFonts w:hint="default" w:ascii="Times New Roman" w:hAnsi="Times New Roman" w:eastAsia="宋体" w:cs="Times New Roman"/>
                      <w:b w:val="0"/>
                      <w:bCs w:val="0"/>
                      <w:color w:val="auto"/>
                      <w:kern w:val="0"/>
                      <w:sz w:val="21"/>
                      <w:szCs w:val="21"/>
                      <w:u w:val="none"/>
                      <w:vertAlign w:val="baseline"/>
                      <w:lang w:val="en-US" w:eastAsia="zh-CN" w:bidi="ar-SA"/>
                    </w:rPr>
                    <w:t>排放口编号</w:t>
                  </w:r>
                </w:p>
              </w:tc>
              <w:tc>
                <w:tcPr>
                  <w:tcW w:w="1110" w:type="dxa"/>
                  <w:tcBorders>
                    <w:top w:val="single" w:color="auto" w:sz="12" w:space="0"/>
                  </w:tcBorders>
                  <w:vAlign w:val="center"/>
                </w:tcPr>
                <w:p w14:paraId="0A2EFC34">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u w:val="none"/>
                      <w:vertAlign w:val="baseline"/>
                      <w:lang w:val="en-US" w:eastAsia="zh-CN" w:bidi="ar-SA"/>
                    </w:rPr>
                  </w:pPr>
                  <w:r>
                    <w:rPr>
                      <w:rFonts w:hint="default" w:ascii="Times New Roman" w:hAnsi="Times New Roman" w:eastAsia="宋体" w:cs="Times New Roman"/>
                      <w:b w:val="0"/>
                      <w:bCs w:val="0"/>
                      <w:color w:val="auto"/>
                      <w:kern w:val="0"/>
                      <w:sz w:val="21"/>
                      <w:szCs w:val="21"/>
                      <w:u w:val="none"/>
                      <w:vertAlign w:val="baseline"/>
                      <w:lang w:val="en-US" w:eastAsia="zh-CN" w:bidi="ar-SA"/>
                    </w:rPr>
                    <w:t>污染物</w:t>
                  </w:r>
                </w:p>
              </w:tc>
              <w:tc>
                <w:tcPr>
                  <w:tcW w:w="1245" w:type="dxa"/>
                  <w:tcBorders>
                    <w:top w:val="single" w:color="auto" w:sz="12" w:space="0"/>
                  </w:tcBorders>
                  <w:shd w:val="clear" w:color="auto" w:fill="auto"/>
                  <w:vAlign w:val="center"/>
                </w:tcPr>
                <w:p w14:paraId="3F07463A">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核算排放浓度mg/m</w:t>
                  </w:r>
                  <w:r>
                    <w:rPr>
                      <w:rFonts w:hint="default" w:ascii="Times New Roman" w:hAnsi="Times New Roman" w:eastAsia="宋体" w:cs="Times New Roman"/>
                      <w:b w:val="0"/>
                      <w:bCs w:val="0"/>
                      <w:color w:val="auto"/>
                      <w:kern w:val="0"/>
                      <w:sz w:val="21"/>
                      <w:szCs w:val="21"/>
                      <w:vertAlign w:val="superscript"/>
                      <w:lang w:val="en-US" w:eastAsia="zh-CN" w:bidi="ar-SA"/>
                    </w:rPr>
                    <w:t>3</w:t>
                  </w:r>
                </w:p>
              </w:tc>
              <w:tc>
                <w:tcPr>
                  <w:tcW w:w="1200" w:type="dxa"/>
                  <w:tcBorders>
                    <w:top w:val="single" w:color="auto" w:sz="12" w:space="0"/>
                  </w:tcBorders>
                  <w:shd w:val="clear" w:color="auto" w:fill="auto"/>
                  <w:vAlign w:val="center"/>
                </w:tcPr>
                <w:p w14:paraId="0CB63593">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核算排放速率kg/h</w:t>
                  </w:r>
                </w:p>
              </w:tc>
              <w:tc>
                <w:tcPr>
                  <w:tcW w:w="1830" w:type="dxa"/>
                  <w:tcBorders>
                    <w:top w:val="single" w:color="auto" w:sz="12" w:space="0"/>
                  </w:tcBorders>
                  <w:shd w:val="clear" w:color="auto" w:fill="auto"/>
                  <w:vAlign w:val="center"/>
                </w:tcPr>
                <w:p w14:paraId="1955CCA1">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color w:val="auto"/>
                      <w:kern w:val="0"/>
                      <w:sz w:val="21"/>
                      <w:szCs w:val="24"/>
                      <w:lang w:val="en-US" w:eastAsia="zh-CN" w:bidi="ar-SA"/>
                    </w:rPr>
                    <w:t>限值要求</w:t>
                  </w:r>
                </w:p>
              </w:tc>
              <w:tc>
                <w:tcPr>
                  <w:tcW w:w="850" w:type="dxa"/>
                  <w:tcBorders>
                    <w:top w:val="single" w:color="auto" w:sz="12" w:space="0"/>
                    <w:right w:val="single" w:color="auto" w:sz="12" w:space="0"/>
                  </w:tcBorders>
                  <w:shd w:val="clear" w:color="auto" w:fill="auto"/>
                  <w:vAlign w:val="center"/>
                </w:tcPr>
                <w:p w14:paraId="05DBEEBD">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b w:val="0"/>
                      <w:bCs w:val="0"/>
                      <w:color w:val="auto"/>
                      <w:kern w:val="0"/>
                      <w:sz w:val="21"/>
                      <w:szCs w:val="21"/>
                      <w:lang w:val="en-US" w:eastAsia="zh-CN" w:bidi="ar-SA"/>
                    </w:rPr>
                  </w:pPr>
                  <w:r>
                    <w:rPr>
                      <w:rFonts w:hint="default" w:ascii="Times New Roman" w:hAnsi="Times New Roman" w:eastAsia="宋体" w:cs="Times New Roman"/>
                      <w:b w:val="0"/>
                      <w:bCs w:val="0"/>
                      <w:color w:val="auto"/>
                      <w:kern w:val="0"/>
                      <w:sz w:val="21"/>
                      <w:szCs w:val="21"/>
                      <w:lang w:val="en-US" w:eastAsia="zh-CN" w:bidi="ar-SA"/>
                    </w:rPr>
                    <w:t>核算年排放量（t/a）</w:t>
                  </w:r>
                </w:p>
              </w:tc>
            </w:tr>
            <w:tr w14:paraId="4C1AA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738" w:type="dxa"/>
                  <w:tcBorders>
                    <w:left w:val="single" w:color="auto" w:sz="4" w:space="0"/>
                  </w:tcBorders>
                  <w:vAlign w:val="center"/>
                </w:tcPr>
                <w:p w14:paraId="421524FE">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u w:val="none"/>
                      <w:vertAlign w:val="baseline"/>
                      <w:lang w:val="en-US" w:eastAsia="zh-CN" w:bidi="ar-SA"/>
                    </w:rPr>
                  </w:pPr>
                  <w:r>
                    <w:rPr>
                      <w:rFonts w:hint="default" w:ascii="Times New Roman" w:hAnsi="Times New Roman" w:eastAsia="宋体" w:cs="Times New Roman"/>
                      <w:b w:val="0"/>
                      <w:bCs w:val="0"/>
                      <w:color w:val="auto"/>
                      <w:kern w:val="0"/>
                      <w:sz w:val="21"/>
                      <w:szCs w:val="21"/>
                      <w:u w:val="none"/>
                      <w:vertAlign w:val="baseline"/>
                      <w:lang w:val="en-US" w:eastAsia="zh-CN" w:bidi="ar-SA"/>
                    </w:rPr>
                    <w:t>1</w:t>
                  </w:r>
                </w:p>
              </w:tc>
              <w:tc>
                <w:tcPr>
                  <w:tcW w:w="1010" w:type="dxa"/>
                  <w:vMerge w:val="restart"/>
                  <w:vAlign w:val="center"/>
                </w:tcPr>
                <w:p w14:paraId="40827818">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u w:val="none"/>
                      <w:vertAlign w:val="baseline"/>
                      <w:lang w:val="en-US" w:eastAsia="zh-CN" w:bidi="ar-SA"/>
                    </w:rPr>
                  </w:pPr>
                  <w:r>
                    <w:rPr>
                      <w:rFonts w:hint="default" w:ascii="Times New Roman" w:hAnsi="Times New Roman" w:eastAsia="宋体" w:cs="Times New Roman"/>
                      <w:b w:val="0"/>
                      <w:bCs w:val="0"/>
                      <w:color w:val="auto"/>
                      <w:kern w:val="0"/>
                      <w:sz w:val="21"/>
                      <w:szCs w:val="21"/>
                      <w:u w:val="none"/>
                      <w:vertAlign w:val="baseline"/>
                      <w:lang w:val="en-US" w:eastAsia="zh-CN" w:bidi="ar-SA"/>
                    </w:rPr>
                    <w:t>DA001</w:t>
                  </w:r>
                </w:p>
              </w:tc>
              <w:tc>
                <w:tcPr>
                  <w:tcW w:w="1110" w:type="dxa"/>
                  <w:shd w:val="clear" w:color="auto" w:fill="auto"/>
                  <w:vAlign w:val="center"/>
                </w:tcPr>
                <w:p w14:paraId="10D1E584">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颗粒物</w:t>
                  </w:r>
                </w:p>
              </w:tc>
              <w:tc>
                <w:tcPr>
                  <w:tcW w:w="1245" w:type="dxa"/>
                  <w:shd w:val="clear" w:color="auto" w:fill="auto"/>
                  <w:vAlign w:val="center"/>
                </w:tcPr>
                <w:p w14:paraId="2A7CF585">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1.27</w:t>
                  </w:r>
                </w:p>
              </w:tc>
              <w:tc>
                <w:tcPr>
                  <w:tcW w:w="1200" w:type="dxa"/>
                  <w:shd w:val="clear" w:color="auto" w:fill="auto"/>
                  <w:vAlign w:val="center"/>
                </w:tcPr>
                <w:p w14:paraId="7F9446F3">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color="auto"/>
                      <w:lang w:val="en-US" w:eastAsia="zh-CN" w:bidi="ar-SA"/>
                    </w:rPr>
                  </w:pPr>
                  <w:r>
                    <w:rPr>
                      <w:rFonts w:hint="default" w:ascii="Times New Roman" w:hAnsi="Times New Roman" w:eastAsia="宋体" w:cs="Times New Roman"/>
                      <w:color w:val="auto"/>
                      <w:kern w:val="2"/>
                      <w:sz w:val="21"/>
                      <w:szCs w:val="24"/>
                      <w:u w:val="none" w:color="auto"/>
                      <w:lang w:val="en-US" w:eastAsia="zh-CN" w:bidi="ar-SA"/>
                    </w:rPr>
                    <w:t>0.001</w:t>
                  </w:r>
                </w:p>
              </w:tc>
              <w:tc>
                <w:tcPr>
                  <w:tcW w:w="1830" w:type="dxa"/>
                  <w:shd w:val="clear" w:color="auto" w:fill="auto"/>
                  <w:vAlign w:val="center"/>
                </w:tcPr>
                <w:p w14:paraId="53BAC3FA">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color="auto"/>
                      <w:lang w:val="en-US" w:eastAsia="zh-CN" w:bidi="ar-SA"/>
                    </w:rPr>
                  </w:pPr>
                  <w:r>
                    <w:rPr>
                      <w:rFonts w:hint="default" w:ascii="Times New Roman" w:hAnsi="Times New Roman" w:eastAsia="宋体" w:cs="Times New Roman"/>
                      <w:color w:val="auto"/>
                      <w:kern w:val="2"/>
                      <w:sz w:val="21"/>
                      <w:szCs w:val="24"/>
                      <w:lang w:val="en-US" w:eastAsia="zh-CN" w:bidi="ar-SA"/>
                    </w:rPr>
                    <w:t>30mg/m</w:t>
                  </w:r>
                  <w:r>
                    <w:rPr>
                      <w:rFonts w:hint="default" w:ascii="Times New Roman" w:hAnsi="Times New Roman" w:eastAsia="宋体" w:cs="Times New Roman"/>
                      <w:color w:val="auto"/>
                      <w:kern w:val="2"/>
                      <w:sz w:val="21"/>
                      <w:szCs w:val="24"/>
                      <w:vertAlign w:val="superscript"/>
                      <w:lang w:val="en-US" w:eastAsia="zh-CN" w:bidi="ar-SA"/>
                    </w:rPr>
                    <w:t>3</w:t>
                  </w:r>
                </w:p>
              </w:tc>
              <w:tc>
                <w:tcPr>
                  <w:tcW w:w="850" w:type="dxa"/>
                  <w:tcBorders>
                    <w:right w:val="single" w:color="auto" w:sz="12" w:space="0"/>
                  </w:tcBorders>
                  <w:shd w:val="clear" w:color="auto" w:fill="auto"/>
                  <w:vAlign w:val="center"/>
                </w:tcPr>
                <w:p w14:paraId="0067992E">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color="auto"/>
                      <w:lang w:val="en-US" w:eastAsia="zh-CN" w:bidi="ar-SA"/>
                    </w:rPr>
                  </w:pPr>
                  <w:r>
                    <w:rPr>
                      <w:rFonts w:hint="default" w:ascii="Times New Roman" w:hAnsi="Times New Roman" w:eastAsia="宋体" w:cs="Times New Roman"/>
                      <w:color w:val="auto"/>
                      <w:kern w:val="2"/>
                      <w:sz w:val="21"/>
                      <w:szCs w:val="24"/>
                      <w:u w:val="none" w:color="auto"/>
                      <w:lang w:val="en-US" w:eastAsia="zh-CN" w:bidi="ar-SA"/>
                    </w:rPr>
                    <w:t>0.003</w:t>
                  </w:r>
                </w:p>
              </w:tc>
            </w:tr>
            <w:tr w14:paraId="637477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738" w:type="dxa"/>
                  <w:tcBorders>
                    <w:left w:val="single" w:color="auto" w:sz="4" w:space="0"/>
                  </w:tcBorders>
                  <w:vAlign w:val="center"/>
                </w:tcPr>
                <w:p w14:paraId="42DBB079">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u w:val="none"/>
                      <w:vertAlign w:val="baseline"/>
                      <w:lang w:val="en-US" w:eastAsia="zh-CN" w:bidi="ar-SA"/>
                    </w:rPr>
                  </w:pPr>
                  <w:r>
                    <w:rPr>
                      <w:rFonts w:hint="default" w:ascii="Times New Roman" w:hAnsi="Times New Roman" w:eastAsia="宋体" w:cs="Times New Roman"/>
                      <w:b w:val="0"/>
                      <w:bCs w:val="0"/>
                      <w:color w:val="auto"/>
                      <w:kern w:val="0"/>
                      <w:sz w:val="21"/>
                      <w:szCs w:val="21"/>
                      <w:u w:val="none"/>
                      <w:vertAlign w:val="baseline"/>
                      <w:lang w:val="en-US" w:eastAsia="zh-CN" w:bidi="ar-SA"/>
                    </w:rPr>
                    <w:t>2</w:t>
                  </w:r>
                </w:p>
              </w:tc>
              <w:tc>
                <w:tcPr>
                  <w:tcW w:w="1010" w:type="dxa"/>
                  <w:vMerge w:val="continue"/>
                  <w:vAlign w:val="center"/>
                </w:tcPr>
                <w:p w14:paraId="78DE0200">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u w:val="none"/>
                      <w:vertAlign w:val="baseline"/>
                      <w:lang w:val="en-US" w:eastAsia="zh-CN" w:bidi="ar-SA"/>
                    </w:rPr>
                  </w:pPr>
                </w:p>
              </w:tc>
              <w:tc>
                <w:tcPr>
                  <w:tcW w:w="1110" w:type="dxa"/>
                  <w:shd w:val="clear" w:color="auto" w:fill="auto"/>
                  <w:vAlign w:val="center"/>
                </w:tcPr>
                <w:p w14:paraId="3CFBA7A7">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二氧化硫</w:t>
                  </w:r>
                </w:p>
              </w:tc>
              <w:tc>
                <w:tcPr>
                  <w:tcW w:w="1245" w:type="dxa"/>
                  <w:shd w:val="clear" w:color="auto" w:fill="auto"/>
                  <w:vAlign w:val="center"/>
                </w:tcPr>
                <w:p w14:paraId="6692477C">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color="auto"/>
                      <w:lang w:val="en-US" w:eastAsia="zh-CN" w:bidi="ar-SA"/>
                    </w:rPr>
                  </w:pPr>
                  <w:r>
                    <w:rPr>
                      <w:rFonts w:hint="default" w:ascii="Times New Roman" w:hAnsi="Times New Roman" w:eastAsia="宋体" w:cs="Times New Roman"/>
                      <w:color w:val="auto"/>
                      <w:kern w:val="2"/>
                      <w:sz w:val="21"/>
                      <w:szCs w:val="24"/>
                      <w:u w:val="none" w:color="auto"/>
                      <w:lang w:val="en-US" w:eastAsia="zh-CN" w:bidi="ar-SA"/>
                    </w:rPr>
                    <w:t>135.7</w:t>
                  </w:r>
                </w:p>
              </w:tc>
              <w:tc>
                <w:tcPr>
                  <w:tcW w:w="1200" w:type="dxa"/>
                  <w:shd w:val="clear" w:color="auto" w:fill="auto"/>
                  <w:vAlign w:val="center"/>
                </w:tcPr>
                <w:p w14:paraId="3119ECF8">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color="auto"/>
                      <w:lang w:val="en-US" w:eastAsia="zh-CN" w:bidi="ar-SA"/>
                    </w:rPr>
                  </w:pPr>
                  <w:r>
                    <w:rPr>
                      <w:rFonts w:hint="default" w:ascii="Times New Roman" w:hAnsi="Times New Roman" w:eastAsia="宋体" w:cs="Times New Roman"/>
                      <w:color w:val="auto"/>
                      <w:kern w:val="2"/>
                      <w:sz w:val="21"/>
                      <w:szCs w:val="24"/>
                      <w:u w:val="none" w:color="auto"/>
                      <w:lang w:val="en-US" w:eastAsia="zh-CN" w:bidi="ar-SA"/>
                    </w:rPr>
                    <w:t>0.127</w:t>
                  </w:r>
                </w:p>
              </w:tc>
              <w:tc>
                <w:tcPr>
                  <w:tcW w:w="1830" w:type="dxa"/>
                  <w:shd w:val="clear" w:color="auto" w:fill="auto"/>
                  <w:vAlign w:val="center"/>
                </w:tcPr>
                <w:p w14:paraId="32F9B9F9">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color="auto"/>
                      <w:lang w:val="en-US" w:eastAsia="zh-CN" w:bidi="ar-SA"/>
                    </w:rPr>
                  </w:pPr>
                  <w:r>
                    <w:rPr>
                      <w:rFonts w:hint="default" w:ascii="Times New Roman" w:hAnsi="Times New Roman" w:eastAsia="宋体" w:cs="Times New Roman"/>
                      <w:color w:val="auto"/>
                      <w:kern w:val="2"/>
                      <w:sz w:val="21"/>
                      <w:szCs w:val="24"/>
                      <w:lang w:val="en-US" w:eastAsia="zh-CN" w:bidi="ar-SA"/>
                    </w:rPr>
                    <w:t>200mg/m</w:t>
                  </w:r>
                  <w:r>
                    <w:rPr>
                      <w:rFonts w:hint="default" w:ascii="Times New Roman" w:hAnsi="Times New Roman" w:eastAsia="宋体" w:cs="Times New Roman"/>
                      <w:color w:val="auto"/>
                      <w:kern w:val="2"/>
                      <w:sz w:val="21"/>
                      <w:szCs w:val="24"/>
                      <w:vertAlign w:val="superscript"/>
                      <w:lang w:val="en-US" w:eastAsia="zh-CN" w:bidi="ar-SA"/>
                    </w:rPr>
                    <w:t>3</w:t>
                  </w:r>
                </w:p>
              </w:tc>
              <w:tc>
                <w:tcPr>
                  <w:tcW w:w="850" w:type="dxa"/>
                  <w:tcBorders>
                    <w:right w:val="single" w:color="auto" w:sz="12" w:space="0"/>
                  </w:tcBorders>
                  <w:shd w:val="clear" w:color="auto" w:fill="auto"/>
                  <w:vAlign w:val="center"/>
                </w:tcPr>
                <w:p w14:paraId="611252A3">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color="auto"/>
                      <w:lang w:val="en-US" w:eastAsia="zh-CN" w:bidi="ar-SA"/>
                    </w:rPr>
                  </w:pPr>
                  <w:r>
                    <w:rPr>
                      <w:rFonts w:hint="default" w:ascii="Times New Roman" w:hAnsi="Times New Roman" w:eastAsia="宋体" w:cs="Times New Roman"/>
                      <w:color w:val="auto"/>
                      <w:kern w:val="2"/>
                      <w:sz w:val="21"/>
                      <w:szCs w:val="24"/>
                      <w:u w:val="none" w:color="auto"/>
                      <w:lang w:val="en-US" w:eastAsia="zh-CN" w:bidi="ar-SA"/>
                    </w:rPr>
                    <w:t>0.321</w:t>
                  </w:r>
                </w:p>
              </w:tc>
            </w:tr>
            <w:tr w14:paraId="3A7CBA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738" w:type="dxa"/>
                  <w:tcBorders>
                    <w:left w:val="single" w:color="auto" w:sz="4" w:space="0"/>
                  </w:tcBorders>
                  <w:vAlign w:val="center"/>
                </w:tcPr>
                <w:p w14:paraId="6440A3D9">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u w:val="none"/>
                      <w:vertAlign w:val="baseline"/>
                      <w:lang w:val="en-US" w:eastAsia="zh-CN" w:bidi="ar-SA"/>
                    </w:rPr>
                  </w:pPr>
                  <w:r>
                    <w:rPr>
                      <w:rFonts w:hint="default" w:ascii="Times New Roman" w:hAnsi="Times New Roman" w:eastAsia="宋体" w:cs="Times New Roman"/>
                      <w:b w:val="0"/>
                      <w:bCs w:val="0"/>
                      <w:color w:val="auto"/>
                      <w:kern w:val="0"/>
                      <w:sz w:val="21"/>
                      <w:szCs w:val="21"/>
                      <w:u w:val="none"/>
                      <w:vertAlign w:val="baseline"/>
                      <w:lang w:val="en-US" w:eastAsia="zh-CN" w:bidi="ar-SA"/>
                    </w:rPr>
                    <w:t>3</w:t>
                  </w:r>
                </w:p>
              </w:tc>
              <w:tc>
                <w:tcPr>
                  <w:tcW w:w="1010" w:type="dxa"/>
                  <w:vMerge w:val="continue"/>
                  <w:vAlign w:val="center"/>
                </w:tcPr>
                <w:p w14:paraId="36C8B6E2">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u w:val="none"/>
                      <w:vertAlign w:val="baseline"/>
                      <w:lang w:val="en-US" w:eastAsia="zh-CN" w:bidi="ar-SA"/>
                    </w:rPr>
                  </w:pPr>
                </w:p>
              </w:tc>
              <w:tc>
                <w:tcPr>
                  <w:tcW w:w="1110" w:type="dxa"/>
                  <w:shd w:val="clear" w:color="auto" w:fill="auto"/>
                  <w:vAlign w:val="center"/>
                </w:tcPr>
                <w:p w14:paraId="6261F105">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氮氧化物</w:t>
                  </w:r>
                </w:p>
              </w:tc>
              <w:tc>
                <w:tcPr>
                  <w:tcW w:w="1245" w:type="dxa"/>
                  <w:shd w:val="clear" w:color="auto" w:fill="auto"/>
                  <w:vAlign w:val="center"/>
                </w:tcPr>
                <w:p w14:paraId="2D9E935F">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color="auto"/>
                      <w:lang w:val="en-US" w:eastAsia="zh-CN" w:bidi="ar-SA"/>
                    </w:rPr>
                  </w:pPr>
                  <w:r>
                    <w:rPr>
                      <w:rFonts w:hint="default" w:ascii="Times New Roman" w:hAnsi="Times New Roman" w:eastAsia="宋体" w:cs="Times New Roman"/>
                      <w:color w:val="auto"/>
                      <w:kern w:val="2"/>
                      <w:sz w:val="21"/>
                      <w:szCs w:val="24"/>
                      <w:u w:val="none" w:color="auto"/>
                      <w:lang w:val="en-US" w:eastAsia="zh-CN" w:bidi="ar-SA"/>
                    </w:rPr>
                    <w:t>163.5</w:t>
                  </w:r>
                </w:p>
              </w:tc>
              <w:tc>
                <w:tcPr>
                  <w:tcW w:w="1200" w:type="dxa"/>
                  <w:shd w:val="clear" w:color="auto" w:fill="auto"/>
                  <w:vAlign w:val="center"/>
                </w:tcPr>
                <w:p w14:paraId="65455068">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color="auto"/>
                      <w:lang w:val="en-US" w:eastAsia="zh-CN" w:bidi="ar-SA"/>
                    </w:rPr>
                  </w:pPr>
                  <w:r>
                    <w:rPr>
                      <w:rFonts w:hint="default" w:ascii="Times New Roman" w:hAnsi="Times New Roman" w:eastAsia="宋体" w:cs="Times New Roman"/>
                      <w:color w:val="auto"/>
                      <w:kern w:val="2"/>
                      <w:sz w:val="21"/>
                      <w:szCs w:val="24"/>
                      <w:u w:val="none" w:color="auto"/>
                      <w:lang w:val="en-US" w:eastAsia="zh-CN" w:bidi="ar-SA"/>
                    </w:rPr>
                    <w:t>0.153</w:t>
                  </w:r>
                </w:p>
              </w:tc>
              <w:tc>
                <w:tcPr>
                  <w:tcW w:w="1830" w:type="dxa"/>
                  <w:shd w:val="clear" w:color="auto" w:fill="auto"/>
                  <w:vAlign w:val="center"/>
                </w:tcPr>
                <w:p w14:paraId="219B8CB5">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color="auto"/>
                      <w:lang w:val="en-US" w:eastAsia="zh-CN" w:bidi="ar-SA"/>
                    </w:rPr>
                  </w:pPr>
                  <w:r>
                    <w:rPr>
                      <w:rFonts w:hint="default" w:ascii="Times New Roman" w:hAnsi="Times New Roman" w:eastAsia="宋体" w:cs="Times New Roman"/>
                      <w:color w:val="auto"/>
                      <w:kern w:val="2"/>
                      <w:sz w:val="21"/>
                      <w:szCs w:val="24"/>
                      <w:lang w:val="en-US" w:eastAsia="zh-CN" w:bidi="ar-SA"/>
                    </w:rPr>
                    <w:t>200mg/m</w:t>
                  </w:r>
                  <w:r>
                    <w:rPr>
                      <w:rFonts w:hint="default" w:ascii="Times New Roman" w:hAnsi="Times New Roman" w:eastAsia="宋体" w:cs="Times New Roman"/>
                      <w:color w:val="auto"/>
                      <w:kern w:val="2"/>
                      <w:sz w:val="21"/>
                      <w:szCs w:val="24"/>
                      <w:vertAlign w:val="superscript"/>
                      <w:lang w:val="en-US" w:eastAsia="zh-CN" w:bidi="ar-SA"/>
                    </w:rPr>
                    <w:t>3</w:t>
                  </w:r>
                </w:p>
              </w:tc>
              <w:tc>
                <w:tcPr>
                  <w:tcW w:w="850" w:type="dxa"/>
                  <w:tcBorders>
                    <w:right w:val="single" w:color="auto" w:sz="12" w:space="0"/>
                  </w:tcBorders>
                  <w:shd w:val="clear" w:color="auto" w:fill="auto"/>
                  <w:vAlign w:val="center"/>
                </w:tcPr>
                <w:p w14:paraId="4A8D3A3B">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color="auto"/>
                      <w:lang w:val="en-US" w:eastAsia="zh-CN" w:bidi="ar-SA"/>
                    </w:rPr>
                  </w:pPr>
                  <w:r>
                    <w:rPr>
                      <w:rFonts w:hint="default" w:ascii="Times New Roman" w:hAnsi="Times New Roman" w:eastAsia="宋体" w:cs="Times New Roman"/>
                      <w:color w:val="auto"/>
                      <w:kern w:val="2"/>
                      <w:sz w:val="21"/>
                      <w:szCs w:val="24"/>
                      <w:u w:val="none" w:color="auto"/>
                      <w:lang w:val="en-US" w:eastAsia="zh-CN" w:bidi="ar-SA"/>
                    </w:rPr>
                    <w:t>0.386</w:t>
                  </w:r>
                </w:p>
              </w:tc>
            </w:tr>
            <w:tr w14:paraId="0B110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738" w:type="dxa"/>
                  <w:tcBorders>
                    <w:left w:val="single" w:color="auto" w:sz="4" w:space="0"/>
                  </w:tcBorders>
                  <w:vAlign w:val="center"/>
                </w:tcPr>
                <w:p w14:paraId="12C38DDF">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u w:val="none"/>
                      <w:vertAlign w:val="baseline"/>
                      <w:lang w:val="en-US" w:eastAsia="zh-CN" w:bidi="ar-SA"/>
                    </w:rPr>
                  </w:pPr>
                  <w:r>
                    <w:rPr>
                      <w:rFonts w:hint="default" w:ascii="Times New Roman" w:hAnsi="Times New Roman" w:eastAsia="宋体" w:cs="Times New Roman"/>
                      <w:b w:val="0"/>
                      <w:bCs w:val="0"/>
                      <w:color w:val="auto"/>
                      <w:kern w:val="0"/>
                      <w:sz w:val="21"/>
                      <w:szCs w:val="21"/>
                      <w:u w:val="none"/>
                      <w:vertAlign w:val="baseline"/>
                      <w:lang w:val="en-US" w:eastAsia="zh-CN" w:bidi="ar-SA"/>
                    </w:rPr>
                    <w:t>4</w:t>
                  </w:r>
                </w:p>
              </w:tc>
              <w:tc>
                <w:tcPr>
                  <w:tcW w:w="1010" w:type="dxa"/>
                  <w:vMerge w:val="restart"/>
                  <w:vAlign w:val="center"/>
                </w:tcPr>
                <w:p w14:paraId="7FDD4DEF">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u w:val="none"/>
                      <w:vertAlign w:val="baseline"/>
                      <w:lang w:val="en-US" w:eastAsia="zh-CN" w:bidi="ar-SA"/>
                    </w:rPr>
                  </w:pPr>
                  <w:r>
                    <w:rPr>
                      <w:rFonts w:hint="default" w:ascii="Times New Roman" w:hAnsi="Times New Roman" w:eastAsia="宋体" w:cs="Times New Roman"/>
                      <w:b w:val="0"/>
                      <w:bCs w:val="0"/>
                      <w:color w:val="auto"/>
                      <w:kern w:val="0"/>
                      <w:sz w:val="21"/>
                      <w:szCs w:val="21"/>
                      <w:u w:val="none"/>
                      <w:vertAlign w:val="baseline"/>
                      <w:lang w:val="en-US" w:eastAsia="zh-CN" w:bidi="ar-SA"/>
                    </w:rPr>
                    <w:t>DA002</w:t>
                  </w:r>
                </w:p>
              </w:tc>
              <w:tc>
                <w:tcPr>
                  <w:tcW w:w="1110" w:type="dxa"/>
                  <w:shd w:val="clear" w:color="auto" w:fill="auto"/>
                  <w:vAlign w:val="center"/>
                </w:tcPr>
                <w:p w14:paraId="3F473EAB">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颗粒物</w:t>
                  </w:r>
                </w:p>
              </w:tc>
              <w:tc>
                <w:tcPr>
                  <w:tcW w:w="1245" w:type="dxa"/>
                  <w:shd w:val="clear" w:color="auto" w:fill="auto"/>
                  <w:vAlign w:val="center"/>
                </w:tcPr>
                <w:p w14:paraId="5988E619">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color="auto"/>
                      <w:lang w:val="en-US" w:eastAsia="zh-CN" w:bidi="ar-SA"/>
                    </w:rPr>
                  </w:pPr>
                  <w:r>
                    <w:rPr>
                      <w:rFonts w:hint="default" w:ascii="Times New Roman" w:hAnsi="Times New Roman" w:eastAsia="宋体" w:cs="Times New Roman"/>
                      <w:color w:val="auto"/>
                      <w:kern w:val="2"/>
                      <w:sz w:val="21"/>
                      <w:szCs w:val="24"/>
                      <w:u w:val="none" w:color="auto"/>
                      <w:lang w:val="en-US" w:eastAsia="zh-CN" w:bidi="ar-SA"/>
                    </w:rPr>
                    <w:t>13.9</w:t>
                  </w:r>
                </w:p>
              </w:tc>
              <w:tc>
                <w:tcPr>
                  <w:tcW w:w="1200" w:type="dxa"/>
                  <w:shd w:val="clear" w:color="auto" w:fill="auto"/>
                  <w:vAlign w:val="center"/>
                </w:tcPr>
                <w:p w14:paraId="4BFECDBC">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color="auto"/>
                      <w:lang w:val="en-US" w:eastAsia="zh-CN" w:bidi="ar-SA"/>
                    </w:rPr>
                  </w:pPr>
                  <w:r>
                    <w:rPr>
                      <w:rFonts w:hint="default" w:ascii="Times New Roman" w:hAnsi="Times New Roman" w:eastAsia="宋体" w:cs="Times New Roman"/>
                      <w:color w:val="auto"/>
                      <w:kern w:val="2"/>
                      <w:sz w:val="21"/>
                      <w:szCs w:val="24"/>
                      <w:u w:val="none" w:color="auto"/>
                      <w:lang w:val="en-US" w:eastAsia="zh-CN" w:bidi="ar-SA"/>
                    </w:rPr>
                    <w:t>0.002</w:t>
                  </w:r>
                </w:p>
              </w:tc>
              <w:tc>
                <w:tcPr>
                  <w:tcW w:w="1830" w:type="dxa"/>
                  <w:shd w:val="clear" w:color="auto" w:fill="auto"/>
                  <w:vAlign w:val="center"/>
                </w:tcPr>
                <w:p w14:paraId="429495E1">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color="auto"/>
                      <w:lang w:val="en-US" w:eastAsia="zh-CN" w:bidi="ar-SA"/>
                    </w:rPr>
                  </w:pPr>
                  <w:r>
                    <w:rPr>
                      <w:rFonts w:hint="default" w:ascii="Times New Roman" w:hAnsi="Times New Roman" w:eastAsia="宋体" w:cs="Times New Roman"/>
                      <w:color w:val="auto"/>
                      <w:kern w:val="2"/>
                      <w:sz w:val="21"/>
                      <w:szCs w:val="24"/>
                      <w:lang w:val="en-US" w:eastAsia="zh-CN" w:bidi="ar-SA"/>
                    </w:rPr>
                    <w:t>30mg/m</w:t>
                  </w:r>
                  <w:r>
                    <w:rPr>
                      <w:rFonts w:hint="default" w:ascii="Times New Roman" w:hAnsi="Times New Roman" w:eastAsia="宋体" w:cs="Times New Roman"/>
                      <w:color w:val="auto"/>
                      <w:kern w:val="2"/>
                      <w:sz w:val="21"/>
                      <w:szCs w:val="24"/>
                      <w:vertAlign w:val="superscript"/>
                      <w:lang w:val="en-US" w:eastAsia="zh-CN" w:bidi="ar-SA"/>
                    </w:rPr>
                    <w:t>3</w:t>
                  </w:r>
                </w:p>
              </w:tc>
              <w:tc>
                <w:tcPr>
                  <w:tcW w:w="850" w:type="dxa"/>
                  <w:tcBorders>
                    <w:right w:val="single" w:color="auto" w:sz="12" w:space="0"/>
                  </w:tcBorders>
                  <w:shd w:val="clear" w:color="auto" w:fill="auto"/>
                  <w:vAlign w:val="center"/>
                </w:tcPr>
                <w:p w14:paraId="12F182BE">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color="auto"/>
                      <w:lang w:val="en-US" w:eastAsia="zh-CN" w:bidi="ar-SA"/>
                    </w:rPr>
                  </w:pPr>
                  <w:r>
                    <w:rPr>
                      <w:rFonts w:hint="default" w:ascii="Times New Roman" w:hAnsi="Times New Roman" w:eastAsia="宋体" w:cs="Times New Roman"/>
                      <w:color w:val="auto"/>
                      <w:kern w:val="2"/>
                      <w:sz w:val="21"/>
                      <w:szCs w:val="24"/>
                      <w:u w:val="none" w:color="auto"/>
                      <w:lang w:val="en-US" w:eastAsia="zh-CN" w:bidi="ar-SA"/>
                    </w:rPr>
                    <w:t>0.006</w:t>
                  </w:r>
                </w:p>
              </w:tc>
            </w:tr>
            <w:tr w14:paraId="3D267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738" w:type="dxa"/>
                  <w:tcBorders>
                    <w:left w:val="single" w:color="auto" w:sz="4" w:space="0"/>
                  </w:tcBorders>
                  <w:vAlign w:val="center"/>
                </w:tcPr>
                <w:p w14:paraId="1C50416D">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u w:val="none"/>
                      <w:vertAlign w:val="baseline"/>
                      <w:lang w:val="en-US" w:eastAsia="zh-CN" w:bidi="ar-SA"/>
                    </w:rPr>
                  </w:pPr>
                  <w:r>
                    <w:rPr>
                      <w:rFonts w:hint="default" w:ascii="Times New Roman" w:hAnsi="Times New Roman" w:eastAsia="宋体" w:cs="Times New Roman"/>
                      <w:b w:val="0"/>
                      <w:bCs w:val="0"/>
                      <w:color w:val="auto"/>
                      <w:kern w:val="0"/>
                      <w:sz w:val="21"/>
                      <w:szCs w:val="21"/>
                      <w:u w:val="none"/>
                      <w:vertAlign w:val="baseline"/>
                      <w:lang w:val="en-US" w:eastAsia="zh-CN" w:bidi="ar-SA"/>
                    </w:rPr>
                    <w:t>5</w:t>
                  </w:r>
                </w:p>
              </w:tc>
              <w:tc>
                <w:tcPr>
                  <w:tcW w:w="1010" w:type="dxa"/>
                  <w:vMerge w:val="continue"/>
                  <w:vAlign w:val="center"/>
                </w:tcPr>
                <w:p w14:paraId="56A1BE17">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u w:val="none"/>
                      <w:vertAlign w:val="baseline"/>
                      <w:lang w:val="en-US" w:eastAsia="zh-CN" w:bidi="ar-SA"/>
                    </w:rPr>
                  </w:pPr>
                </w:p>
              </w:tc>
              <w:tc>
                <w:tcPr>
                  <w:tcW w:w="1110" w:type="dxa"/>
                  <w:shd w:val="clear" w:color="auto" w:fill="auto"/>
                  <w:vAlign w:val="center"/>
                </w:tcPr>
                <w:p w14:paraId="0C39D853">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二氧化硫</w:t>
                  </w:r>
                </w:p>
              </w:tc>
              <w:tc>
                <w:tcPr>
                  <w:tcW w:w="1245" w:type="dxa"/>
                  <w:shd w:val="clear" w:color="auto" w:fill="auto"/>
                  <w:vAlign w:val="center"/>
                </w:tcPr>
                <w:p w14:paraId="1155D972">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color="auto"/>
                      <w:lang w:val="en-US" w:eastAsia="zh-CN" w:bidi="ar-SA"/>
                    </w:rPr>
                  </w:pPr>
                  <w:r>
                    <w:rPr>
                      <w:rFonts w:hint="default" w:ascii="Times New Roman" w:hAnsi="Times New Roman" w:eastAsia="宋体" w:cs="Times New Roman"/>
                      <w:color w:val="auto"/>
                      <w:kern w:val="2"/>
                      <w:sz w:val="21"/>
                      <w:szCs w:val="24"/>
                      <w:u w:val="none" w:color="auto"/>
                      <w:lang w:val="en-US" w:eastAsia="zh-CN" w:bidi="ar-SA"/>
                    </w:rPr>
                    <w:t>136.4</w:t>
                  </w:r>
                </w:p>
              </w:tc>
              <w:tc>
                <w:tcPr>
                  <w:tcW w:w="1200" w:type="dxa"/>
                  <w:shd w:val="clear" w:color="auto" w:fill="auto"/>
                  <w:vAlign w:val="center"/>
                </w:tcPr>
                <w:p w14:paraId="7823DA3F">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color="auto"/>
                      <w:lang w:val="en-US" w:eastAsia="zh-CN" w:bidi="ar-SA"/>
                    </w:rPr>
                  </w:pPr>
                  <w:r>
                    <w:rPr>
                      <w:rFonts w:hint="default" w:ascii="Times New Roman" w:hAnsi="Times New Roman" w:eastAsia="宋体" w:cs="Times New Roman"/>
                      <w:color w:val="auto"/>
                      <w:kern w:val="2"/>
                      <w:sz w:val="21"/>
                      <w:szCs w:val="24"/>
                      <w:u w:val="none" w:color="auto"/>
                      <w:lang w:val="en-US" w:eastAsia="zh-CN" w:bidi="ar-SA"/>
                    </w:rPr>
                    <w:t>0.616</w:t>
                  </w:r>
                </w:p>
              </w:tc>
              <w:tc>
                <w:tcPr>
                  <w:tcW w:w="1830" w:type="dxa"/>
                  <w:shd w:val="clear" w:color="auto" w:fill="auto"/>
                  <w:vAlign w:val="center"/>
                </w:tcPr>
                <w:p w14:paraId="014BBBFF">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color="auto"/>
                      <w:lang w:val="en-US" w:eastAsia="zh-CN" w:bidi="ar-SA"/>
                    </w:rPr>
                  </w:pPr>
                  <w:r>
                    <w:rPr>
                      <w:rFonts w:hint="default" w:ascii="Times New Roman" w:hAnsi="Times New Roman" w:eastAsia="宋体" w:cs="Times New Roman"/>
                      <w:color w:val="auto"/>
                      <w:kern w:val="2"/>
                      <w:sz w:val="21"/>
                      <w:szCs w:val="24"/>
                      <w:lang w:val="en-US" w:eastAsia="zh-CN" w:bidi="ar-SA"/>
                    </w:rPr>
                    <w:t>200mg/m</w:t>
                  </w:r>
                  <w:r>
                    <w:rPr>
                      <w:rFonts w:hint="default" w:ascii="Times New Roman" w:hAnsi="Times New Roman" w:eastAsia="宋体" w:cs="Times New Roman"/>
                      <w:color w:val="auto"/>
                      <w:kern w:val="2"/>
                      <w:sz w:val="21"/>
                      <w:szCs w:val="24"/>
                      <w:vertAlign w:val="superscript"/>
                      <w:lang w:val="en-US" w:eastAsia="zh-CN" w:bidi="ar-SA"/>
                    </w:rPr>
                    <w:t>3</w:t>
                  </w:r>
                </w:p>
              </w:tc>
              <w:tc>
                <w:tcPr>
                  <w:tcW w:w="850" w:type="dxa"/>
                  <w:tcBorders>
                    <w:right w:val="single" w:color="auto" w:sz="12" w:space="0"/>
                  </w:tcBorders>
                  <w:shd w:val="clear" w:color="auto" w:fill="auto"/>
                  <w:vAlign w:val="center"/>
                </w:tcPr>
                <w:p w14:paraId="677E41B4">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color="auto"/>
                      <w:lang w:val="en-US" w:eastAsia="zh-CN" w:bidi="ar-SA"/>
                    </w:rPr>
                  </w:pPr>
                  <w:r>
                    <w:rPr>
                      <w:rFonts w:hint="default" w:ascii="Times New Roman" w:hAnsi="Times New Roman" w:eastAsia="宋体" w:cs="Times New Roman"/>
                      <w:color w:val="auto"/>
                      <w:kern w:val="2"/>
                      <w:sz w:val="21"/>
                      <w:szCs w:val="24"/>
                      <w:u w:val="none" w:color="auto"/>
                      <w:lang w:val="en-US" w:eastAsia="zh-CN" w:bidi="ar-SA"/>
                    </w:rPr>
                    <w:t>0.616</w:t>
                  </w:r>
                </w:p>
              </w:tc>
            </w:tr>
            <w:tr w14:paraId="10843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738" w:type="dxa"/>
                  <w:tcBorders>
                    <w:left w:val="single" w:color="auto" w:sz="4" w:space="0"/>
                  </w:tcBorders>
                  <w:vAlign w:val="center"/>
                </w:tcPr>
                <w:p w14:paraId="118E1B9E">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u w:val="none"/>
                      <w:vertAlign w:val="baseline"/>
                      <w:lang w:val="en-US" w:eastAsia="zh-CN" w:bidi="ar-SA"/>
                    </w:rPr>
                  </w:pPr>
                  <w:r>
                    <w:rPr>
                      <w:rFonts w:hint="default" w:ascii="Times New Roman" w:hAnsi="Times New Roman" w:eastAsia="宋体" w:cs="Times New Roman"/>
                      <w:b w:val="0"/>
                      <w:bCs w:val="0"/>
                      <w:color w:val="auto"/>
                      <w:kern w:val="0"/>
                      <w:sz w:val="21"/>
                      <w:szCs w:val="21"/>
                      <w:u w:val="none"/>
                      <w:vertAlign w:val="baseline"/>
                      <w:lang w:val="en-US" w:eastAsia="zh-CN" w:bidi="ar-SA"/>
                    </w:rPr>
                    <w:t>6</w:t>
                  </w:r>
                </w:p>
              </w:tc>
              <w:tc>
                <w:tcPr>
                  <w:tcW w:w="1010" w:type="dxa"/>
                  <w:vMerge w:val="continue"/>
                  <w:vAlign w:val="center"/>
                </w:tcPr>
                <w:p w14:paraId="45666118">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u w:val="none"/>
                      <w:vertAlign w:val="baseline"/>
                      <w:lang w:val="en-US" w:eastAsia="zh-CN" w:bidi="ar-SA"/>
                    </w:rPr>
                  </w:pPr>
                </w:p>
              </w:tc>
              <w:tc>
                <w:tcPr>
                  <w:tcW w:w="1110" w:type="dxa"/>
                  <w:shd w:val="clear" w:color="auto" w:fill="auto"/>
                  <w:vAlign w:val="center"/>
                </w:tcPr>
                <w:p w14:paraId="77066B3F">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氮氧化物</w:t>
                  </w:r>
                </w:p>
              </w:tc>
              <w:tc>
                <w:tcPr>
                  <w:tcW w:w="1245" w:type="dxa"/>
                  <w:shd w:val="clear" w:color="auto" w:fill="auto"/>
                  <w:vAlign w:val="center"/>
                </w:tcPr>
                <w:p w14:paraId="1AE0976D">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color="auto"/>
                      <w:lang w:val="en-US" w:eastAsia="zh-CN" w:bidi="ar-SA"/>
                    </w:rPr>
                  </w:pPr>
                  <w:r>
                    <w:rPr>
                      <w:rFonts w:hint="default" w:ascii="Times New Roman" w:hAnsi="Times New Roman" w:eastAsia="宋体" w:cs="Times New Roman"/>
                      <w:color w:val="auto"/>
                      <w:kern w:val="2"/>
                      <w:sz w:val="21"/>
                      <w:szCs w:val="24"/>
                      <w:u w:val="none" w:color="auto"/>
                      <w:lang w:val="en-US" w:eastAsia="zh-CN" w:bidi="ar-SA"/>
                    </w:rPr>
                    <w:t>163.6</w:t>
                  </w:r>
                </w:p>
              </w:tc>
              <w:tc>
                <w:tcPr>
                  <w:tcW w:w="1200" w:type="dxa"/>
                  <w:shd w:val="clear" w:color="auto" w:fill="auto"/>
                  <w:vAlign w:val="center"/>
                </w:tcPr>
                <w:p w14:paraId="51A3B7C5">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color="auto"/>
                      <w:lang w:val="en-US" w:eastAsia="zh-CN" w:bidi="ar-SA"/>
                    </w:rPr>
                  </w:pPr>
                  <w:r>
                    <w:rPr>
                      <w:rFonts w:hint="default" w:ascii="Times New Roman" w:hAnsi="Times New Roman" w:eastAsia="宋体" w:cs="Times New Roman"/>
                      <w:color w:val="auto"/>
                      <w:kern w:val="2"/>
                      <w:sz w:val="21"/>
                      <w:szCs w:val="24"/>
                      <w:u w:val="none" w:color="auto"/>
                      <w:lang w:val="en-US" w:eastAsia="zh-CN" w:bidi="ar-SA"/>
                    </w:rPr>
                    <w:t>0.235</w:t>
                  </w:r>
                </w:p>
              </w:tc>
              <w:tc>
                <w:tcPr>
                  <w:tcW w:w="1830" w:type="dxa"/>
                  <w:shd w:val="clear" w:color="auto" w:fill="auto"/>
                  <w:vAlign w:val="center"/>
                </w:tcPr>
                <w:p w14:paraId="25662A73">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color="auto"/>
                      <w:lang w:val="en-US" w:eastAsia="zh-CN" w:bidi="ar-SA"/>
                    </w:rPr>
                  </w:pPr>
                  <w:r>
                    <w:rPr>
                      <w:rFonts w:hint="default" w:ascii="Times New Roman" w:hAnsi="Times New Roman" w:eastAsia="宋体" w:cs="Times New Roman"/>
                      <w:color w:val="auto"/>
                      <w:kern w:val="2"/>
                      <w:sz w:val="21"/>
                      <w:szCs w:val="24"/>
                      <w:lang w:val="en-US" w:eastAsia="zh-CN" w:bidi="ar-SA"/>
                    </w:rPr>
                    <w:t>200mg/m</w:t>
                  </w:r>
                  <w:r>
                    <w:rPr>
                      <w:rFonts w:hint="default" w:ascii="Times New Roman" w:hAnsi="Times New Roman" w:eastAsia="宋体" w:cs="Times New Roman"/>
                      <w:color w:val="auto"/>
                      <w:kern w:val="2"/>
                      <w:sz w:val="21"/>
                      <w:szCs w:val="24"/>
                      <w:vertAlign w:val="superscript"/>
                      <w:lang w:val="en-US" w:eastAsia="zh-CN" w:bidi="ar-SA"/>
                    </w:rPr>
                    <w:t>3</w:t>
                  </w:r>
                </w:p>
              </w:tc>
              <w:tc>
                <w:tcPr>
                  <w:tcW w:w="850" w:type="dxa"/>
                  <w:tcBorders>
                    <w:right w:val="single" w:color="auto" w:sz="12" w:space="0"/>
                  </w:tcBorders>
                  <w:shd w:val="clear" w:color="auto" w:fill="auto"/>
                  <w:vAlign w:val="center"/>
                </w:tcPr>
                <w:p w14:paraId="1079C3A0">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color="auto"/>
                      <w:lang w:val="en-US" w:eastAsia="zh-CN" w:bidi="ar-SA"/>
                    </w:rPr>
                  </w:pPr>
                  <w:r>
                    <w:rPr>
                      <w:rFonts w:hint="default" w:ascii="Times New Roman" w:hAnsi="Times New Roman" w:eastAsia="宋体" w:cs="Times New Roman"/>
                      <w:color w:val="auto"/>
                      <w:kern w:val="2"/>
                      <w:sz w:val="21"/>
                      <w:szCs w:val="24"/>
                      <w:u w:val="none" w:color="auto"/>
                      <w:lang w:val="en-US" w:eastAsia="zh-CN" w:bidi="ar-SA"/>
                    </w:rPr>
                    <w:t>0.740</w:t>
                  </w:r>
                </w:p>
              </w:tc>
            </w:tr>
            <w:tr w14:paraId="75950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738" w:type="dxa"/>
                  <w:tcBorders>
                    <w:left w:val="single" w:color="auto" w:sz="4" w:space="0"/>
                  </w:tcBorders>
                  <w:vAlign w:val="center"/>
                </w:tcPr>
                <w:p w14:paraId="30DF4C3F">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u w:val="none"/>
                      <w:vertAlign w:val="baseline"/>
                      <w:lang w:val="en-US" w:eastAsia="zh-CN" w:bidi="ar-SA"/>
                    </w:rPr>
                  </w:pPr>
                  <w:r>
                    <w:rPr>
                      <w:rFonts w:hint="eastAsia" w:cs="Times New Roman"/>
                      <w:b w:val="0"/>
                      <w:bCs w:val="0"/>
                      <w:color w:val="auto"/>
                      <w:kern w:val="0"/>
                      <w:sz w:val="21"/>
                      <w:szCs w:val="21"/>
                      <w:u w:val="none"/>
                      <w:vertAlign w:val="baseline"/>
                      <w:lang w:val="en-US" w:eastAsia="zh-CN" w:bidi="ar-SA"/>
                    </w:rPr>
                    <w:t>7</w:t>
                  </w:r>
                </w:p>
              </w:tc>
              <w:tc>
                <w:tcPr>
                  <w:tcW w:w="1010" w:type="dxa"/>
                  <w:vAlign w:val="center"/>
                </w:tcPr>
                <w:p w14:paraId="33E3781C">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u w:val="none"/>
                      <w:vertAlign w:val="baseline"/>
                      <w:lang w:val="en-US" w:eastAsia="zh-CN" w:bidi="ar-SA"/>
                    </w:rPr>
                  </w:pPr>
                  <w:r>
                    <w:rPr>
                      <w:rFonts w:hint="eastAsia" w:cs="Times New Roman"/>
                      <w:b w:val="0"/>
                      <w:bCs w:val="0"/>
                      <w:color w:val="auto"/>
                      <w:kern w:val="0"/>
                      <w:sz w:val="21"/>
                      <w:szCs w:val="21"/>
                      <w:u w:val="none"/>
                      <w:vertAlign w:val="baseline"/>
                      <w:lang w:val="en-US" w:eastAsia="zh-CN" w:bidi="ar-SA"/>
                    </w:rPr>
                    <w:t>DA003</w:t>
                  </w:r>
                </w:p>
              </w:tc>
              <w:tc>
                <w:tcPr>
                  <w:tcW w:w="1110" w:type="dxa"/>
                  <w:shd w:val="clear" w:color="auto" w:fill="auto"/>
                  <w:vAlign w:val="center"/>
                </w:tcPr>
                <w:p w14:paraId="36E0BB78">
                  <w:pPr>
                    <w:keepNext w:val="0"/>
                    <w:keepLines w:val="0"/>
                    <w:pageBreakBefore w:val="0"/>
                    <w:widowControl w:val="0"/>
                    <w:suppressLineNumbers w:val="0"/>
                    <w:kinsoku/>
                    <w:wordWrap/>
                    <w:overflowPunct/>
                    <w:topLinePunct w:val="0"/>
                    <w:autoSpaceDE w:val="0"/>
                    <w:autoSpaceDN w:val="0"/>
                    <w:bidi w:val="0"/>
                    <w:adjustRightInd w:val="0"/>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油烟</w:t>
                  </w:r>
                </w:p>
              </w:tc>
              <w:tc>
                <w:tcPr>
                  <w:tcW w:w="1245" w:type="dxa"/>
                  <w:shd w:val="clear" w:color="auto" w:fill="auto"/>
                  <w:vAlign w:val="center"/>
                </w:tcPr>
                <w:p w14:paraId="06B5E10F">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0.192</w:t>
                  </w:r>
                </w:p>
              </w:tc>
              <w:tc>
                <w:tcPr>
                  <w:tcW w:w="1200" w:type="dxa"/>
                  <w:shd w:val="clear" w:color="auto" w:fill="auto"/>
                  <w:vAlign w:val="center"/>
                </w:tcPr>
                <w:p w14:paraId="554342E4">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color="auto"/>
                      <w:lang w:val="en-US" w:eastAsia="zh-CN" w:bidi="ar-SA"/>
                    </w:rPr>
                  </w:pPr>
                  <w:r>
                    <w:rPr>
                      <w:rFonts w:hint="eastAsia" w:ascii="Times New Roman" w:hAnsi="Times New Roman" w:eastAsia="宋体" w:cs="Times New Roman"/>
                      <w:color w:val="auto"/>
                      <w:kern w:val="2"/>
                      <w:sz w:val="21"/>
                      <w:szCs w:val="24"/>
                      <w:u w:val="none" w:color="auto"/>
                      <w:lang w:val="en-US" w:eastAsia="zh-CN" w:bidi="ar-SA"/>
                    </w:rPr>
                    <w:t>0.0048</w:t>
                  </w:r>
                </w:p>
              </w:tc>
              <w:tc>
                <w:tcPr>
                  <w:tcW w:w="1830" w:type="dxa"/>
                  <w:shd w:val="clear" w:color="auto" w:fill="auto"/>
                  <w:vAlign w:val="center"/>
                </w:tcPr>
                <w:p w14:paraId="2F56C1C4">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lang w:val="en-US" w:eastAsia="zh-CN" w:bidi="ar-SA"/>
                    </w:rPr>
                  </w:pPr>
                  <w:r>
                    <w:rPr>
                      <w:rFonts w:hint="eastAsia" w:cs="Times New Roman"/>
                      <w:color w:val="auto"/>
                      <w:kern w:val="2"/>
                      <w:sz w:val="21"/>
                      <w:szCs w:val="24"/>
                      <w:lang w:val="en-US" w:eastAsia="zh-CN" w:bidi="ar-SA"/>
                    </w:rPr>
                    <w:t>2</w:t>
                  </w:r>
                  <w:r>
                    <w:rPr>
                      <w:rFonts w:hint="default" w:ascii="Times New Roman" w:hAnsi="Times New Roman" w:eastAsia="宋体" w:cs="Times New Roman"/>
                      <w:color w:val="auto"/>
                      <w:kern w:val="2"/>
                      <w:sz w:val="21"/>
                      <w:szCs w:val="24"/>
                      <w:lang w:val="en-US" w:eastAsia="zh-CN" w:bidi="ar-SA"/>
                    </w:rPr>
                    <w:t>mg/m</w:t>
                  </w:r>
                  <w:r>
                    <w:rPr>
                      <w:rFonts w:hint="default" w:ascii="Times New Roman" w:hAnsi="Times New Roman" w:eastAsia="宋体" w:cs="Times New Roman"/>
                      <w:color w:val="auto"/>
                      <w:kern w:val="2"/>
                      <w:sz w:val="21"/>
                      <w:szCs w:val="24"/>
                      <w:vertAlign w:val="superscript"/>
                      <w:lang w:val="en-US" w:eastAsia="zh-CN" w:bidi="ar-SA"/>
                    </w:rPr>
                    <w:t>3</w:t>
                  </w:r>
                </w:p>
              </w:tc>
              <w:tc>
                <w:tcPr>
                  <w:tcW w:w="850" w:type="dxa"/>
                  <w:tcBorders>
                    <w:right w:val="single" w:color="auto" w:sz="12" w:space="0"/>
                  </w:tcBorders>
                  <w:shd w:val="clear" w:color="auto" w:fill="auto"/>
                  <w:vAlign w:val="center"/>
                </w:tcPr>
                <w:p w14:paraId="3AD9DA9A">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0.0067</w:t>
                  </w:r>
                </w:p>
              </w:tc>
            </w:tr>
            <w:tr w14:paraId="0BCAF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748" w:type="dxa"/>
                  <w:gridSpan w:val="2"/>
                  <w:vMerge w:val="restart"/>
                  <w:tcBorders>
                    <w:left w:val="single" w:color="auto" w:sz="4" w:space="0"/>
                  </w:tcBorders>
                  <w:vAlign w:val="center"/>
                </w:tcPr>
                <w:p w14:paraId="406E3A24">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u w:val="none"/>
                      <w:vertAlign w:val="baseline"/>
                      <w:lang w:val="en-US" w:eastAsia="zh-CN" w:bidi="ar-SA"/>
                    </w:rPr>
                  </w:pPr>
                  <w:r>
                    <w:rPr>
                      <w:rFonts w:hint="default" w:ascii="Times New Roman" w:hAnsi="Times New Roman" w:eastAsia="宋体" w:cs="Times New Roman"/>
                      <w:b w:val="0"/>
                      <w:bCs w:val="0"/>
                      <w:color w:val="auto"/>
                      <w:kern w:val="0"/>
                      <w:sz w:val="21"/>
                      <w:szCs w:val="21"/>
                      <w:u w:val="none"/>
                      <w:vertAlign w:val="baseline"/>
                      <w:lang w:val="en-US" w:eastAsia="zh-CN" w:bidi="ar-SA"/>
                    </w:rPr>
                    <w:t>一般排放口合计</w:t>
                  </w:r>
                </w:p>
              </w:tc>
              <w:tc>
                <w:tcPr>
                  <w:tcW w:w="5385" w:type="dxa"/>
                  <w:gridSpan w:val="4"/>
                  <w:vAlign w:val="center"/>
                </w:tcPr>
                <w:p w14:paraId="10B03E7B">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u w:val="none"/>
                      <w:vertAlign w:val="baseline"/>
                      <w:lang w:val="en-US" w:eastAsia="zh-CN" w:bidi="ar-SA"/>
                    </w:rPr>
                  </w:pPr>
                  <w:r>
                    <w:rPr>
                      <w:rFonts w:hint="default" w:ascii="Times New Roman" w:hAnsi="Times New Roman" w:eastAsia="宋体" w:cs="Times New Roman"/>
                      <w:color w:val="auto"/>
                      <w:kern w:val="0"/>
                      <w:sz w:val="21"/>
                      <w:szCs w:val="21"/>
                      <w:lang w:val="en-US" w:eastAsia="zh-CN" w:bidi="ar-SA"/>
                    </w:rPr>
                    <w:t>颗粒物</w:t>
                  </w:r>
                </w:p>
              </w:tc>
              <w:tc>
                <w:tcPr>
                  <w:tcW w:w="850" w:type="dxa"/>
                  <w:tcBorders>
                    <w:right w:val="single" w:color="auto" w:sz="12" w:space="0"/>
                  </w:tcBorders>
                  <w:shd w:val="clear" w:color="auto" w:fill="auto"/>
                  <w:vAlign w:val="center"/>
                </w:tcPr>
                <w:p w14:paraId="73567BFE">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color="auto"/>
                      <w:lang w:val="en-US" w:eastAsia="zh-CN" w:bidi="ar-SA"/>
                    </w:rPr>
                  </w:pPr>
                  <w:r>
                    <w:rPr>
                      <w:rFonts w:hint="default" w:ascii="Times New Roman" w:hAnsi="Times New Roman" w:eastAsia="宋体" w:cs="Times New Roman"/>
                      <w:color w:val="auto"/>
                      <w:kern w:val="2"/>
                      <w:sz w:val="21"/>
                      <w:szCs w:val="24"/>
                      <w:u w:val="none" w:color="auto"/>
                      <w:lang w:val="en-US" w:eastAsia="zh-CN" w:bidi="ar-SA"/>
                    </w:rPr>
                    <w:t>0.009</w:t>
                  </w:r>
                </w:p>
              </w:tc>
            </w:tr>
            <w:tr w14:paraId="6DB86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748" w:type="dxa"/>
                  <w:gridSpan w:val="2"/>
                  <w:vMerge w:val="continue"/>
                  <w:tcBorders>
                    <w:left w:val="single" w:color="auto" w:sz="4" w:space="0"/>
                  </w:tcBorders>
                  <w:vAlign w:val="center"/>
                </w:tcPr>
                <w:p w14:paraId="6F1543D3">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u w:val="none"/>
                      <w:vertAlign w:val="baseline"/>
                      <w:lang w:val="en-US" w:eastAsia="zh-CN" w:bidi="ar-SA"/>
                    </w:rPr>
                  </w:pPr>
                </w:p>
              </w:tc>
              <w:tc>
                <w:tcPr>
                  <w:tcW w:w="5385" w:type="dxa"/>
                  <w:gridSpan w:val="4"/>
                  <w:vAlign w:val="center"/>
                </w:tcPr>
                <w:p w14:paraId="7B35D9A4">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u w:val="none"/>
                      <w:vertAlign w:val="baseline"/>
                      <w:lang w:val="en-US" w:eastAsia="zh-CN" w:bidi="ar-SA"/>
                    </w:rPr>
                  </w:pPr>
                  <w:r>
                    <w:rPr>
                      <w:rFonts w:hint="default" w:ascii="Times New Roman" w:hAnsi="Times New Roman" w:eastAsia="宋体" w:cs="Times New Roman"/>
                      <w:color w:val="auto"/>
                      <w:kern w:val="0"/>
                      <w:sz w:val="21"/>
                      <w:szCs w:val="21"/>
                      <w:lang w:val="en-US" w:eastAsia="zh-CN" w:bidi="ar-SA"/>
                    </w:rPr>
                    <w:t>二氧化硫</w:t>
                  </w:r>
                </w:p>
              </w:tc>
              <w:tc>
                <w:tcPr>
                  <w:tcW w:w="850" w:type="dxa"/>
                  <w:tcBorders>
                    <w:right w:val="single" w:color="auto" w:sz="12" w:space="0"/>
                  </w:tcBorders>
                  <w:shd w:val="clear" w:color="auto" w:fill="auto"/>
                  <w:vAlign w:val="center"/>
                </w:tcPr>
                <w:p w14:paraId="5D8CE407">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color="auto"/>
                      <w:lang w:val="en-US" w:eastAsia="zh-CN" w:bidi="ar-SA"/>
                    </w:rPr>
                  </w:pPr>
                  <w:r>
                    <w:rPr>
                      <w:rFonts w:hint="default" w:ascii="Times New Roman" w:hAnsi="Times New Roman" w:eastAsia="宋体" w:cs="Times New Roman"/>
                      <w:color w:val="auto"/>
                      <w:kern w:val="2"/>
                      <w:sz w:val="21"/>
                      <w:szCs w:val="24"/>
                      <w:u w:val="none" w:color="auto"/>
                      <w:lang w:val="en-US" w:eastAsia="zh-CN" w:bidi="ar-SA"/>
                    </w:rPr>
                    <w:t>0.937</w:t>
                  </w:r>
                </w:p>
              </w:tc>
            </w:tr>
            <w:tr w14:paraId="6A842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748" w:type="dxa"/>
                  <w:gridSpan w:val="2"/>
                  <w:vMerge w:val="continue"/>
                  <w:tcBorders>
                    <w:left w:val="single" w:color="auto" w:sz="4" w:space="0"/>
                  </w:tcBorders>
                  <w:vAlign w:val="center"/>
                </w:tcPr>
                <w:p w14:paraId="13F44CC4">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u w:val="none"/>
                      <w:vertAlign w:val="baseline"/>
                      <w:lang w:val="en-US" w:eastAsia="zh-CN" w:bidi="ar-SA"/>
                    </w:rPr>
                  </w:pPr>
                </w:p>
              </w:tc>
              <w:tc>
                <w:tcPr>
                  <w:tcW w:w="5385" w:type="dxa"/>
                  <w:gridSpan w:val="4"/>
                  <w:vAlign w:val="center"/>
                </w:tcPr>
                <w:p w14:paraId="0C5B9592">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u w:val="none"/>
                      <w:vertAlign w:val="baseline"/>
                      <w:lang w:val="en-US" w:eastAsia="zh-CN" w:bidi="ar-SA"/>
                    </w:rPr>
                  </w:pPr>
                  <w:r>
                    <w:rPr>
                      <w:rFonts w:hint="default" w:ascii="Times New Roman" w:hAnsi="Times New Roman" w:eastAsia="宋体" w:cs="Times New Roman"/>
                      <w:color w:val="auto"/>
                      <w:kern w:val="0"/>
                      <w:sz w:val="21"/>
                      <w:szCs w:val="21"/>
                      <w:lang w:val="en-US" w:eastAsia="zh-CN" w:bidi="ar-SA"/>
                    </w:rPr>
                    <w:t>氮氧化物</w:t>
                  </w:r>
                </w:p>
              </w:tc>
              <w:tc>
                <w:tcPr>
                  <w:tcW w:w="850" w:type="dxa"/>
                  <w:tcBorders>
                    <w:right w:val="single" w:color="auto" w:sz="12" w:space="0"/>
                  </w:tcBorders>
                  <w:shd w:val="clear" w:color="auto" w:fill="auto"/>
                  <w:vAlign w:val="center"/>
                </w:tcPr>
                <w:p w14:paraId="418CD83F">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color="auto"/>
                      <w:lang w:val="en-US" w:eastAsia="zh-CN" w:bidi="ar-SA"/>
                    </w:rPr>
                  </w:pPr>
                  <w:r>
                    <w:rPr>
                      <w:rFonts w:hint="default" w:ascii="Times New Roman" w:hAnsi="Times New Roman" w:eastAsia="宋体" w:cs="Times New Roman"/>
                      <w:color w:val="auto"/>
                      <w:kern w:val="2"/>
                      <w:sz w:val="21"/>
                      <w:szCs w:val="24"/>
                      <w:u w:val="none" w:color="auto"/>
                      <w:lang w:val="en-US" w:eastAsia="zh-CN" w:bidi="ar-SA"/>
                    </w:rPr>
                    <w:t>1.126</w:t>
                  </w:r>
                </w:p>
              </w:tc>
            </w:tr>
            <w:tr w14:paraId="460B6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748" w:type="dxa"/>
                  <w:gridSpan w:val="2"/>
                  <w:vMerge w:val="continue"/>
                  <w:tcBorders>
                    <w:left w:val="single" w:color="auto" w:sz="4" w:space="0"/>
                    <w:bottom w:val="single" w:color="auto" w:sz="12" w:space="0"/>
                  </w:tcBorders>
                  <w:vAlign w:val="center"/>
                </w:tcPr>
                <w:p w14:paraId="2192258F">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val="0"/>
                      <w:bCs w:val="0"/>
                      <w:color w:val="auto"/>
                      <w:kern w:val="0"/>
                      <w:sz w:val="21"/>
                      <w:szCs w:val="21"/>
                      <w:u w:val="none"/>
                      <w:vertAlign w:val="baseline"/>
                      <w:lang w:val="en-US" w:eastAsia="zh-CN" w:bidi="ar-SA"/>
                    </w:rPr>
                  </w:pPr>
                </w:p>
              </w:tc>
              <w:tc>
                <w:tcPr>
                  <w:tcW w:w="5385" w:type="dxa"/>
                  <w:gridSpan w:val="4"/>
                  <w:tcBorders>
                    <w:bottom w:val="single" w:color="auto" w:sz="12" w:space="0"/>
                  </w:tcBorders>
                  <w:vAlign w:val="center"/>
                </w:tcPr>
                <w:p w14:paraId="43FF3162">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eastAsia" w:cs="Times New Roman"/>
                      <w:color w:val="auto"/>
                      <w:kern w:val="0"/>
                      <w:sz w:val="21"/>
                      <w:szCs w:val="21"/>
                      <w:lang w:val="en-US" w:eastAsia="zh-CN" w:bidi="ar-SA"/>
                    </w:rPr>
                    <w:t>油烟</w:t>
                  </w:r>
                </w:p>
              </w:tc>
              <w:tc>
                <w:tcPr>
                  <w:tcW w:w="850" w:type="dxa"/>
                  <w:tcBorders>
                    <w:bottom w:val="single" w:color="auto" w:sz="12" w:space="0"/>
                    <w:right w:val="single" w:color="auto" w:sz="12" w:space="0"/>
                  </w:tcBorders>
                  <w:shd w:val="clear" w:color="auto" w:fill="auto"/>
                  <w:vAlign w:val="center"/>
                </w:tcPr>
                <w:p w14:paraId="2DECE7B1">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0.0067</w:t>
                  </w:r>
                </w:p>
              </w:tc>
            </w:tr>
          </w:tbl>
          <w:p w14:paraId="576B482A">
            <w:pPr>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Lines="0" w:afterAutospacing="0" w:line="360" w:lineRule="auto"/>
              <w:ind w:left="0" w:right="0" w:firstLine="422" w:firstLineChars="200"/>
              <w:jc w:val="center"/>
              <w:textAlignment w:val="auto"/>
              <w:rPr>
                <w:rFonts w:hint="default" w:ascii="Times New Roman" w:hAnsi="Times New Roman" w:eastAsia="宋体" w:cs="Times New Roman"/>
                <w:b/>
                <w:bCs/>
                <w:color w:val="auto"/>
                <w:kern w:val="0"/>
                <w:sz w:val="21"/>
                <w:szCs w:val="21"/>
                <w:u w:val="none"/>
                <w:lang w:val="en-US" w:eastAsia="zh-CN" w:bidi="ar-SA"/>
              </w:rPr>
            </w:pPr>
            <w:r>
              <w:rPr>
                <w:rFonts w:hint="default" w:ascii="Times New Roman" w:hAnsi="Times New Roman" w:eastAsia="宋体" w:cs="Times New Roman"/>
                <w:b/>
                <w:bCs/>
                <w:color w:val="auto"/>
                <w:kern w:val="0"/>
                <w:sz w:val="21"/>
                <w:szCs w:val="21"/>
                <w:u w:val="none"/>
                <w:lang w:val="en-US" w:eastAsia="zh-CN" w:bidi="ar-SA"/>
              </w:rPr>
              <w:t>表 4-8 大气污染物无组织排放量核算表</w:t>
            </w:r>
          </w:p>
          <w:tbl>
            <w:tblPr>
              <w:tblStyle w:val="43"/>
              <w:tblW w:w="80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7"/>
              <w:gridCol w:w="1207"/>
              <w:gridCol w:w="945"/>
              <w:gridCol w:w="1170"/>
              <w:gridCol w:w="1875"/>
              <w:gridCol w:w="1395"/>
              <w:gridCol w:w="885"/>
            </w:tblGrid>
            <w:tr w14:paraId="165F9D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527" w:type="dxa"/>
                  <w:vMerge w:val="restart"/>
                  <w:tcBorders>
                    <w:top w:val="single" w:color="auto" w:sz="12" w:space="0"/>
                  </w:tcBorders>
                  <w:vAlign w:val="center"/>
                </w:tcPr>
                <w:p w14:paraId="005E0FD2">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bidi="ar-SA"/>
                    </w:rPr>
                  </w:pPr>
                  <w:r>
                    <w:rPr>
                      <w:rFonts w:hint="default" w:ascii="Times New Roman" w:hAnsi="Times New Roman" w:eastAsia="宋体" w:cs="Times New Roman"/>
                      <w:color w:val="auto"/>
                      <w:kern w:val="0"/>
                      <w:sz w:val="21"/>
                      <w:szCs w:val="21"/>
                      <w:u w:val="none"/>
                      <w:vertAlign w:val="baseline"/>
                      <w:lang w:val="en-US" w:eastAsia="zh-CN" w:bidi="ar-SA"/>
                    </w:rPr>
                    <w:t>序号</w:t>
                  </w:r>
                </w:p>
              </w:tc>
              <w:tc>
                <w:tcPr>
                  <w:tcW w:w="1207" w:type="dxa"/>
                  <w:vMerge w:val="restart"/>
                  <w:tcBorders>
                    <w:top w:val="single" w:color="auto" w:sz="12" w:space="0"/>
                  </w:tcBorders>
                  <w:vAlign w:val="center"/>
                </w:tcPr>
                <w:p w14:paraId="7D6605F9">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bidi="ar-SA"/>
                    </w:rPr>
                  </w:pPr>
                  <w:r>
                    <w:rPr>
                      <w:rFonts w:hint="default" w:ascii="Times New Roman" w:hAnsi="Times New Roman" w:eastAsia="宋体" w:cs="Times New Roman"/>
                      <w:color w:val="auto"/>
                      <w:kern w:val="0"/>
                      <w:sz w:val="21"/>
                      <w:szCs w:val="21"/>
                      <w:u w:val="none"/>
                      <w:vertAlign w:val="baseline"/>
                      <w:lang w:val="en-US" w:eastAsia="zh-CN" w:bidi="ar-SA"/>
                    </w:rPr>
                    <w:t>产污环节</w:t>
                  </w:r>
                </w:p>
              </w:tc>
              <w:tc>
                <w:tcPr>
                  <w:tcW w:w="945" w:type="dxa"/>
                  <w:vMerge w:val="restart"/>
                  <w:tcBorders>
                    <w:top w:val="single" w:color="auto" w:sz="12" w:space="0"/>
                  </w:tcBorders>
                  <w:vAlign w:val="center"/>
                </w:tcPr>
                <w:p w14:paraId="19EC7A62">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bidi="ar-SA"/>
                    </w:rPr>
                  </w:pPr>
                  <w:r>
                    <w:rPr>
                      <w:rFonts w:hint="default" w:ascii="Times New Roman" w:hAnsi="Times New Roman" w:eastAsia="宋体" w:cs="Times New Roman"/>
                      <w:color w:val="auto"/>
                      <w:kern w:val="0"/>
                      <w:sz w:val="21"/>
                      <w:szCs w:val="21"/>
                      <w:u w:val="none"/>
                      <w:vertAlign w:val="baseline"/>
                      <w:lang w:val="en-US" w:eastAsia="zh-CN" w:bidi="ar-SA"/>
                    </w:rPr>
                    <w:t>污染物</w:t>
                  </w:r>
                </w:p>
              </w:tc>
              <w:tc>
                <w:tcPr>
                  <w:tcW w:w="1170" w:type="dxa"/>
                  <w:vMerge w:val="restart"/>
                  <w:tcBorders>
                    <w:top w:val="single" w:color="auto" w:sz="12" w:space="0"/>
                  </w:tcBorders>
                  <w:vAlign w:val="center"/>
                </w:tcPr>
                <w:p w14:paraId="26EFF75A">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bidi="ar-SA"/>
                    </w:rPr>
                  </w:pPr>
                  <w:r>
                    <w:rPr>
                      <w:rFonts w:hint="default" w:ascii="Times New Roman" w:hAnsi="Times New Roman" w:eastAsia="宋体" w:cs="Times New Roman"/>
                      <w:color w:val="auto"/>
                      <w:kern w:val="0"/>
                      <w:sz w:val="21"/>
                      <w:szCs w:val="21"/>
                      <w:u w:val="none"/>
                      <w:vertAlign w:val="baseline"/>
                      <w:lang w:val="en-US" w:eastAsia="zh-CN" w:bidi="ar-SA"/>
                    </w:rPr>
                    <w:t>主要污染防治措施</w:t>
                  </w:r>
                </w:p>
              </w:tc>
              <w:tc>
                <w:tcPr>
                  <w:tcW w:w="3270" w:type="dxa"/>
                  <w:gridSpan w:val="2"/>
                  <w:tcBorders>
                    <w:top w:val="single" w:color="auto" w:sz="12" w:space="0"/>
                    <w:bottom w:val="single" w:color="auto" w:sz="4" w:space="0"/>
                  </w:tcBorders>
                  <w:vAlign w:val="center"/>
                </w:tcPr>
                <w:p w14:paraId="008AB3D7">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bidi="ar-SA"/>
                    </w:rPr>
                  </w:pPr>
                  <w:r>
                    <w:rPr>
                      <w:rFonts w:hint="default" w:ascii="Times New Roman" w:hAnsi="Times New Roman" w:eastAsia="宋体" w:cs="Times New Roman"/>
                      <w:color w:val="auto"/>
                      <w:kern w:val="0"/>
                      <w:sz w:val="21"/>
                      <w:szCs w:val="21"/>
                      <w:u w:val="none"/>
                      <w:vertAlign w:val="baseline"/>
                      <w:lang w:val="en-US" w:eastAsia="zh-CN" w:bidi="ar-SA"/>
                    </w:rPr>
                    <w:t>国家或地方污染物排放标准</w:t>
                  </w:r>
                </w:p>
              </w:tc>
              <w:tc>
                <w:tcPr>
                  <w:tcW w:w="885" w:type="dxa"/>
                  <w:vMerge w:val="restart"/>
                  <w:tcBorders>
                    <w:top w:val="single" w:color="auto" w:sz="12" w:space="0"/>
                    <w:right w:val="single" w:color="auto" w:sz="12" w:space="0"/>
                  </w:tcBorders>
                  <w:vAlign w:val="center"/>
                </w:tcPr>
                <w:p w14:paraId="14FF3BBB">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bidi="ar-SA"/>
                    </w:rPr>
                  </w:pPr>
                  <w:r>
                    <w:rPr>
                      <w:rFonts w:hint="default" w:ascii="Times New Roman" w:hAnsi="Times New Roman" w:eastAsia="宋体" w:cs="Times New Roman"/>
                      <w:color w:val="auto"/>
                      <w:kern w:val="0"/>
                      <w:sz w:val="21"/>
                      <w:szCs w:val="21"/>
                      <w:u w:val="none"/>
                      <w:vertAlign w:val="baseline"/>
                      <w:lang w:val="en-US" w:eastAsia="zh-CN" w:bidi="ar-SA"/>
                    </w:rPr>
                    <w:t>年排放量（t/a）</w:t>
                  </w:r>
                </w:p>
              </w:tc>
            </w:tr>
            <w:tr w14:paraId="48A1D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527" w:type="dxa"/>
                  <w:vMerge w:val="continue"/>
                  <w:tcBorders>
                    <w:left w:val="single" w:color="auto" w:sz="4" w:space="0"/>
                    <w:bottom w:val="single" w:color="auto" w:sz="4" w:space="0"/>
                  </w:tcBorders>
                  <w:vAlign w:val="center"/>
                </w:tcPr>
                <w:p w14:paraId="33327B8F">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bidi="ar-SA"/>
                    </w:rPr>
                  </w:pPr>
                </w:p>
              </w:tc>
              <w:tc>
                <w:tcPr>
                  <w:tcW w:w="1207" w:type="dxa"/>
                  <w:vMerge w:val="continue"/>
                  <w:tcBorders>
                    <w:bottom w:val="single" w:color="auto" w:sz="4" w:space="0"/>
                  </w:tcBorders>
                  <w:vAlign w:val="center"/>
                </w:tcPr>
                <w:p w14:paraId="7AD283CD">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bidi="ar-SA"/>
                    </w:rPr>
                  </w:pPr>
                </w:p>
              </w:tc>
              <w:tc>
                <w:tcPr>
                  <w:tcW w:w="945" w:type="dxa"/>
                  <w:vMerge w:val="continue"/>
                  <w:tcBorders>
                    <w:bottom w:val="single" w:color="auto" w:sz="4" w:space="0"/>
                  </w:tcBorders>
                  <w:vAlign w:val="center"/>
                </w:tcPr>
                <w:p w14:paraId="0931271C">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bidi="ar-SA"/>
                    </w:rPr>
                  </w:pPr>
                </w:p>
              </w:tc>
              <w:tc>
                <w:tcPr>
                  <w:tcW w:w="1170" w:type="dxa"/>
                  <w:vMerge w:val="continue"/>
                  <w:tcBorders>
                    <w:bottom w:val="single" w:color="auto" w:sz="4" w:space="0"/>
                  </w:tcBorders>
                  <w:vAlign w:val="center"/>
                </w:tcPr>
                <w:p w14:paraId="0674D2DF">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bidi="ar-SA"/>
                    </w:rPr>
                  </w:pPr>
                </w:p>
              </w:tc>
              <w:tc>
                <w:tcPr>
                  <w:tcW w:w="1875" w:type="dxa"/>
                  <w:tcBorders>
                    <w:top w:val="single" w:color="auto" w:sz="4" w:space="0"/>
                    <w:bottom w:val="single" w:color="auto" w:sz="4" w:space="0"/>
                  </w:tcBorders>
                  <w:shd w:val="clear" w:color="auto" w:fill="auto"/>
                  <w:vAlign w:val="center"/>
                </w:tcPr>
                <w:p w14:paraId="6507CD9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标准名称</w:t>
                  </w:r>
                </w:p>
              </w:tc>
              <w:tc>
                <w:tcPr>
                  <w:tcW w:w="1395" w:type="dxa"/>
                  <w:tcBorders>
                    <w:top w:val="single" w:color="auto" w:sz="4" w:space="0"/>
                    <w:bottom w:val="single" w:color="auto" w:sz="4" w:space="0"/>
                  </w:tcBorders>
                  <w:shd w:val="clear" w:color="auto" w:fill="auto"/>
                  <w:vAlign w:val="center"/>
                </w:tcPr>
                <w:p w14:paraId="38EFA158">
                  <w:pPr>
                    <w:keepNext w:val="0"/>
                    <w:keepLines w:val="0"/>
                    <w:pageBreakBefore w:val="0"/>
                    <w:widowControl w:val="0"/>
                    <w:suppressLineNumbers w:val="0"/>
                    <w:kinsoku/>
                    <w:wordWrap/>
                    <w:overflowPunct/>
                    <w:topLinePunct w:val="0"/>
                    <w:bidi w:val="0"/>
                    <w:adjustRightInd w:val="0"/>
                    <w:snapToGrid w:val="0"/>
                    <w:spacing w:before="0" w:beforeAutospacing="0" w:after="0" w:afterAutospacing="0" w:line="240" w:lineRule="auto"/>
                    <w:ind w:left="0" w:right="0" w:rightChars="0" w:firstLine="0" w:firstLineChars="0"/>
                    <w:jc w:val="center"/>
                    <w:textAlignment w:val="auto"/>
                    <w:rPr>
                      <w:rFonts w:hint="default" w:ascii="Times New Roman" w:hAnsi="Times New Roman" w:eastAsia="宋体" w:cs="Times New Roman"/>
                      <w:color w:val="auto"/>
                      <w:kern w:val="0"/>
                      <w:sz w:val="21"/>
                      <w:szCs w:val="21"/>
                      <w:lang w:val="en-US" w:eastAsia="zh-CN" w:bidi="ar-SA"/>
                    </w:rPr>
                  </w:pPr>
                  <w:r>
                    <w:rPr>
                      <w:rFonts w:hint="default" w:ascii="Times New Roman" w:hAnsi="Times New Roman" w:eastAsia="宋体" w:cs="Times New Roman"/>
                      <w:color w:val="auto"/>
                      <w:kern w:val="0"/>
                      <w:sz w:val="21"/>
                      <w:szCs w:val="21"/>
                      <w:lang w:val="en-US" w:eastAsia="zh-CN" w:bidi="ar-SA"/>
                    </w:rPr>
                    <w:t>浓度限值（μg/m</w:t>
                  </w:r>
                  <w:r>
                    <w:rPr>
                      <w:rFonts w:hint="default" w:ascii="Times New Roman" w:hAnsi="Times New Roman" w:eastAsia="宋体" w:cs="Times New Roman"/>
                      <w:color w:val="auto"/>
                      <w:kern w:val="0"/>
                      <w:sz w:val="21"/>
                      <w:szCs w:val="21"/>
                      <w:vertAlign w:val="superscript"/>
                      <w:lang w:val="en-US" w:eastAsia="zh-CN" w:bidi="ar-SA"/>
                    </w:rPr>
                    <w:t>3</w:t>
                  </w:r>
                  <w:r>
                    <w:rPr>
                      <w:rFonts w:hint="default" w:ascii="Times New Roman" w:hAnsi="Times New Roman" w:eastAsia="宋体" w:cs="Times New Roman"/>
                      <w:color w:val="auto"/>
                      <w:kern w:val="0"/>
                      <w:sz w:val="21"/>
                      <w:szCs w:val="21"/>
                      <w:lang w:val="en-US" w:eastAsia="zh-CN" w:bidi="ar-SA"/>
                    </w:rPr>
                    <w:t>）</w:t>
                  </w:r>
                </w:p>
              </w:tc>
              <w:tc>
                <w:tcPr>
                  <w:tcW w:w="885" w:type="dxa"/>
                  <w:vMerge w:val="continue"/>
                  <w:tcBorders>
                    <w:bottom w:val="single" w:color="auto" w:sz="4" w:space="0"/>
                    <w:right w:val="single" w:color="auto" w:sz="12" w:space="0"/>
                  </w:tcBorders>
                  <w:vAlign w:val="center"/>
                </w:tcPr>
                <w:p w14:paraId="0ECE15BA">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bidi="ar-SA"/>
                    </w:rPr>
                  </w:pPr>
                </w:p>
              </w:tc>
            </w:tr>
            <w:tr w14:paraId="0F961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527" w:type="dxa"/>
                  <w:tcBorders>
                    <w:top w:val="single" w:color="auto" w:sz="4" w:space="0"/>
                    <w:left w:val="single" w:color="auto" w:sz="4" w:space="0"/>
                    <w:bottom w:val="single" w:color="auto" w:sz="4" w:space="0"/>
                  </w:tcBorders>
                  <w:vAlign w:val="center"/>
                </w:tcPr>
                <w:p w14:paraId="5F61768D">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bidi="ar-SA"/>
                    </w:rPr>
                  </w:pPr>
                  <w:r>
                    <w:rPr>
                      <w:rFonts w:hint="default" w:ascii="Times New Roman" w:hAnsi="Times New Roman" w:eastAsia="宋体" w:cs="Times New Roman"/>
                      <w:color w:val="auto"/>
                      <w:kern w:val="0"/>
                      <w:sz w:val="21"/>
                      <w:szCs w:val="21"/>
                      <w:u w:val="none"/>
                      <w:vertAlign w:val="baseline"/>
                      <w:lang w:val="en-US" w:eastAsia="zh-CN" w:bidi="ar-SA"/>
                    </w:rPr>
                    <w:t>1</w:t>
                  </w:r>
                </w:p>
              </w:tc>
              <w:tc>
                <w:tcPr>
                  <w:tcW w:w="1207" w:type="dxa"/>
                  <w:tcBorders>
                    <w:top w:val="single" w:color="auto" w:sz="4" w:space="0"/>
                    <w:bottom w:val="single" w:color="auto" w:sz="4" w:space="0"/>
                  </w:tcBorders>
                  <w:vAlign w:val="center"/>
                </w:tcPr>
                <w:p w14:paraId="42FA09E2">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bidi="ar-SA"/>
                    </w:rPr>
                  </w:pPr>
                  <w:r>
                    <w:rPr>
                      <w:rFonts w:hint="default" w:ascii="Times New Roman" w:hAnsi="Times New Roman" w:eastAsia="宋体" w:cs="Times New Roman"/>
                      <w:color w:val="auto"/>
                      <w:kern w:val="0"/>
                      <w:sz w:val="21"/>
                      <w:szCs w:val="21"/>
                      <w:u w:val="none"/>
                      <w:vertAlign w:val="baseline"/>
                      <w:lang w:val="en-US" w:eastAsia="zh-CN" w:bidi="ar-SA"/>
                    </w:rPr>
                    <w:t>投料粉尘</w:t>
                  </w:r>
                </w:p>
              </w:tc>
              <w:tc>
                <w:tcPr>
                  <w:tcW w:w="945" w:type="dxa"/>
                  <w:tcBorders>
                    <w:top w:val="single" w:color="auto" w:sz="4" w:space="0"/>
                    <w:bottom w:val="single" w:color="auto" w:sz="4" w:space="0"/>
                  </w:tcBorders>
                  <w:vAlign w:val="center"/>
                </w:tcPr>
                <w:p w14:paraId="0EBDA8EA">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bidi="ar-SA"/>
                    </w:rPr>
                  </w:pPr>
                  <w:r>
                    <w:rPr>
                      <w:rFonts w:hint="default" w:ascii="Times New Roman" w:hAnsi="Times New Roman" w:eastAsia="宋体" w:cs="Times New Roman"/>
                      <w:color w:val="auto"/>
                      <w:kern w:val="0"/>
                      <w:sz w:val="21"/>
                      <w:szCs w:val="21"/>
                      <w:u w:val="none"/>
                      <w:vertAlign w:val="baseline"/>
                      <w:lang w:val="en-US" w:eastAsia="zh-CN" w:bidi="ar-SA"/>
                    </w:rPr>
                    <w:t>颗粒物</w:t>
                  </w:r>
                </w:p>
              </w:tc>
              <w:tc>
                <w:tcPr>
                  <w:tcW w:w="1170" w:type="dxa"/>
                  <w:tcBorders>
                    <w:top w:val="single" w:color="auto" w:sz="4" w:space="0"/>
                    <w:bottom w:val="single" w:color="auto" w:sz="4" w:space="0"/>
                  </w:tcBorders>
                  <w:vAlign w:val="center"/>
                </w:tcPr>
                <w:p w14:paraId="31C57097">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bidi="ar-SA"/>
                    </w:rPr>
                  </w:pPr>
                  <w:r>
                    <w:rPr>
                      <w:rFonts w:hint="default" w:ascii="Times New Roman" w:hAnsi="Times New Roman" w:eastAsia="宋体" w:cs="Times New Roman"/>
                      <w:color w:val="auto"/>
                      <w:kern w:val="0"/>
                      <w:sz w:val="21"/>
                      <w:szCs w:val="20"/>
                      <w:lang w:val="en-US" w:eastAsia="zh-CN" w:bidi="ar-SA"/>
                    </w:rPr>
                    <w:t>加强管理、车间通风设施</w:t>
                  </w:r>
                </w:p>
              </w:tc>
              <w:tc>
                <w:tcPr>
                  <w:tcW w:w="1875" w:type="dxa"/>
                  <w:tcBorders>
                    <w:top w:val="single" w:color="auto" w:sz="4" w:space="0"/>
                    <w:bottom w:val="single" w:color="auto" w:sz="4" w:space="0"/>
                  </w:tcBorders>
                  <w:vAlign w:val="center"/>
                </w:tcPr>
                <w:p w14:paraId="69C461B7">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bidi="ar-SA"/>
                    </w:rPr>
                  </w:pPr>
                  <w:r>
                    <w:rPr>
                      <w:rFonts w:hint="default" w:ascii="Times New Roman" w:hAnsi="Times New Roman" w:eastAsia="宋体" w:cs="Times New Roman"/>
                      <w:color w:val="auto"/>
                      <w:kern w:val="0"/>
                      <w:sz w:val="21"/>
                      <w:szCs w:val="21"/>
                      <w:u w:val="none"/>
                      <w:vertAlign w:val="baseline"/>
                      <w:lang w:val="en-US" w:eastAsia="zh-CN" w:bidi="ar-SA"/>
                    </w:rPr>
                    <w:t>《大气污染物综合排放标准》（GB16297-1996）中表2的无组织排放标准浓度限值</w:t>
                  </w:r>
                </w:p>
              </w:tc>
              <w:tc>
                <w:tcPr>
                  <w:tcW w:w="1395" w:type="dxa"/>
                  <w:tcBorders>
                    <w:top w:val="single" w:color="auto" w:sz="4" w:space="0"/>
                    <w:bottom w:val="single" w:color="auto" w:sz="4" w:space="0"/>
                  </w:tcBorders>
                  <w:vAlign w:val="center"/>
                </w:tcPr>
                <w:p w14:paraId="39D6409F">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bidi="ar-SA"/>
                    </w:rPr>
                  </w:pPr>
                  <w:r>
                    <w:rPr>
                      <w:rFonts w:hint="default" w:ascii="Times New Roman" w:hAnsi="Times New Roman" w:eastAsia="宋体" w:cs="Times New Roman"/>
                      <w:color w:val="auto"/>
                      <w:kern w:val="0"/>
                      <w:sz w:val="21"/>
                      <w:szCs w:val="21"/>
                      <w:u w:val="none"/>
                      <w:vertAlign w:val="baseline"/>
                      <w:lang w:val="en-US" w:eastAsia="zh-CN" w:bidi="ar-SA"/>
                    </w:rPr>
                    <w:t>1000</w:t>
                  </w:r>
                </w:p>
              </w:tc>
              <w:tc>
                <w:tcPr>
                  <w:tcW w:w="885" w:type="dxa"/>
                  <w:tcBorders>
                    <w:top w:val="single" w:color="auto" w:sz="4" w:space="0"/>
                    <w:bottom w:val="single" w:color="auto" w:sz="4" w:space="0"/>
                    <w:right w:val="single" w:color="auto" w:sz="12" w:space="0"/>
                  </w:tcBorders>
                  <w:vAlign w:val="center"/>
                </w:tcPr>
                <w:p w14:paraId="2B60F715">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bidi="ar-SA"/>
                    </w:rPr>
                  </w:pPr>
                  <w:r>
                    <w:rPr>
                      <w:rFonts w:hint="default" w:ascii="Times New Roman" w:hAnsi="Times New Roman" w:eastAsia="宋体" w:cs="Times New Roman"/>
                      <w:color w:val="auto"/>
                      <w:kern w:val="0"/>
                      <w:sz w:val="21"/>
                      <w:szCs w:val="21"/>
                      <w:u w:val="none"/>
                      <w:vertAlign w:val="baseline"/>
                      <w:lang w:val="en-US" w:eastAsia="zh-CN" w:bidi="ar-SA"/>
                    </w:rPr>
                    <w:t>0.034</w:t>
                  </w:r>
                </w:p>
              </w:tc>
            </w:tr>
            <w:tr w14:paraId="32AE0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527" w:type="dxa"/>
                  <w:tcBorders>
                    <w:top w:val="single" w:color="auto" w:sz="4" w:space="0"/>
                    <w:left w:val="single" w:color="auto" w:sz="4" w:space="0"/>
                    <w:bottom w:val="single" w:color="auto" w:sz="4" w:space="0"/>
                  </w:tcBorders>
                  <w:shd w:val="clear" w:color="auto" w:fill="auto"/>
                  <w:vAlign w:val="center"/>
                </w:tcPr>
                <w:p w14:paraId="67F3F2CA">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bidi="ar-SA"/>
                    </w:rPr>
                  </w:pPr>
                  <w:r>
                    <w:rPr>
                      <w:rFonts w:hint="default" w:ascii="Times New Roman" w:hAnsi="Times New Roman" w:eastAsia="宋体" w:cs="Times New Roman"/>
                      <w:color w:val="auto"/>
                      <w:kern w:val="0"/>
                      <w:sz w:val="21"/>
                      <w:szCs w:val="21"/>
                      <w:u w:val="none"/>
                      <w:vertAlign w:val="baseline"/>
                      <w:lang w:val="en-US" w:eastAsia="zh-CN" w:bidi="ar-SA"/>
                    </w:rPr>
                    <w:t>2</w:t>
                  </w:r>
                </w:p>
              </w:tc>
              <w:tc>
                <w:tcPr>
                  <w:tcW w:w="1207" w:type="dxa"/>
                  <w:tcBorders>
                    <w:top w:val="single" w:color="auto" w:sz="4" w:space="0"/>
                    <w:bottom w:val="single" w:color="auto" w:sz="4" w:space="0"/>
                  </w:tcBorders>
                  <w:vAlign w:val="center"/>
                </w:tcPr>
                <w:p w14:paraId="55B6DD9B">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bidi="ar-SA"/>
                    </w:rPr>
                  </w:pPr>
                  <w:r>
                    <w:rPr>
                      <w:rFonts w:hint="default" w:ascii="Times New Roman" w:hAnsi="Times New Roman" w:eastAsia="宋体" w:cs="Times New Roman"/>
                      <w:color w:val="auto"/>
                      <w:kern w:val="0"/>
                      <w:sz w:val="21"/>
                      <w:szCs w:val="21"/>
                      <w:u w:val="none"/>
                      <w:vertAlign w:val="baseline"/>
                      <w:lang w:val="en-US" w:eastAsia="zh-CN" w:bidi="ar-SA"/>
                    </w:rPr>
                    <w:t>油炸</w:t>
                  </w:r>
                </w:p>
              </w:tc>
              <w:tc>
                <w:tcPr>
                  <w:tcW w:w="945" w:type="dxa"/>
                  <w:tcBorders>
                    <w:top w:val="single" w:color="auto" w:sz="4" w:space="0"/>
                    <w:bottom w:val="single" w:color="auto" w:sz="4" w:space="0"/>
                  </w:tcBorders>
                  <w:vAlign w:val="center"/>
                </w:tcPr>
                <w:p w14:paraId="36F1E42D">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bidi="ar-SA"/>
                    </w:rPr>
                  </w:pPr>
                  <w:r>
                    <w:rPr>
                      <w:rFonts w:hint="default" w:ascii="Times New Roman" w:hAnsi="Times New Roman" w:eastAsia="宋体" w:cs="Times New Roman"/>
                      <w:color w:val="auto"/>
                      <w:kern w:val="0"/>
                      <w:sz w:val="21"/>
                      <w:szCs w:val="21"/>
                      <w:u w:val="none"/>
                      <w:vertAlign w:val="baseline"/>
                      <w:lang w:val="en-US" w:eastAsia="zh-CN" w:bidi="ar-SA"/>
                    </w:rPr>
                    <w:t>油烟</w:t>
                  </w:r>
                </w:p>
              </w:tc>
              <w:tc>
                <w:tcPr>
                  <w:tcW w:w="1170" w:type="dxa"/>
                  <w:tcBorders>
                    <w:top w:val="single" w:color="auto" w:sz="4" w:space="0"/>
                    <w:bottom w:val="single" w:color="auto" w:sz="4" w:space="0"/>
                  </w:tcBorders>
                  <w:vAlign w:val="center"/>
                </w:tcPr>
                <w:p w14:paraId="1DEBF5A6">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车间通风</w:t>
                  </w:r>
                </w:p>
              </w:tc>
              <w:tc>
                <w:tcPr>
                  <w:tcW w:w="1875" w:type="dxa"/>
                  <w:tcBorders>
                    <w:top w:val="single" w:color="auto" w:sz="4" w:space="0"/>
                    <w:bottom w:val="single" w:color="auto" w:sz="4" w:space="0"/>
                  </w:tcBorders>
                  <w:vAlign w:val="center"/>
                </w:tcPr>
                <w:p w14:paraId="0E3DDB63">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bidi="ar-SA"/>
                    </w:rPr>
                  </w:pPr>
                  <w:r>
                    <w:rPr>
                      <w:rFonts w:hint="default" w:ascii="Times New Roman" w:hAnsi="Times New Roman" w:eastAsia="宋体" w:cs="Times New Roman"/>
                      <w:color w:val="auto"/>
                      <w:kern w:val="0"/>
                      <w:sz w:val="21"/>
                      <w:szCs w:val="21"/>
                      <w:u w:val="none"/>
                      <w:vertAlign w:val="baseline"/>
                      <w:lang w:val="en-US" w:eastAsia="zh-CN" w:bidi="ar-SA"/>
                    </w:rPr>
                    <w:t>/</w:t>
                  </w:r>
                </w:p>
              </w:tc>
              <w:tc>
                <w:tcPr>
                  <w:tcW w:w="1395" w:type="dxa"/>
                  <w:tcBorders>
                    <w:top w:val="single" w:color="auto" w:sz="4" w:space="0"/>
                    <w:bottom w:val="single" w:color="auto" w:sz="4" w:space="0"/>
                  </w:tcBorders>
                  <w:shd w:val="clear" w:color="auto" w:fill="auto"/>
                  <w:vAlign w:val="center"/>
                </w:tcPr>
                <w:p w14:paraId="6390D0C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eastAsia" w:cs="Times New Roman"/>
                      <w:color w:val="auto"/>
                      <w:kern w:val="2"/>
                      <w:sz w:val="21"/>
                      <w:szCs w:val="21"/>
                      <w:highlight w:val="none"/>
                      <w:u w:val="none" w:color="auto"/>
                      <w:vertAlign w:val="baseline"/>
                      <w:lang w:val="en-US" w:eastAsia="zh-CN" w:bidi="ar-SA"/>
                    </w:rPr>
                    <w:t>/</w:t>
                  </w:r>
                </w:p>
              </w:tc>
              <w:tc>
                <w:tcPr>
                  <w:tcW w:w="885" w:type="dxa"/>
                  <w:tcBorders>
                    <w:top w:val="single" w:color="auto" w:sz="4" w:space="0"/>
                    <w:bottom w:val="single" w:color="auto" w:sz="4" w:space="0"/>
                    <w:right w:val="single" w:color="auto" w:sz="12" w:space="0"/>
                  </w:tcBorders>
                  <w:shd w:val="clear" w:color="auto" w:fill="auto"/>
                  <w:vAlign w:val="center"/>
                </w:tcPr>
                <w:p w14:paraId="1FBB755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eastAsia" w:cs="Times New Roman"/>
                      <w:color w:val="auto"/>
                      <w:kern w:val="2"/>
                      <w:sz w:val="21"/>
                      <w:szCs w:val="21"/>
                      <w:highlight w:val="none"/>
                      <w:u w:val="none" w:color="auto"/>
                      <w:vertAlign w:val="baseline"/>
                      <w:lang w:val="en-US" w:eastAsia="zh-CN" w:bidi="ar-SA"/>
                    </w:rPr>
                    <w:t>0.067</w:t>
                  </w:r>
                </w:p>
              </w:tc>
            </w:tr>
            <w:tr w14:paraId="696BF0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527" w:type="dxa"/>
                  <w:tcBorders>
                    <w:top w:val="single" w:color="auto" w:sz="4" w:space="0"/>
                    <w:left w:val="single" w:color="auto" w:sz="4" w:space="0"/>
                    <w:bottom w:val="single" w:color="auto" w:sz="4" w:space="0"/>
                  </w:tcBorders>
                  <w:shd w:val="clear" w:color="auto" w:fill="auto"/>
                  <w:vAlign w:val="center"/>
                </w:tcPr>
                <w:p w14:paraId="6D1B6BD8">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bidi="ar-SA"/>
                    </w:rPr>
                  </w:pPr>
                  <w:r>
                    <w:rPr>
                      <w:rFonts w:hint="default" w:ascii="Times New Roman" w:hAnsi="Times New Roman" w:eastAsia="宋体" w:cs="Times New Roman"/>
                      <w:color w:val="auto"/>
                      <w:kern w:val="0"/>
                      <w:sz w:val="21"/>
                      <w:szCs w:val="21"/>
                      <w:u w:val="none"/>
                      <w:vertAlign w:val="baseline"/>
                      <w:lang w:val="en-US" w:eastAsia="zh-CN" w:bidi="ar-SA"/>
                    </w:rPr>
                    <w:t>3</w:t>
                  </w:r>
                </w:p>
              </w:tc>
              <w:tc>
                <w:tcPr>
                  <w:tcW w:w="1207" w:type="dxa"/>
                  <w:vMerge w:val="restart"/>
                  <w:tcBorders>
                    <w:top w:val="single" w:color="auto" w:sz="4" w:space="0"/>
                  </w:tcBorders>
                  <w:vAlign w:val="center"/>
                </w:tcPr>
                <w:p w14:paraId="18A1BE37">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bidi="ar-SA"/>
                    </w:rPr>
                  </w:pPr>
                  <w:r>
                    <w:rPr>
                      <w:rFonts w:hint="default" w:ascii="Times New Roman" w:hAnsi="Times New Roman" w:eastAsia="宋体" w:cs="Times New Roman"/>
                      <w:color w:val="auto"/>
                      <w:kern w:val="0"/>
                      <w:sz w:val="21"/>
                      <w:szCs w:val="21"/>
                      <w:u w:val="none"/>
                      <w:vertAlign w:val="baseline"/>
                      <w:lang w:val="en-US" w:eastAsia="zh-CN" w:bidi="ar-SA"/>
                    </w:rPr>
                    <w:t>污水处理系统恶臭</w:t>
                  </w:r>
                </w:p>
              </w:tc>
              <w:tc>
                <w:tcPr>
                  <w:tcW w:w="945" w:type="dxa"/>
                  <w:tcBorders>
                    <w:top w:val="single" w:color="auto" w:sz="4" w:space="0"/>
                    <w:bottom w:val="single" w:color="auto" w:sz="4" w:space="0"/>
                  </w:tcBorders>
                  <w:vAlign w:val="center"/>
                </w:tcPr>
                <w:p w14:paraId="7891A5A3">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bidi="ar-SA"/>
                    </w:rPr>
                  </w:pPr>
                  <w:r>
                    <w:rPr>
                      <w:rFonts w:hint="default" w:ascii="Times New Roman" w:hAnsi="Times New Roman" w:eastAsia="宋体" w:cs="Times New Roman"/>
                      <w:color w:val="auto"/>
                      <w:kern w:val="0"/>
                      <w:sz w:val="21"/>
                      <w:szCs w:val="21"/>
                      <w:u w:val="none"/>
                      <w:vertAlign w:val="baseline"/>
                      <w:lang w:val="en-US" w:eastAsia="zh-CN" w:bidi="ar-SA"/>
                    </w:rPr>
                    <w:t>NH</w:t>
                  </w:r>
                  <w:r>
                    <w:rPr>
                      <w:rFonts w:hint="default" w:ascii="Times New Roman" w:hAnsi="Times New Roman" w:eastAsia="宋体" w:cs="Times New Roman"/>
                      <w:color w:val="auto"/>
                      <w:kern w:val="0"/>
                      <w:sz w:val="21"/>
                      <w:szCs w:val="21"/>
                      <w:u w:val="none"/>
                      <w:vertAlign w:val="subscript"/>
                      <w:lang w:val="en-US" w:eastAsia="zh-CN" w:bidi="ar-SA"/>
                    </w:rPr>
                    <w:t>3</w:t>
                  </w:r>
                </w:p>
              </w:tc>
              <w:tc>
                <w:tcPr>
                  <w:tcW w:w="1170" w:type="dxa"/>
                  <w:vMerge w:val="restart"/>
                  <w:tcBorders>
                    <w:top w:val="single" w:color="auto" w:sz="4" w:space="0"/>
                  </w:tcBorders>
                  <w:vAlign w:val="center"/>
                </w:tcPr>
                <w:p w14:paraId="4C9407D6">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0"/>
                      <w:lang w:val="en-US" w:eastAsia="zh-CN" w:bidi="ar-SA"/>
                    </w:rPr>
                  </w:pPr>
                  <w:r>
                    <w:rPr>
                      <w:rFonts w:hint="default" w:ascii="Times New Roman" w:hAnsi="Times New Roman" w:eastAsia="宋体" w:cs="Times New Roman"/>
                      <w:color w:val="auto"/>
                      <w:kern w:val="0"/>
                      <w:sz w:val="21"/>
                      <w:szCs w:val="20"/>
                      <w:lang w:val="en-US" w:eastAsia="zh-CN" w:bidi="ar-SA"/>
                    </w:rPr>
                    <w:t>地埋式污水处理设施、加盖密闭，加强厂区绿化</w:t>
                  </w:r>
                </w:p>
              </w:tc>
              <w:tc>
                <w:tcPr>
                  <w:tcW w:w="1875" w:type="dxa"/>
                  <w:vMerge w:val="restart"/>
                  <w:tcBorders>
                    <w:top w:val="single" w:color="auto" w:sz="4" w:space="0"/>
                  </w:tcBorders>
                  <w:vAlign w:val="center"/>
                </w:tcPr>
                <w:p w14:paraId="31567389">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bidi="ar-SA"/>
                    </w:rPr>
                  </w:pPr>
                  <w:r>
                    <w:rPr>
                      <w:rFonts w:hint="default" w:ascii="Times New Roman" w:hAnsi="Times New Roman" w:eastAsia="宋体" w:cs="Times New Roman"/>
                      <w:color w:val="auto"/>
                      <w:kern w:val="0"/>
                      <w:sz w:val="21"/>
                      <w:szCs w:val="21"/>
                      <w:u w:val="none"/>
                      <w:vertAlign w:val="baseline"/>
                      <w:lang w:val="en-US" w:eastAsia="zh-CN" w:bidi="ar-SA"/>
                    </w:rPr>
                    <w:t>《恶臭污染物排放标准》（GB14554-93）</w:t>
                  </w:r>
                </w:p>
              </w:tc>
              <w:tc>
                <w:tcPr>
                  <w:tcW w:w="1395" w:type="dxa"/>
                  <w:tcBorders>
                    <w:top w:val="single" w:color="auto" w:sz="4" w:space="0"/>
                    <w:bottom w:val="single" w:color="auto" w:sz="4" w:space="0"/>
                  </w:tcBorders>
                  <w:shd w:val="clear" w:color="auto" w:fill="auto"/>
                  <w:vAlign w:val="center"/>
                </w:tcPr>
                <w:p w14:paraId="1F8D894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sz w:val="21"/>
                      <w:szCs w:val="21"/>
                      <w:highlight w:val="none"/>
                      <w:u w:val="none" w:color="auto"/>
                      <w:vertAlign w:val="baseline"/>
                      <w:lang w:val="en-US" w:eastAsia="zh-CN"/>
                    </w:rPr>
                    <w:t>1.5</w:t>
                  </w:r>
                </w:p>
              </w:tc>
              <w:tc>
                <w:tcPr>
                  <w:tcW w:w="885" w:type="dxa"/>
                  <w:tcBorders>
                    <w:top w:val="single" w:color="auto" w:sz="4" w:space="0"/>
                    <w:bottom w:val="single" w:color="auto" w:sz="4" w:space="0"/>
                    <w:right w:val="single" w:color="auto" w:sz="12" w:space="0"/>
                  </w:tcBorders>
                  <w:shd w:val="clear" w:color="auto" w:fill="auto"/>
                  <w:vAlign w:val="center"/>
                </w:tcPr>
                <w:p w14:paraId="0E9E339E">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0.068</w:t>
                  </w:r>
                </w:p>
              </w:tc>
            </w:tr>
            <w:tr w14:paraId="46644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527" w:type="dxa"/>
                  <w:tcBorders>
                    <w:top w:val="single" w:color="auto" w:sz="4" w:space="0"/>
                    <w:left w:val="single" w:color="auto" w:sz="4" w:space="0"/>
                    <w:bottom w:val="single" w:color="auto" w:sz="12" w:space="0"/>
                  </w:tcBorders>
                  <w:vAlign w:val="center"/>
                </w:tcPr>
                <w:p w14:paraId="6B4AAFB1">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bidi="ar-SA"/>
                    </w:rPr>
                  </w:pPr>
                  <w:r>
                    <w:rPr>
                      <w:rFonts w:hint="default" w:ascii="Times New Roman" w:hAnsi="Times New Roman" w:eastAsia="宋体" w:cs="Times New Roman"/>
                      <w:color w:val="auto"/>
                      <w:kern w:val="0"/>
                      <w:sz w:val="21"/>
                      <w:szCs w:val="21"/>
                      <w:u w:val="none"/>
                      <w:vertAlign w:val="baseline"/>
                      <w:lang w:val="en-US" w:eastAsia="zh-CN" w:bidi="ar-SA"/>
                    </w:rPr>
                    <w:t>4</w:t>
                  </w:r>
                </w:p>
              </w:tc>
              <w:tc>
                <w:tcPr>
                  <w:tcW w:w="1207" w:type="dxa"/>
                  <w:vMerge w:val="continue"/>
                  <w:tcBorders>
                    <w:bottom w:val="single" w:color="auto" w:sz="12" w:space="0"/>
                  </w:tcBorders>
                  <w:vAlign w:val="center"/>
                </w:tcPr>
                <w:p w14:paraId="56B24CB1">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bidi="ar-SA"/>
                    </w:rPr>
                  </w:pPr>
                </w:p>
              </w:tc>
              <w:tc>
                <w:tcPr>
                  <w:tcW w:w="945" w:type="dxa"/>
                  <w:tcBorders>
                    <w:top w:val="single" w:color="auto" w:sz="4" w:space="0"/>
                    <w:bottom w:val="single" w:color="auto" w:sz="12" w:space="0"/>
                  </w:tcBorders>
                  <w:vAlign w:val="center"/>
                </w:tcPr>
                <w:p w14:paraId="77D05D82">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bidi="ar-SA"/>
                    </w:rPr>
                  </w:pPr>
                  <w:r>
                    <w:rPr>
                      <w:rFonts w:hint="default" w:ascii="Times New Roman" w:hAnsi="Times New Roman" w:eastAsia="宋体" w:cs="Times New Roman"/>
                      <w:color w:val="auto"/>
                      <w:kern w:val="0"/>
                      <w:sz w:val="21"/>
                      <w:szCs w:val="21"/>
                      <w:u w:val="none"/>
                      <w:vertAlign w:val="baseline"/>
                      <w:lang w:val="en-US" w:eastAsia="zh-CN" w:bidi="ar-SA"/>
                    </w:rPr>
                    <w:t>H</w:t>
                  </w:r>
                  <w:r>
                    <w:rPr>
                      <w:rFonts w:hint="default" w:ascii="Times New Roman" w:hAnsi="Times New Roman" w:eastAsia="宋体" w:cs="Times New Roman"/>
                      <w:color w:val="auto"/>
                      <w:kern w:val="0"/>
                      <w:sz w:val="21"/>
                      <w:szCs w:val="21"/>
                      <w:u w:val="none"/>
                      <w:vertAlign w:val="subscript"/>
                      <w:lang w:val="en-US" w:eastAsia="zh-CN" w:bidi="ar-SA"/>
                    </w:rPr>
                    <w:t>2</w:t>
                  </w:r>
                  <w:r>
                    <w:rPr>
                      <w:rFonts w:hint="default" w:ascii="Times New Roman" w:hAnsi="Times New Roman" w:eastAsia="宋体" w:cs="Times New Roman"/>
                      <w:color w:val="auto"/>
                      <w:kern w:val="0"/>
                      <w:sz w:val="21"/>
                      <w:szCs w:val="21"/>
                      <w:u w:val="none"/>
                      <w:vertAlign w:val="baseline"/>
                      <w:lang w:val="en-US" w:eastAsia="zh-CN" w:bidi="ar-SA"/>
                    </w:rPr>
                    <w:t>S</w:t>
                  </w:r>
                </w:p>
              </w:tc>
              <w:tc>
                <w:tcPr>
                  <w:tcW w:w="1170" w:type="dxa"/>
                  <w:vMerge w:val="continue"/>
                  <w:tcBorders>
                    <w:bottom w:val="single" w:color="auto" w:sz="12" w:space="0"/>
                  </w:tcBorders>
                  <w:vAlign w:val="center"/>
                </w:tcPr>
                <w:p w14:paraId="7B3CB449">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0"/>
                      <w:lang w:val="en-US" w:eastAsia="zh-CN" w:bidi="ar-SA"/>
                    </w:rPr>
                  </w:pPr>
                </w:p>
              </w:tc>
              <w:tc>
                <w:tcPr>
                  <w:tcW w:w="1875" w:type="dxa"/>
                  <w:vMerge w:val="continue"/>
                  <w:tcBorders>
                    <w:bottom w:val="single" w:color="auto" w:sz="12" w:space="0"/>
                  </w:tcBorders>
                  <w:vAlign w:val="center"/>
                </w:tcPr>
                <w:p w14:paraId="770E7891">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bidi="ar-SA"/>
                    </w:rPr>
                  </w:pPr>
                </w:p>
              </w:tc>
              <w:tc>
                <w:tcPr>
                  <w:tcW w:w="1395" w:type="dxa"/>
                  <w:tcBorders>
                    <w:top w:val="single" w:color="auto" w:sz="4" w:space="0"/>
                    <w:bottom w:val="single" w:color="auto" w:sz="12" w:space="0"/>
                  </w:tcBorders>
                  <w:shd w:val="clear" w:color="auto" w:fill="auto"/>
                  <w:vAlign w:val="center"/>
                </w:tcPr>
                <w:p w14:paraId="136BCB5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1"/>
                      <w:highlight w:val="none"/>
                      <w:u w:val="none" w:color="auto"/>
                      <w:vertAlign w:val="baseline"/>
                      <w:lang w:val="en-US" w:eastAsia="zh-CN" w:bidi="ar-SA"/>
                    </w:rPr>
                  </w:pPr>
                  <w:r>
                    <w:rPr>
                      <w:rFonts w:hint="default" w:ascii="Times New Roman" w:hAnsi="Times New Roman" w:eastAsia="宋体" w:cs="Times New Roman"/>
                      <w:color w:val="auto"/>
                      <w:sz w:val="21"/>
                      <w:szCs w:val="21"/>
                      <w:highlight w:val="none"/>
                      <w:u w:val="none" w:color="auto"/>
                      <w:vertAlign w:val="baseline"/>
                      <w:lang w:val="en-US" w:eastAsia="zh-CN"/>
                    </w:rPr>
                    <w:t>0.06</w:t>
                  </w:r>
                </w:p>
              </w:tc>
              <w:tc>
                <w:tcPr>
                  <w:tcW w:w="885" w:type="dxa"/>
                  <w:tcBorders>
                    <w:top w:val="single" w:color="auto" w:sz="4" w:space="0"/>
                    <w:bottom w:val="single" w:color="auto" w:sz="12" w:space="0"/>
                    <w:right w:val="single" w:color="auto" w:sz="12" w:space="0"/>
                  </w:tcBorders>
                  <w:shd w:val="clear" w:color="auto" w:fill="auto"/>
                  <w:vAlign w:val="center"/>
                </w:tcPr>
                <w:p w14:paraId="5111CFB4">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0.0026</w:t>
                  </w:r>
                </w:p>
              </w:tc>
            </w:tr>
          </w:tbl>
          <w:p w14:paraId="7CD9B84C">
            <w:pPr>
              <w:keepNext w:val="0"/>
              <w:keepLines w:val="0"/>
              <w:pageBreakBefore w:val="0"/>
              <w:widowControl w:val="0"/>
              <w:suppressLineNumbers w:val="0"/>
              <w:kinsoku/>
              <w:wordWrap/>
              <w:overflowPunct/>
              <w:topLinePunct w:val="0"/>
              <w:autoSpaceDE/>
              <w:autoSpaceDN/>
              <w:bidi w:val="0"/>
              <w:adjustRightInd/>
              <w:snapToGrid w:val="0"/>
              <w:spacing w:before="157" w:beforeLines="50" w:beforeAutospacing="0" w:after="0" w:afterLines="0" w:afterAutospacing="0" w:line="360" w:lineRule="auto"/>
              <w:ind w:left="0" w:right="0" w:firstLine="0" w:firstLineChars="0"/>
              <w:jc w:val="center"/>
              <w:textAlignment w:val="auto"/>
              <w:rPr>
                <w:rFonts w:hint="default" w:ascii="Times New Roman" w:hAnsi="Times New Roman" w:eastAsia="宋体" w:cs="Times New Roman"/>
                <w:color w:val="auto"/>
                <w:kern w:val="0"/>
                <w:sz w:val="24"/>
                <w:szCs w:val="24"/>
                <w:u w:val="single"/>
                <w:lang w:val="en-US" w:eastAsia="zh-CN" w:bidi="ar-SA"/>
              </w:rPr>
            </w:pPr>
            <w:r>
              <w:rPr>
                <w:rFonts w:hint="default" w:ascii="Times New Roman" w:hAnsi="Times New Roman" w:eastAsia="宋体" w:cs="Times New Roman"/>
                <w:b/>
                <w:bCs/>
                <w:color w:val="auto"/>
                <w:kern w:val="0"/>
                <w:sz w:val="21"/>
                <w:szCs w:val="21"/>
                <w:u w:val="none"/>
                <w:lang w:val="en-US" w:eastAsia="zh-CN" w:bidi="ar-SA"/>
              </w:rPr>
              <w:t>表 4-9 大气污染物年排放量核算表</w:t>
            </w:r>
          </w:p>
          <w:tbl>
            <w:tblPr>
              <w:tblStyle w:val="43"/>
              <w:tblW w:w="800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7"/>
              <w:gridCol w:w="3442"/>
              <w:gridCol w:w="2805"/>
            </w:tblGrid>
            <w:tr w14:paraId="6E085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757" w:type="dxa"/>
                  <w:tcBorders>
                    <w:top w:val="single" w:color="auto" w:sz="12" w:space="0"/>
                  </w:tcBorders>
                  <w:vAlign w:val="center"/>
                </w:tcPr>
                <w:p w14:paraId="4FADF3EA">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bidi="ar-SA"/>
                    </w:rPr>
                  </w:pPr>
                  <w:r>
                    <w:rPr>
                      <w:rFonts w:hint="default" w:ascii="Times New Roman" w:hAnsi="Times New Roman" w:eastAsia="宋体" w:cs="Times New Roman"/>
                      <w:color w:val="auto"/>
                      <w:kern w:val="0"/>
                      <w:sz w:val="21"/>
                      <w:szCs w:val="21"/>
                      <w:u w:val="none"/>
                      <w:vertAlign w:val="baseline"/>
                      <w:lang w:val="en-US" w:eastAsia="zh-CN" w:bidi="ar-SA"/>
                    </w:rPr>
                    <w:t>序号</w:t>
                  </w:r>
                </w:p>
              </w:tc>
              <w:tc>
                <w:tcPr>
                  <w:tcW w:w="3442" w:type="dxa"/>
                  <w:tcBorders>
                    <w:top w:val="single" w:color="auto" w:sz="12" w:space="0"/>
                  </w:tcBorders>
                  <w:vAlign w:val="center"/>
                </w:tcPr>
                <w:p w14:paraId="489A21F0">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bidi="ar-SA"/>
                    </w:rPr>
                  </w:pPr>
                  <w:r>
                    <w:rPr>
                      <w:rFonts w:hint="default" w:ascii="Times New Roman" w:hAnsi="Times New Roman" w:eastAsia="宋体" w:cs="Times New Roman"/>
                      <w:color w:val="auto"/>
                      <w:kern w:val="0"/>
                      <w:sz w:val="21"/>
                      <w:szCs w:val="21"/>
                      <w:u w:val="none"/>
                      <w:vertAlign w:val="baseline"/>
                      <w:lang w:val="en-US" w:eastAsia="zh-CN" w:bidi="ar-SA"/>
                    </w:rPr>
                    <w:t>污染物</w:t>
                  </w:r>
                </w:p>
              </w:tc>
              <w:tc>
                <w:tcPr>
                  <w:tcW w:w="2805" w:type="dxa"/>
                  <w:tcBorders>
                    <w:top w:val="single" w:color="auto" w:sz="12" w:space="0"/>
                    <w:right w:val="single" w:color="auto" w:sz="12" w:space="0"/>
                  </w:tcBorders>
                  <w:vAlign w:val="center"/>
                </w:tcPr>
                <w:p w14:paraId="20D153B4">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bidi="ar-SA"/>
                    </w:rPr>
                  </w:pPr>
                  <w:r>
                    <w:rPr>
                      <w:rFonts w:hint="default" w:ascii="Times New Roman" w:hAnsi="Times New Roman" w:eastAsia="宋体" w:cs="Times New Roman"/>
                      <w:color w:val="auto"/>
                      <w:kern w:val="0"/>
                      <w:sz w:val="21"/>
                      <w:szCs w:val="21"/>
                      <w:u w:val="none"/>
                      <w:vertAlign w:val="baseline"/>
                      <w:lang w:val="en-US" w:eastAsia="zh-CN" w:bidi="ar-SA"/>
                    </w:rPr>
                    <w:t>年排放量（t/a）</w:t>
                  </w:r>
                </w:p>
              </w:tc>
            </w:tr>
            <w:tr w14:paraId="715F0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757" w:type="dxa"/>
                  <w:tcBorders>
                    <w:left w:val="single" w:color="auto" w:sz="4" w:space="0"/>
                  </w:tcBorders>
                  <w:vAlign w:val="center"/>
                </w:tcPr>
                <w:p w14:paraId="7679E915">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bidi="ar-SA"/>
                    </w:rPr>
                  </w:pPr>
                  <w:r>
                    <w:rPr>
                      <w:rFonts w:hint="default" w:ascii="Times New Roman" w:hAnsi="Times New Roman" w:eastAsia="宋体" w:cs="Times New Roman"/>
                      <w:color w:val="auto"/>
                      <w:kern w:val="0"/>
                      <w:sz w:val="21"/>
                      <w:szCs w:val="21"/>
                      <w:u w:val="none"/>
                      <w:vertAlign w:val="baseline"/>
                      <w:lang w:val="en-US" w:eastAsia="zh-CN" w:bidi="ar-SA"/>
                    </w:rPr>
                    <w:t>1</w:t>
                  </w:r>
                </w:p>
              </w:tc>
              <w:tc>
                <w:tcPr>
                  <w:tcW w:w="3442" w:type="dxa"/>
                  <w:vAlign w:val="center"/>
                </w:tcPr>
                <w:p w14:paraId="028C1865">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bidi="ar-SA"/>
                    </w:rPr>
                  </w:pPr>
                  <w:r>
                    <w:rPr>
                      <w:rFonts w:hint="default" w:ascii="Times New Roman" w:hAnsi="Times New Roman" w:eastAsia="宋体" w:cs="Times New Roman"/>
                      <w:color w:val="auto"/>
                      <w:kern w:val="0"/>
                      <w:sz w:val="21"/>
                      <w:szCs w:val="21"/>
                      <w:u w:val="none"/>
                      <w:vertAlign w:val="baseline"/>
                      <w:lang w:val="en-US" w:eastAsia="zh-CN" w:bidi="ar-SA"/>
                    </w:rPr>
                    <w:t>颗粒物</w:t>
                  </w:r>
                </w:p>
              </w:tc>
              <w:tc>
                <w:tcPr>
                  <w:tcW w:w="2805" w:type="dxa"/>
                  <w:tcBorders>
                    <w:right w:val="single" w:color="auto" w:sz="12" w:space="0"/>
                  </w:tcBorders>
                  <w:vAlign w:val="center"/>
                </w:tcPr>
                <w:p w14:paraId="7DFB8D8A">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bidi="ar-SA"/>
                    </w:rPr>
                  </w:pPr>
                  <w:r>
                    <w:rPr>
                      <w:rFonts w:hint="default" w:ascii="Times New Roman" w:hAnsi="Times New Roman" w:eastAsia="宋体" w:cs="Times New Roman"/>
                      <w:color w:val="auto"/>
                      <w:kern w:val="0"/>
                      <w:sz w:val="21"/>
                      <w:szCs w:val="21"/>
                      <w:u w:val="none"/>
                      <w:vertAlign w:val="baseline"/>
                      <w:lang w:val="en-US" w:eastAsia="zh-CN" w:bidi="ar-SA"/>
                    </w:rPr>
                    <w:t>0.043</w:t>
                  </w:r>
                </w:p>
              </w:tc>
            </w:tr>
            <w:tr w14:paraId="4C465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757" w:type="dxa"/>
                  <w:tcBorders>
                    <w:left w:val="single" w:color="auto" w:sz="4" w:space="0"/>
                  </w:tcBorders>
                  <w:vAlign w:val="center"/>
                </w:tcPr>
                <w:p w14:paraId="25117F78">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bidi="ar-SA"/>
                    </w:rPr>
                  </w:pPr>
                  <w:r>
                    <w:rPr>
                      <w:rFonts w:hint="default" w:ascii="Times New Roman" w:hAnsi="Times New Roman" w:eastAsia="宋体" w:cs="Times New Roman"/>
                      <w:color w:val="auto"/>
                      <w:kern w:val="0"/>
                      <w:sz w:val="21"/>
                      <w:szCs w:val="21"/>
                      <w:u w:val="none"/>
                      <w:vertAlign w:val="baseline"/>
                      <w:lang w:val="en-US" w:eastAsia="zh-CN" w:bidi="ar-SA"/>
                    </w:rPr>
                    <w:t>2</w:t>
                  </w:r>
                </w:p>
              </w:tc>
              <w:tc>
                <w:tcPr>
                  <w:tcW w:w="3442" w:type="dxa"/>
                  <w:vAlign w:val="center"/>
                </w:tcPr>
                <w:p w14:paraId="6F48B0E9">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bidi="ar-SA"/>
                    </w:rPr>
                  </w:pPr>
                  <w:r>
                    <w:rPr>
                      <w:rFonts w:hint="default" w:ascii="Times New Roman" w:hAnsi="Times New Roman" w:eastAsia="宋体" w:cs="Times New Roman"/>
                      <w:color w:val="auto"/>
                      <w:kern w:val="0"/>
                      <w:sz w:val="21"/>
                      <w:szCs w:val="21"/>
                      <w:u w:val="none"/>
                      <w:vertAlign w:val="baseline"/>
                      <w:lang w:val="en-US" w:eastAsia="zh-CN" w:bidi="ar-SA"/>
                    </w:rPr>
                    <w:t>二氧化硫</w:t>
                  </w:r>
                </w:p>
              </w:tc>
              <w:tc>
                <w:tcPr>
                  <w:tcW w:w="2805" w:type="dxa"/>
                  <w:tcBorders>
                    <w:right w:val="single" w:color="auto" w:sz="12" w:space="0"/>
                  </w:tcBorders>
                  <w:shd w:val="clear" w:color="auto" w:fill="auto"/>
                  <w:vAlign w:val="center"/>
                </w:tcPr>
                <w:p w14:paraId="35E6FBB2">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color="auto"/>
                      <w:lang w:val="en-US" w:eastAsia="zh-CN" w:bidi="ar-SA"/>
                    </w:rPr>
                  </w:pPr>
                  <w:r>
                    <w:rPr>
                      <w:rFonts w:hint="default" w:ascii="Times New Roman" w:hAnsi="Times New Roman" w:eastAsia="宋体" w:cs="Times New Roman"/>
                      <w:color w:val="auto"/>
                      <w:kern w:val="2"/>
                      <w:sz w:val="21"/>
                      <w:szCs w:val="24"/>
                      <w:u w:val="none" w:color="auto"/>
                      <w:lang w:val="en-US" w:eastAsia="zh-CN" w:bidi="ar-SA"/>
                    </w:rPr>
                    <w:t>0.937</w:t>
                  </w:r>
                </w:p>
              </w:tc>
            </w:tr>
            <w:tr w14:paraId="7F58F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757" w:type="dxa"/>
                  <w:tcBorders>
                    <w:left w:val="single" w:color="auto" w:sz="4" w:space="0"/>
                  </w:tcBorders>
                  <w:vAlign w:val="center"/>
                </w:tcPr>
                <w:p w14:paraId="28B3C4A6">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bidi="ar-SA"/>
                    </w:rPr>
                  </w:pPr>
                  <w:r>
                    <w:rPr>
                      <w:rFonts w:hint="default" w:ascii="Times New Roman" w:hAnsi="Times New Roman" w:eastAsia="宋体" w:cs="Times New Roman"/>
                      <w:color w:val="auto"/>
                      <w:kern w:val="0"/>
                      <w:sz w:val="21"/>
                      <w:szCs w:val="21"/>
                      <w:u w:val="none"/>
                      <w:vertAlign w:val="baseline"/>
                      <w:lang w:val="en-US" w:eastAsia="zh-CN" w:bidi="ar-SA"/>
                    </w:rPr>
                    <w:t>3</w:t>
                  </w:r>
                </w:p>
              </w:tc>
              <w:tc>
                <w:tcPr>
                  <w:tcW w:w="3442" w:type="dxa"/>
                  <w:vAlign w:val="center"/>
                </w:tcPr>
                <w:p w14:paraId="368907F4">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bidi="ar-SA"/>
                    </w:rPr>
                  </w:pPr>
                  <w:r>
                    <w:rPr>
                      <w:rFonts w:hint="default" w:ascii="Times New Roman" w:hAnsi="Times New Roman" w:eastAsia="宋体" w:cs="Times New Roman"/>
                      <w:color w:val="auto"/>
                      <w:kern w:val="0"/>
                      <w:sz w:val="21"/>
                      <w:szCs w:val="21"/>
                      <w:u w:val="none"/>
                      <w:vertAlign w:val="baseline"/>
                      <w:lang w:val="en-US" w:eastAsia="zh-CN" w:bidi="ar-SA"/>
                    </w:rPr>
                    <w:t>氮氧化物</w:t>
                  </w:r>
                </w:p>
              </w:tc>
              <w:tc>
                <w:tcPr>
                  <w:tcW w:w="2805" w:type="dxa"/>
                  <w:tcBorders>
                    <w:right w:val="single" w:color="auto" w:sz="12" w:space="0"/>
                  </w:tcBorders>
                  <w:shd w:val="clear" w:color="auto" w:fill="auto"/>
                  <w:vAlign w:val="center"/>
                </w:tcPr>
                <w:p w14:paraId="28DC8CA0">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color="auto"/>
                      <w:lang w:val="en-US" w:eastAsia="zh-CN" w:bidi="ar-SA"/>
                    </w:rPr>
                  </w:pPr>
                  <w:r>
                    <w:rPr>
                      <w:rFonts w:hint="default" w:ascii="Times New Roman" w:hAnsi="Times New Roman" w:eastAsia="宋体" w:cs="Times New Roman"/>
                      <w:color w:val="auto"/>
                      <w:kern w:val="2"/>
                      <w:sz w:val="21"/>
                      <w:szCs w:val="24"/>
                      <w:u w:val="none" w:color="auto"/>
                      <w:lang w:val="en-US" w:eastAsia="zh-CN" w:bidi="ar-SA"/>
                    </w:rPr>
                    <w:t>1.126</w:t>
                  </w:r>
                </w:p>
              </w:tc>
            </w:tr>
            <w:tr w14:paraId="5F14A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757" w:type="dxa"/>
                  <w:tcBorders>
                    <w:left w:val="single" w:color="auto" w:sz="4" w:space="0"/>
                  </w:tcBorders>
                  <w:vAlign w:val="center"/>
                </w:tcPr>
                <w:p w14:paraId="3E50579D">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bidi="ar-SA"/>
                    </w:rPr>
                  </w:pPr>
                  <w:r>
                    <w:rPr>
                      <w:rFonts w:hint="default" w:ascii="Times New Roman" w:hAnsi="Times New Roman" w:eastAsia="宋体" w:cs="Times New Roman"/>
                      <w:color w:val="auto"/>
                      <w:kern w:val="0"/>
                      <w:sz w:val="21"/>
                      <w:szCs w:val="21"/>
                      <w:u w:val="none"/>
                      <w:vertAlign w:val="baseline"/>
                      <w:lang w:val="en-US" w:eastAsia="zh-CN" w:bidi="ar-SA"/>
                    </w:rPr>
                    <w:t>4</w:t>
                  </w:r>
                </w:p>
              </w:tc>
              <w:tc>
                <w:tcPr>
                  <w:tcW w:w="3442" w:type="dxa"/>
                  <w:shd w:val="clear" w:color="auto" w:fill="auto"/>
                  <w:vAlign w:val="center"/>
                </w:tcPr>
                <w:p w14:paraId="29ACDCC0">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bidi="ar-SA"/>
                    </w:rPr>
                  </w:pPr>
                  <w:r>
                    <w:rPr>
                      <w:rFonts w:hint="default" w:ascii="Times New Roman" w:hAnsi="Times New Roman" w:eastAsia="宋体" w:cs="Times New Roman"/>
                      <w:color w:val="auto"/>
                      <w:kern w:val="0"/>
                      <w:sz w:val="21"/>
                      <w:szCs w:val="21"/>
                      <w:u w:val="none"/>
                      <w:vertAlign w:val="baseline"/>
                      <w:lang w:val="en-US" w:eastAsia="zh-CN" w:bidi="ar-SA"/>
                    </w:rPr>
                    <w:t>NH</w:t>
                  </w:r>
                  <w:r>
                    <w:rPr>
                      <w:rFonts w:hint="default" w:ascii="Times New Roman" w:hAnsi="Times New Roman" w:eastAsia="宋体" w:cs="Times New Roman"/>
                      <w:color w:val="auto"/>
                      <w:kern w:val="0"/>
                      <w:sz w:val="21"/>
                      <w:szCs w:val="21"/>
                      <w:u w:val="none"/>
                      <w:vertAlign w:val="subscript"/>
                      <w:lang w:val="en-US" w:eastAsia="zh-CN" w:bidi="ar-SA"/>
                    </w:rPr>
                    <w:t>3</w:t>
                  </w:r>
                </w:p>
              </w:tc>
              <w:tc>
                <w:tcPr>
                  <w:tcW w:w="2805" w:type="dxa"/>
                  <w:tcBorders>
                    <w:right w:val="single" w:color="auto" w:sz="12" w:space="0"/>
                  </w:tcBorders>
                  <w:shd w:val="clear" w:color="auto" w:fill="auto"/>
                  <w:vAlign w:val="center"/>
                </w:tcPr>
                <w:p w14:paraId="2320D335">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0.068</w:t>
                  </w:r>
                </w:p>
              </w:tc>
            </w:tr>
            <w:tr w14:paraId="26D80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trPr>
              <w:tc>
                <w:tcPr>
                  <w:tcW w:w="1757" w:type="dxa"/>
                  <w:tcBorders>
                    <w:left w:val="single" w:color="auto" w:sz="4" w:space="0"/>
                    <w:bottom w:val="single" w:color="auto" w:sz="12" w:space="0"/>
                  </w:tcBorders>
                  <w:vAlign w:val="center"/>
                </w:tcPr>
                <w:p w14:paraId="47DC6681">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bidi="ar-SA"/>
                    </w:rPr>
                  </w:pPr>
                  <w:r>
                    <w:rPr>
                      <w:rFonts w:hint="default" w:ascii="Times New Roman" w:hAnsi="Times New Roman" w:eastAsia="宋体" w:cs="Times New Roman"/>
                      <w:color w:val="auto"/>
                      <w:kern w:val="0"/>
                      <w:sz w:val="21"/>
                      <w:szCs w:val="21"/>
                      <w:u w:val="none"/>
                      <w:vertAlign w:val="baseline"/>
                      <w:lang w:val="en-US" w:eastAsia="zh-CN" w:bidi="ar-SA"/>
                    </w:rPr>
                    <w:t>5</w:t>
                  </w:r>
                </w:p>
              </w:tc>
              <w:tc>
                <w:tcPr>
                  <w:tcW w:w="3442" w:type="dxa"/>
                  <w:tcBorders>
                    <w:bottom w:val="single" w:color="auto" w:sz="12" w:space="0"/>
                  </w:tcBorders>
                  <w:shd w:val="clear" w:color="auto" w:fill="auto"/>
                  <w:vAlign w:val="center"/>
                </w:tcPr>
                <w:p w14:paraId="104A86A0">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bidi="ar-SA"/>
                    </w:rPr>
                  </w:pPr>
                  <w:r>
                    <w:rPr>
                      <w:rFonts w:hint="default" w:ascii="Times New Roman" w:hAnsi="Times New Roman" w:eastAsia="宋体" w:cs="Times New Roman"/>
                      <w:color w:val="auto"/>
                      <w:kern w:val="0"/>
                      <w:sz w:val="21"/>
                      <w:szCs w:val="21"/>
                      <w:u w:val="none"/>
                      <w:vertAlign w:val="baseline"/>
                      <w:lang w:val="en-US" w:eastAsia="zh-CN" w:bidi="ar-SA"/>
                    </w:rPr>
                    <w:t>H</w:t>
                  </w:r>
                  <w:r>
                    <w:rPr>
                      <w:rFonts w:hint="default" w:ascii="Times New Roman" w:hAnsi="Times New Roman" w:eastAsia="宋体" w:cs="Times New Roman"/>
                      <w:color w:val="auto"/>
                      <w:kern w:val="0"/>
                      <w:sz w:val="21"/>
                      <w:szCs w:val="21"/>
                      <w:u w:val="none"/>
                      <w:vertAlign w:val="subscript"/>
                      <w:lang w:val="en-US" w:eastAsia="zh-CN" w:bidi="ar-SA"/>
                    </w:rPr>
                    <w:t>2</w:t>
                  </w:r>
                  <w:r>
                    <w:rPr>
                      <w:rFonts w:hint="default" w:ascii="Times New Roman" w:hAnsi="Times New Roman" w:eastAsia="宋体" w:cs="Times New Roman"/>
                      <w:color w:val="auto"/>
                      <w:kern w:val="0"/>
                      <w:sz w:val="21"/>
                      <w:szCs w:val="21"/>
                      <w:u w:val="none"/>
                      <w:vertAlign w:val="baseline"/>
                      <w:lang w:val="en-US" w:eastAsia="zh-CN" w:bidi="ar-SA"/>
                    </w:rPr>
                    <w:t>S</w:t>
                  </w:r>
                </w:p>
              </w:tc>
              <w:tc>
                <w:tcPr>
                  <w:tcW w:w="2805" w:type="dxa"/>
                  <w:tcBorders>
                    <w:bottom w:val="single" w:color="auto" w:sz="12" w:space="0"/>
                    <w:right w:val="single" w:color="auto" w:sz="12" w:space="0"/>
                  </w:tcBorders>
                  <w:shd w:val="clear" w:color="auto" w:fill="auto"/>
                  <w:vAlign w:val="center"/>
                </w:tcPr>
                <w:p w14:paraId="5A887562">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color="auto"/>
                      <w:lang w:val="en-US" w:eastAsia="zh-CN" w:bidi="ar-SA"/>
                    </w:rPr>
                  </w:pPr>
                  <w:r>
                    <w:rPr>
                      <w:rFonts w:hint="eastAsia" w:cs="Times New Roman"/>
                      <w:color w:val="auto"/>
                      <w:kern w:val="2"/>
                      <w:sz w:val="21"/>
                      <w:szCs w:val="24"/>
                      <w:u w:val="none" w:color="auto"/>
                      <w:lang w:val="en-US" w:eastAsia="zh-CN" w:bidi="ar-SA"/>
                    </w:rPr>
                    <w:t>0.0026</w:t>
                  </w:r>
                </w:p>
              </w:tc>
            </w:tr>
          </w:tbl>
          <w:p w14:paraId="3880044E">
            <w:pPr>
              <w:spacing w:line="360" w:lineRule="auto"/>
              <w:ind w:firstLine="480" w:firstLineChars="200"/>
              <w:rPr>
                <w:rStyle w:val="70"/>
                <w:rFonts w:hint="default" w:ascii="Times New Roman" w:hAnsi="Times New Roman" w:eastAsia="宋体" w:cs="Times New Roman"/>
                <w:b w:val="0"/>
                <w:bCs w:val="0"/>
                <w:color w:val="auto"/>
                <w:sz w:val="24"/>
                <w:szCs w:val="24"/>
                <w:highlight w:val="none"/>
                <w:u w:val="none" w:color="auto"/>
                <w:lang w:val="en-US" w:eastAsia="zh-CN"/>
              </w:rPr>
            </w:pPr>
            <w:r>
              <w:rPr>
                <w:rStyle w:val="70"/>
                <w:rFonts w:hint="default" w:ascii="Times New Roman" w:hAnsi="Times New Roman" w:eastAsia="宋体" w:cs="Times New Roman"/>
                <w:b w:val="0"/>
                <w:bCs w:val="0"/>
                <w:color w:val="auto"/>
                <w:sz w:val="24"/>
                <w:szCs w:val="24"/>
                <w:highlight w:val="none"/>
                <w:u w:val="none" w:color="auto"/>
                <w:lang w:val="en-US" w:eastAsia="zh-CN"/>
              </w:rPr>
              <w:t>4、废气治理措施可行性分析</w:t>
            </w:r>
          </w:p>
          <w:p w14:paraId="43620247">
            <w:pPr>
              <w:spacing w:line="360" w:lineRule="auto"/>
              <w:ind w:firstLine="480" w:firstLineChars="200"/>
              <w:rPr>
                <w:rStyle w:val="70"/>
                <w:rFonts w:hint="default" w:ascii="Times New Roman" w:hAnsi="Times New Roman" w:eastAsia="宋体" w:cs="Times New Roman"/>
                <w:b w:val="0"/>
                <w:bCs w:val="0"/>
                <w:color w:val="auto"/>
                <w:sz w:val="24"/>
                <w:szCs w:val="24"/>
                <w:highlight w:val="none"/>
                <w:u w:val="none" w:color="auto"/>
                <w:lang w:val="en-US" w:eastAsia="zh-CN"/>
              </w:rPr>
            </w:pPr>
            <w:r>
              <w:rPr>
                <w:rStyle w:val="70"/>
                <w:rFonts w:hint="default" w:ascii="Times New Roman" w:hAnsi="Times New Roman" w:eastAsia="宋体" w:cs="Times New Roman"/>
                <w:b w:val="0"/>
                <w:bCs w:val="0"/>
                <w:color w:val="auto"/>
                <w:sz w:val="24"/>
                <w:szCs w:val="24"/>
                <w:highlight w:val="none"/>
                <w:u w:val="none" w:color="auto"/>
                <w:lang w:val="en-US" w:eastAsia="zh-CN"/>
              </w:rPr>
              <w:t>（1）排气筒设置合理性分析</w:t>
            </w:r>
          </w:p>
          <w:p w14:paraId="0F59D6AC">
            <w:pPr>
              <w:spacing w:line="360" w:lineRule="auto"/>
              <w:ind w:firstLine="480" w:firstLineChars="200"/>
              <w:rPr>
                <w:rStyle w:val="70"/>
                <w:rFonts w:hint="default" w:ascii="Times New Roman" w:hAnsi="Times New Roman" w:eastAsia="宋体" w:cs="Times New Roman"/>
                <w:b w:val="0"/>
                <w:bCs w:val="0"/>
                <w:color w:val="auto"/>
                <w:sz w:val="24"/>
                <w:szCs w:val="24"/>
                <w:highlight w:val="none"/>
                <w:u w:val="none" w:color="auto"/>
                <w:lang w:val="en-US" w:eastAsia="zh-CN"/>
              </w:rPr>
            </w:pPr>
            <w:r>
              <w:rPr>
                <w:rStyle w:val="70"/>
                <w:rFonts w:hint="default" w:ascii="Times New Roman" w:hAnsi="Times New Roman" w:eastAsia="宋体" w:cs="Times New Roman"/>
                <w:b w:val="0"/>
                <w:bCs w:val="0"/>
                <w:color w:val="auto"/>
                <w:sz w:val="24"/>
                <w:szCs w:val="24"/>
                <w:highlight w:val="none"/>
                <w:u w:val="none" w:color="auto"/>
                <w:lang w:val="en-US" w:eastAsia="zh-CN"/>
              </w:rPr>
              <w:t>①排气筒高度设置的合理性</w:t>
            </w:r>
          </w:p>
          <w:p w14:paraId="4C7F5877">
            <w:pPr>
              <w:spacing w:line="360" w:lineRule="auto"/>
              <w:ind w:firstLine="480" w:firstLineChars="200"/>
              <w:rPr>
                <w:rStyle w:val="70"/>
                <w:rFonts w:hint="default" w:ascii="Times New Roman" w:hAnsi="Times New Roman" w:eastAsia="宋体" w:cs="Times New Roman"/>
                <w:b w:val="0"/>
                <w:bCs w:val="0"/>
                <w:color w:val="auto"/>
                <w:sz w:val="24"/>
                <w:szCs w:val="24"/>
                <w:highlight w:val="none"/>
                <w:u w:val="none" w:color="auto"/>
                <w:lang w:val="en-US" w:eastAsia="zh-CN"/>
              </w:rPr>
            </w:pPr>
            <w:r>
              <w:rPr>
                <w:rStyle w:val="70"/>
                <w:rFonts w:hint="default" w:ascii="Times New Roman" w:hAnsi="Times New Roman" w:eastAsia="宋体" w:cs="Times New Roman"/>
                <w:b w:val="0"/>
                <w:bCs w:val="0"/>
                <w:color w:val="auto"/>
                <w:sz w:val="24"/>
                <w:szCs w:val="24"/>
                <w:highlight w:val="none"/>
                <w:u w:val="none" w:color="auto"/>
                <w:lang w:val="en-US" w:eastAsia="zh-CN"/>
              </w:rPr>
              <w:t>根据《锅炉大气污染物排放标准》（GB13271-2014）中关于排气筒高度的规定：每个新建燃煤锅炉房只能设一根烟囱，烟囱高度应根据锅炉房装机总容量，按表4规定执行，燃油、燃气锅炉烟囱不低于8米，锅炉烟囱的具体高度按批复的环境影响评价文件确定。新建锅炉房的烟囱周围半径200m距离内有建筑物时，其烟囱应高出最高建筑物3m以上。</w:t>
            </w:r>
          </w:p>
          <w:p w14:paraId="04B83E83">
            <w:pPr>
              <w:spacing w:line="360" w:lineRule="auto"/>
              <w:ind w:firstLine="480" w:firstLineChars="200"/>
              <w:rPr>
                <w:rStyle w:val="70"/>
                <w:rFonts w:hint="default" w:ascii="Times New Roman" w:hAnsi="Times New Roman" w:eastAsia="宋体" w:cs="Times New Roman"/>
                <w:b w:val="0"/>
                <w:bCs w:val="0"/>
                <w:color w:val="auto"/>
                <w:sz w:val="24"/>
                <w:szCs w:val="24"/>
                <w:highlight w:val="none"/>
                <w:u w:val="none" w:color="auto"/>
                <w:lang w:val="en-US" w:eastAsia="zh-CN"/>
              </w:rPr>
            </w:pPr>
            <w:r>
              <w:rPr>
                <w:rStyle w:val="70"/>
                <w:rFonts w:hint="default" w:ascii="Times New Roman" w:hAnsi="Times New Roman" w:eastAsia="宋体" w:cs="Times New Roman"/>
                <w:b w:val="0"/>
                <w:bCs w:val="0"/>
                <w:color w:val="auto"/>
                <w:sz w:val="24"/>
                <w:szCs w:val="24"/>
                <w:highlight w:val="none"/>
                <w:u w:val="none" w:color="auto"/>
                <w:lang w:val="en-US" w:eastAsia="zh-CN"/>
              </w:rPr>
              <w:t>本项目设置1台2.2t/h的生物质蒸汽发生器，1台2.5t/h的生物质蒸汽发生器，排气筒设置要求参照燃煤锅炉执行。</w:t>
            </w:r>
          </w:p>
          <w:p w14:paraId="413B6A3A">
            <w:pPr>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Style w:val="70"/>
                <w:rFonts w:hint="default" w:ascii="Times New Roman" w:hAnsi="Times New Roman" w:eastAsia="宋体" w:cs="Times New Roman"/>
                <w:b w:val="0"/>
                <w:bCs w:val="0"/>
                <w:color w:val="auto"/>
                <w:sz w:val="24"/>
                <w:szCs w:val="24"/>
                <w:highlight w:val="none"/>
                <w:u w:val="none" w:color="auto"/>
                <w:lang w:val="en-US" w:eastAsia="zh-CN"/>
              </w:rPr>
            </w:pPr>
            <w:r>
              <w:rPr>
                <w:rStyle w:val="70"/>
                <w:rFonts w:hint="default" w:ascii="Times New Roman" w:hAnsi="Times New Roman" w:eastAsia="宋体" w:cs="Times New Roman"/>
                <w:b/>
                <w:bCs/>
                <w:color w:val="auto"/>
                <w:sz w:val="21"/>
                <w:szCs w:val="21"/>
                <w:highlight w:val="none"/>
                <w:u w:val="none" w:color="auto"/>
                <w:lang w:val="en-US" w:eastAsia="zh-CN"/>
              </w:rPr>
              <w:t>表 4-10 燃煤锅炉房烟囱最低允许高度</w:t>
            </w:r>
          </w:p>
          <w:tbl>
            <w:tblPr>
              <w:tblStyle w:val="43"/>
              <w:tblW w:w="80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0"/>
              <w:gridCol w:w="809"/>
              <w:gridCol w:w="885"/>
              <w:gridCol w:w="1140"/>
              <w:gridCol w:w="1169"/>
              <w:gridCol w:w="1001"/>
              <w:gridCol w:w="1265"/>
              <w:gridCol w:w="737"/>
            </w:tblGrid>
            <w:tr w14:paraId="1566E3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vMerge w:val="restart"/>
                  <w:vAlign w:val="center"/>
                </w:tcPr>
                <w:p w14:paraId="42F8729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70"/>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70"/>
                      <w:rFonts w:hint="default" w:ascii="Times New Roman" w:hAnsi="Times New Roman" w:eastAsia="宋体" w:cs="Times New Roman"/>
                      <w:b w:val="0"/>
                      <w:bCs w:val="0"/>
                      <w:color w:val="auto"/>
                      <w:sz w:val="21"/>
                      <w:szCs w:val="21"/>
                      <w:highlight w:val="none"/>
                      <w:u w:val="none" w:color="auto"/>
                      <w:vertAlign w:val="baseline"/>
                      <w:lang w:val="en-US" w:eastAsia="zh-CN"/>
                    </w:rPr>
                    <w:t>锅炉房装机总容量</w:t>
                  </w:r>
                </w:p>
              </w:tc>
              <w:tc>
                <w:tcPr>
                  <w:tcW w:w="809" w:type="dxa"/>
                  <w:vAlign w:val="center"/>
                </w:tcPr>
                <w:p w14:paraId="2CA9051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70"/>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70"/>
                      <w:rFonts w:hint="default" w:ascii="Times New Roman" w:hAnsi="Times New Roman" w:eastAsia="宋体" w:cs="Times New Roman"/>
                      <w:b w:val="0"/>
                      <w:bCs w:val="0"/>
                      <w:color w:val="auto"/>
                      <w:sz w:val="21"/>
                      <w:szCs w:val="21"/>
                      <w:highlight w:val="none"/>
                      <w:u w:val="none" w:color="auto"/>
                      <w:vertAlign w:val="baseline"/>
                      <w:lang w:val="en-US" w:eastAsia="zh-CN"/>
                    </w:rPr>
                    <w:t>MW</w:t>
                  </w:r>
                </w:p>
              </w:tc>
              <w:tc>
                <w:tcPr>
                  <w:tcW w:w="885" w:type="dxa"/>
                  <w:vAlign w:val="center"/>
                </w:tcPr>
                <w:p w14:paraId="3A935786">
                  <w:pPr>
                    <w:jc w:val="center"/>
                    <w:rPr>
                      <w:rStyle w:val="70"/>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u w:val="none"/>
                    </w:rPr>
                    <w:t>&lt;0.7</w:t>
                  </w:r>
                </w:p>
              </w:tc>
              <w:tc>
                <w:tcPr>
                  <w:tcW w:w="1140" w:type="dxa"/>
                  <w:vAlign w:val="center"/>
                </w:tcPr>
                <w:p w14:paraId="0C36F6BD">
                  <w:pPr>
                    <w:jc w:val="center"/>
                    <w:rPr>
                      <w:rStyle w:val="70"/>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u w:val="none"/>
                    </w:rPr>
                    <w:t>0.7～&lt;1.4</w:t>
                  </w:r>
                </w:p>
              </w:tc>
              <w:tc>
                <w:tcPr>
                  <w:tcW w:w="1169" w:type="dxa"/>
                  <w:vAlign w:val="center"/>
                </w:tcPr>
                <w:p w14:paraId="4EF09813">
                  <w:pPr>
                    <w:jc w:val="center"/>
                    <w:rPr>
                      <w:rStyle w:val="70"/>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u w:val="none"/>
                    </w:rPr>
                    <w:t>1.4～&lt;2.8</w:t>
                  </w:r>
                </w:p>
              </w:tc>
              <w:tc>
                <w:tcPr>
                  <w:tcW w:w="1001" w:type="dxa"/>
                  <w:vAlign w:val="center"/>
                </w:tcPr>
                <w:p w14:paraId="579774D2">
                  <w:pPr>
                    <w:jc w:val="center"/>
                    <w:rPr>
                      <w:rStyle w:val="70"/>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u w:val="none"/>
                    </w:rPr>
                    <w:t>2.8～&lt;7</w:t>
                  </w:r>
                </w:p>
              </w:tc>
              <w:tc>
                <w:tcPr>
                  <w:tcW w:w="1265" w:type="dxa"/>
                  <w:vAlign w:val="center"/>
                </w:tcPr>
                <w:p w14:paraId="05504DC1">
                  <w:pPr>
                    <w:jc w:val="center"/>
                    <w:rPr>
                      <w:rStyle w:val="70"/>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u w:val="none"/>
                    </w:rPr>
                    <w:t>7～&lt;14</w:t>
                  </w:r>
                </w:p>
              </w:tc>
              <w:tc>
                <w:tcPr>
                  <w:tcW w:w="737" w:type="dxa"/>
                  <w:vAlign w:val="center"/>
                </w:tcPr>
                <w:p w14:paraId="59B5E169">
                  <w:pPr>
                    <w:jc w:val="center"/>
                    <w:rPr>
                      <w:rStyle w:val="70"/>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u w:val="none"/>
                    </w:rPr>
                    <w:t>= 14</w:t>
                  </w:r>
                </w:p>
              </w:tc>
            </w:tr>
            <w:tr w14:paraId="2091B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vMerge w:val="continue"/>
                  <w:vAlign w:val="center"/>
                </w:tcPr>
                <w:p w14:paraId="23AA45B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70"/>
                      <w:rFonts w:hint="default" w:ascii="Times New Roman" w:hAnsi="Times New Roman" w:eastAsia="宋体" w:cs="Times New Roman"/>
                      <w:b w:val="0"/>
                      <w:bCs w:val="0"/>
                      <w:color w:val="auto"/>
                      <w:sz w:val="21"/>
                      <w:szCs w:val="21"/>
                      <w:highlight w:val="none"/>
                      <w:u w:val="none" w:color="auto"/>
                      <w:vertAlign w:val="baseline"/>
                      <w:lang w:val="en-US" w:eastAsia="zh-CN"/>
                    </w:rPr>
                  </w:pPr>
                </w:p>
              </w:tc>
              <w:tc>
                <w:tcPr>
                  <w:tcW w:w="809" w:type="dxa"/>
                  <w:vAlign w:val="center"/>
                </w:tcPr>
                <w:p w14:paraId="52392B9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70"/>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70"/>
                      <w:rFonts w:hint="default" w:ascii="Times New Roman" w:hAnsi="Times New Roman" w:eastAsia="宋体" w:cs="Times New Roman"/>
                      <w:b w:val="0"/>
                      <w:bCs w:val="0"/>
                      <w:color w:val="auto"/>
                      <w:sz w:val="21"/>
                      <w:szCs w:val="21"/>
                      <w:highlight w:val="none"/>
                      <w:u w:val="none" w:color="auto"/>
                      <w:vertAlign w:val="baseline"/>
                      <w:lang w:val="en-US" w:eastAsia="zh-CN"/>
                    </w:rPr>
                    <w:t>t/h</w:t>
                  </w:r>
                </w:p>
              </w:tc>
              <w:tc>
                <w:tcPr>
                  <w:tcW w:w="885" w:type="dxa"/>
                  <w:vAlign w:val="center"/>
                </w:tcPr>
                <w:p w14:paraId="0332FCFD">
                  <w:pPr>
                    <w:jc w:val="center"/>
                    <w:rPr>
                      <w:rStyle w:val="70"/>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u w:val="none"/>
                    </w:rPr>
                    <w:t>&lt;1</w:t>
                  </w:r>
                </w:p>
              </w:tc>
              <w:tc>
                <w:tcPr>
                  <w:tcW w:w="1140" w:type="dxa"/>
                  <w:vAlign w:val="center"/>
                </w:tcPr>
                <w:p w14:paraId="56EC3112">
                  <w:pPr>
                    <w:jc w:val="center"/>
                    <w:rPr>
                      <w:rStyle w:val="70"/>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u w:val="none"/>
                    </w:rPr>
                    <w:t>1～&lt;2</w:t>
                  </w:r>
                </w:p>
              </w:tc>
              <w:tc>
                <w:tcPr>
                  <w:tcW w:w="1169" w:type="dxa"/>
                  <w:vAlign w:val="center"/>
                </w:tcPr>
                <w:p w14:paraId="52B9DA74">
                  <w:pPr>
                    <w:jc w:val="center"/>
                    <w:rPr>
                      <w:rStyle w:val="70"/>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u w:val="none"/>
                    </w:rPr>
                    <w:t>2～&lt;4</w:t>
                  </w:r>
                </w:p>
              </w:tc>
              <w:tc>
                <w:tcPr>
                  <w:tcW w:w="1001" w:type="dxa"/>
                  <w:vAlign w:val="center"/>
                </w:tcPr>
                <w:p w14:paraId="3007F300">
                  <w:pPr>
                    <w:jc w:val="center"/>
                    <w:rPr>
                      <w:rStyle w:val="70"/>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u w:val="none"/>
                    </w:rPr>
                    <w:t>4～&lt;10</w:t>
                  </w:r>
                </w:p>
              </w:tc>
              <w:tc>
                <w:tcPr>
                  <w:tcW w:w="1265" w:type="dxa"/>
                  <w:vAlign w:val="center"/>
                </w:tcPr>
                <w:p w14:paraId="341A537D">
                  <w:pPr>
                    <w:jc w:val="center"/>
                    <w:rPr>
                      <w:rStyle w:val="70"/>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u w:val="none"/>
                    </w:rPr>
                    <w:t>10～&lt;20</w:t>
                  </w:r>
                </w:p>
              </w:tc>
              <w:tc>
                <w:tcPr>
                  <w:tcW w:w="737" w:type="dxa"/>
                  <w:vAlign w:val="center"/>
                </w:tcPr>
                <w:p w14:paraId="0203A065">
                  <w:pPr>
                    <w:jc w:val="center"/>
                    <w:rPr>
                      <w:rStyle w:val="70"/>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u w:val="none"/>
                    </w:rPr>
                    <w:t>=20</w:t>
                  </w:r>
                </w:p>
              </w:tc>
            </w:tr>
            <w:tr w14:paraId="346E1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00" w:type="dxa"/>
                  <w:vAlign w:val="center"/>
                </w:tcPr>
                <w:p w14:paraId="09808D2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70"/>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70"/>
                      <w:rFonts w:hint="default" w:ascii="Times New Roman" w:hAnsi="Times New Roman" w:eastAsia="宋体" w:cs="Times New Roman"/>
                      <w:b w:val="0"/>
                      <w:bCs w:val="0"/>
                      <w:color w:val="auto"/>
                      <w:sz w:val="21"/>
                      <w:szCs w:val="21"/>
                      <w:highlight w:val="none"/>
                      <w:u w:val="none" w:color="auto"/>
                      <w:vertAlign w:val="baseline"/>
                      <w:lang w:val="en-US" w:eastAsia="zh-CN"/>
                    </w:rPr>
                    <w:t>烟囱最低允许高度</w:t>
                  </w:r>
                </w:p>
              </w:tc>
              <w:tc>
                <w:tcPr>
                  <w:tcW w:w="809" w:type="dxa"/>
                  <w:vAlign w:val="center"/>
                </w:tcPr>
                <w:p w14:paraId="21258F7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70"/>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70"/>
                      <w:rFonts w:hint="default" w:ascii="Times New Roman" w:hAnsi="Times New Roman" w:eastAsia="宋体" w:cs="Times New Roman"/>
                      <w:b w:val="0"/>
                      <w:bCs w:val="0"/>
                      <w:color w:val="auto"/>
                      <w:sz w:val="21"/>
                      <w:szCs w:val="21"/>
                      <w:highlight w:val="none"/>
                      <w:u w:val="none" w:color="auto"/>
                      <w:vertAlign w:val="baseline"/>
                      <w:lang w:val="en-US" w:eastAsia="zh-CN"/>
                    </w:rPr>
                    <w:t>m</w:t>
                  </w:r>
                </w:p>
              </w:tc>
              <w:tc>
                <w:tcPr>
                  <w:tcW w:w="885" w:type="dxa"/>
                  <w:vAlign w:val="center"/>
                </w:tcPr>
                <w:p w14:paraId="655DD948">
                  <w:pPr>
                    <w:jc w:val="center"/>
                    <w:rPr>
                      <w:rStyle w:val="70"/>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u w:val="none"/>
                    </w:rPr>
                    <w:t>20</w:t>
                  </w:r>
                </w:p>
              </w:tc>
              <w:tc>
                <w:tcPr>
                  <w:tcW w:w="1140" w:type="dxa"/>
                  <w:vAlign w:val="center"/>
                </w:tcPr>
                <w:p w14:paraId="5841C4C2">
                  <w:pPr>
                    <w:jc w:val="center"/>
                    <w:rPr>
                      <w:rStyle w:val="70"/>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u w:val="none"/>
                    </w:rPr>
                    <w:t>25</w:t>
                  </w:r>
                </w:p>
              </w:tc>
              <w:tc>
                <w:tcPr>
                  <w:tcW w:w="1169" w:type="dxa"/>
                  <w:vAlign w:val="center"/>
                </w:tcPr>
                <w:p w14:paraId="2CBC167F">
                  <w:pPr>
                    <w:jc w:val="center"/>
                    <w:rPr>
                      <w:rStyle w:val="70"/>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u w:val="none"/>
                    </w:rPr>
                    <w:t>30</w:t>
                  </w:r>
                </w:p>
              </w:tc>
              <w:tc>
                <w:tcPr>
                  <w:tcW w:w="1001" w:type="dxa"/>
                  <w:vAlign w:val="center"/>
                </w:tcPr>
                <w:p w14:paraId="22C452AF">
                  <w:pPr>
                    <w:jc w:val="center"/>
                    <w:rPr>
                      <w:rStyle w:val="70"/>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u w:val="none"/>
                    </w:rPr>
                    <w:t>35</w:t>
                  </w:r>
                </w:p>
              </w:tc>
              <w:tc>
                <w:tcPr>
                  <w:tcW w:w="1265" w:type="dxa"/>
                  <w:vAlign w:val="center"/>
                </w:tcPr>
                <w:p w14:paraId="5C37841C">
                  <w:pPr>
                    <w:jc w:val="center"/>
                    <w:rPr>
                      <w:rStyle w:val="70"/>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u w:val="none"/>
                    </w:rPr>
                    <w:t>40</w:t>
                  </w:r>
                </w:p>
              </w:tc>
              <w:tc>
                <w:tcPr>
                  <w:tcW w:w="737" w:type="dxa"/>
                  <w:vAlign w:val="center"/>
                </w:tcPr>
                <w:p w14:paraId="49CC4281">
                  <w:pPr>
                    <w:jc w:val="center"/>
                    <w:rPr>
                      <w:rStyle w:val="70"/>
                      <w:rFonts w:hint="default" w:ascii="Times New Roman" w:hAnsi="Times New Roman" w:eastAsia="宋体" w:cs="Times New Roman"/>
                      <w:b w:val="0"/>
                      <w:bCs w:val="0"/>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u w:val="none"/>
                    </w:rPr>
                    <w:t>45</w:t>
                  </w:r>
                </w:p>
              </w:tc>
            </w:tr>
          </w:tbl>
          <w:p w14:paraId="5DF5A1EE">
            <w:pPr>
              <w:spacing w:line="360" w:lineRule="auto"/>
              <w:ind w:firstLine="480" w:firstLineChars="200"/>
              <w:rPr>
                <w:rStyle w:val="70"/>
                <w:rFonts w:hint="default" w:ascii="Times New Roman" w:hAnsi="Times New Roman" w:eastAsia="宋体" w:cs="Times New Roman"/>
                <w:b w:val="0"/>
                <w:bCs w:val="0"/>
                <w:color w:val="auto"/>
                <w:sz w:val="24"/>
                <w:szCs w:val="24"/>
                <w:highlight w:val="none"/>
                <w:u w:val="none" w:color="auto"/>
                <w:lang w:val="en-US" w:eastAsia="zh-CN"/>
              </w:rPr>
            </w:pPr>
            <w:r>
              <w:rPr>
                <w:rStyle w:val="70"/>
                <w:rFonts w:hint="default" w:ascii="Times New Roman" w:hAnsi="Times New Roman" w:eastAsia="宋体" w:cs="Times New Roman"/>
                <w:b w:val="0"/>
                <w:bCs w:val="0"/>
                <w:color w:val="auto"/>
                <w:sz w:val="24"/>
                <w:szCs w:val="24"/>
                <w:highlight w:val="none"/>
                <w:u w:val="none" w:color="auto"/>
                <w:lang w:val="en-US" w:eastAsia="zh-CN"/>
              </w:rPr>
              <w:t>本项目两台生物质蒸汽发生器排气筒均设置为30m，根据现场勘查，周边200m最高建筑高度未超过27m，本项目蒸汽发生器排气筒高度设置合理。</w:t>
            </w:r>
          </w:p>
          <w:p w14:paraId="6DA2B3EA">
            <w:pPr>
              <w:spacing w:line="360" w:lineRule="auto"/>
              <w:ind w:firstLine="480" w:firstLineChars="200"/>
              <w:rPr>
                <w:rStyle w:val="70"/>
                <w:rFonts w:hint="default" w:ascii="Times New Roman" w:hAnsi="Times New Roman" w:eastAsia="宋体" w:cs="Times New Roman"/>
                <w:b w:val="0"/>
                <w:bCs w:val="0"/>
                <w:color w:val="auto"/>
                <w:sz w:val="24"/>
                <w:szCs w:val="24"/>
                <w:highlight w:val="none"/>
                <w:u w:val="none" w:color="auto"/>
                <w:lang w:val="en-US" w:eastAsia="zh-CN"/>
              </w:rPr>
            </w:pPr>
            <w:r>
              <w:rPr>
                <w:rStyle w:val="70"/>
                <w:rFonts w:hint="default" w:ascii="Times New Roman" w:hAnsi="Times New Roman" w:eastAsia="宋体" w:cs="Times New Roman"/>
                <w:b w:val="0"/>
                <w:bCs w:val="0"/>
                <w:color w:val="auto"/>
                <w:sz w:val="24"/>
                <w:szCs w:val="24"/>
                <w:highlight w:val="none"/>
                <w:u w:val="none" w:color="auto"/>
                <w:lang w:val="en-US" w:eastAsia="zh-CN"/>
              </w:rPr>
              <w:t>根据《饮食业环境保护技术规范》（HJ554-2010），饮食业单位所在建筑物高度小于等于15m时，油烟排放口应高出屋顶，建筑物高度大于15时，油烟排放口高度应大于15m。本项目厂房高度为8m，设置15m的排气筒，符合要求。</w:t>
            </w:r>
          </w:p>
          <w:p w14:paraId="2B2EFFBC">
            <w:pPr>
              <w:spacing w:line="360" w:lineRule="auto"/>
              <w:ind w:firstLine="480" w:firstLineChars="200"/>
              <w:rPr>
                <w:rStyle w:val="70"/>
                <w:rFonts w:hint="default" w:ascii="Times New Roman" w:hAnsi="Times New Roman" w:eastAsia="宋体" w:cs="Times New Roman"/>
                <w:b w:val="0"/>
                <w:bCs w:val="0"/>
                <w:color w:val="auto"/>
                <w:sz w:val="24"/>
                <w:szCs w:val="24"/>
                <w:highlight w:val="none"/>
                <w:u w:val="none" w:color="auto"/>
                <w:lang w:val="en-US" w:eastAsia="zh-CN"/>
              </w:rPr>
            </w:pPr>
            <w:r>
              <w:rPr>
                <w:rStyle w:val="70"/>
                <w:rFonts w:hint="default" w:ascii="Times New Roman" w:hAnsi="Times New Roman" w:eastAsia="宋体" w:cs="Times New Roman"/>
                <w:b w:val="0"/>
                <w:bCs w:val="0"/>
                <w:color w:val="auto"/>
                <w:sz w:val="24"/>
                <w:szCs w:val="24"/>
                <w:highlight w:val="none"/>
                <w:u w:val="none" w:color="auto"/>
                <w:lang w:val="en-US" w:eastAsia="zh-CN"/>
              </w:rPr>
              <w:t>②排气筒规范化设置要求</w:t>
            </w:r>
          </w:p>
          <w:p w14:paraId="333D0899">
            <w:pPr>
              <w:spacing w:line="360" w:lineRule="auto"/>
              <w:ind w:firstLine="480" w:firstLineChars="200"/>
              <w:rPr>
                <w:rStyle w:val="70"/>
                <w:rFonts w:hint="default" w:ascii="Times New Roman" w:hAnsi="Times New Roman" w:eastAsia="宋体" w:cs="Times New Roman"/>
                <w:b w:val="0"/>
                <w:bCs w:val="0"/>
                <w:color w:val="auto"/>
                <w:sz w:val="24"/>
                <w:szCs w:val="24"/>
                <w:highlight w:val="none"/>
                <w:u w:val="none" w:color="auto"/>
                <w:lang w:val="en-US" w:eastAsia="zh-CN"/>
              </w:rPr>
            </w:pPr>
            <w:r>
              <w:rPr>
                <w:rStyle w:val="70"/>
                <w:rFonts w:hint="default" w:ascii="Times New Roman" w:hAnsi="Times New Roman" w:eastAsia="宋体" w:cs="Times New Roman"/>
                <w:b w:val="0"/>
                <w:bCs w:val="0"/>
                <w:color w:val="auto"/>
                <w:sz w:val="24"/>
                <w:szCs w:val="24"/>
                <w:highlight w:val="none"/>
                <w:u w:val="none" w:color="auto"/>
                <w:lang w:val="en-US" w:eastAsia="zh-CN"/>
              </w:rPr>
              <w:t>建设单位应根据《固定污染源排气中颗粒物测定与气态污染物采样方法》（GB/T16157-1996）、《固定源废气监测技术规范》（HJ/T397-2007）中关于采样位置的要求，在排气筒应设置检测采样孔。采样位置应优先选择在垂直管段，应避开烟道弯头和断面急剧变化的部位。采样位置应设置在距弯头、阀门、变径管下游方向不小于6倍直径，和距上述部件上游方向不小于3倍直径处，对矩形烟道，其当量直径D＝2AB/(A+B)，式中A、B为边长。在选定的测定位置上开设采样孔，采样孔内径应不小于80mm，采样孔管应不大于50mm，不使用时应用盖板、管堵或管帽封闭，当采样孔仅用于采集气态污染物时，其内径应不小于40mm。同时为检测人员设置采样平台，采样平台应有足够的工作面积使工作人员安全、方便地操作，平台面积应不小于1.5m</w:t>
            </w:r>
            <w:r>
              <w:rPr>
                <w:rStyle w:val="70"/>
                <w:rFonts w:hint="default" w:ascii="Times New Roman" w:hAnsi="Times New Roman" w:eastAsia="宋体" w:cs="Times New Roman"/>
                <w:b w:val="0"/>
                <w:bCs w:val="0"/>
                <w:color w:val="auto"/>
                <w:sz w:val="24"/>
                <w:szCs w:val="24"/>
                <w:highlight w:val="none"/>
                <w:u w:val="none" w:color="auto"/>
                <w:vertAlign w:val="superscript"/>
                <w:lang w:val="en-US" w:eastAsia="zh-CN"/>
              </w:rPr>
              <w:t>2</w:t>
            </w:r>
            <w:r>
              <w:rPr>
                <w:rStyle w:val="70"/>
                <w:rFonts w:hint="default" w:ascii="Times New Roman" w:hAnsi="Times New Roman" w:eastAsia="宋体" w:cs="Times New Roman"/>
                <w:b w:val="0"/>
                <w:bCs w:val="0"/>
                <w:color w:val="auto"/>
                <w:sz w:val="24"/>
                <w:szCs w:val="24"/>
                <w:highlight w:val="none"/>
                <w:u w:val="none" w:color="auto"/>
                <w:lang w:val="en-US" w:eastAsia="zh-CN"/>
              </w:rPr>
              <w:t>，并设有1.1m高的护栏，采样孔距平台面约为1.2-1.3m；根据设置的采样平台高度，设置“Z”字型爬梯或环形爬梯，用于采样人员攀登上采样平台，爬梯需做好护栏等防护措施。并在排气筒上或旁边张贴标示牌。</w:t>
            </w:r>
          </w:p>
          <w:p w14:paraId="64731C9A">
            <w:pPr>
              <w:spacing w:line="360" w:lineRule="auto"/>
              <w:ind w:firstLine="480" w:firstLineChars="200"/>
              <w:rPr>
                <w:rStyle w:val="70"/>
                <w:rFonts w:hint="default" w:ascii="Times New Roman" w:hAnsi="Times New Roman" w:eastAsia="宋体" w:cs="Times New Roman"/>
                <w:b w:val="0"/>
                <w:bCs w:val="0"/>
                <w:color w:val="auto"/>
                <w:sz w:val="24"/>
                <w:szCs w:val="24"/>
                <w:highlight w:val="none"/>
                <w:u w:val="none" w:color="auto"/>
                <w:lang w:val="en-US" w:eastAsia="zh-CN"/>
              </w:rPr>
            </w:pPr>
            <w:r>
              <w:rPr>
                <w:rStyle w:val="70"/>
                <w:rFonts w:hint="default" w:ascii="Times New Roman" w:hAnsi="Times New Roman" w:eastAsia="宋体" w:cs="Times New Roman"/>
                <w:b w:val="0"/>
                <w:bCs w:val="0"/>
                <w:color w:val="auto"/>
                <w:sz w:val="24"/>
                <w:szCs w:val="24"/>
                <w:highlight w:val="none"/>
                <w:u w:val="none" w:color="auto"/>
                <w:lang w:val="en-US" w:eastAsia="zh-CN"/>
              </w:rPr>
              <w:t>5、废气治理措施可行性分析</w:t>
            </w:r>
          </w:p>
          <w:p w14:paraId="07A5C1ED">
            <w:pPr>
              <w:spacing w:line="360" w:lineRule="auto"/>
              <w:ind w:firstLine="480" w:firstLineChars="200"/>
              <w:rPr>
                <w:rStyle w:val="70"/>
                <w:rFonts w:hint="default" w:ascii="Times New Roman" w:hAnsi="Times New Roman" w:eastAsia="宋体" w:cs="Times New Roman"/>
                <w:b w:val="0"/>
                <w:bCs w:val="0"/>
                <w:color w:val="auto"/>
                <w:sz w:val="24"/>
                <w:szCs w:val="24"/>
                <w:highlight w:val="none"/>
                <w:u w:val="none" w:color="auto"/>
                <w:lang w:val="en-US" w:eastAsia="zh-CN"/>
              </w:rPr>
            </w:pPr>
            <w:r>
              <w:rPr>
                <w:rStyle w:val="70"/>
                <w:rFonts w:hint="default" w:ascii="Times New Roman" w:hAnsi="Times New Roman" w:eastAsia="宋体" w:cs="Times New Roman"/>
                <w:b w:val="0"/>
                <w:bCs w:val="0"/>
                <w:color w:val="auto"/>
                <w:sz w:val="24"/>
                <w:szCs w:val="24"/>
                <w:highlight w:val="none"/>
                <w:u w:val="none" w:color="auto"/>
                <w:lang w:val="en-US" w:eastAsia="zh-CN"/>
              </w:rPr>
              <w:t>（1）投料粉尘</w:t>
            </w:r>
          </w:p>
          <w:p w14:paraId="0B1D374C">
            <w:pPr>
              <w:spacing w:line="360" w:lineRule="auto"/>
              <w:ind w:firstLine="480" w:firstLineChars="200"/>
              <w:rPr>
                <w:rStyle w:val="70"/>
                <w:rFonts w:hint="default" w:ascii="Times New Roman" w:hAnsi="Times New Roman" w:eastAsia="宋体" w:cs="Times New Roman"/>
                <w:b w:val="0"/>
                <w:bCs w:val="0"/>
                <w:color w:val="auto"/>
                <w:sz w:val="24"/>
                <w:szCs w:val="24"/>
                <w:highlight w:val="none"/>
                <w:u w:val="none" w:color="auto"/>
                <w:lang w:val="en-US" w:eastAsia="zh-CN"/>
              </w:rPr>
            </w:pPr>
            <w:r>
              <w:rPr>
                <w:rStyle w:val="70"/>
                <w:rFonts w:hint="default" w:ascii="Times New Roman" w:hAnsi="Times New Roman" w:eastAsia="宋体" w:cs="Times New Roman"/>
                <w:b w:val="0"/>
                <w:bCs w:val="0"/>
                <w:color w:val="auto"/>
                <w:sz w:val="24"/>
                <w:szCs w:val="24"/>
                <w:highlight w:val="none"/>
                <w:u w:val="none" w:color="auto"/>
                <w:lang w:val="en-US" w:eastAsia="zh-CN"/>
              </w:rPr>
              <w:t>本项目投料粉尘产生量较小，能满足《大气污染物综合排放标准》（GB16297-1996）中表2的无组织排放标准浓度限值，对周围环境无影响。</w:t>
            </w:r>
          </w:p>
          <w:p w14:paraId="66512DE4">
            <w:pPr>
              <w:spacing w:line="360" w:lineRule="auto"/>
              <w:ind w:firstLine="480" w:firstLineChars="200"/>
              <w:rPr>
                <w:rStyle w:val="70"/>
                <w:rFonts w:hint="default" w:ascii="Times New Roman" w:hAnsi="Times New Roman" w:eastAsia="宋体" w:cs="Times New Roman"/>
                <w:b w:val="0"/>
                <w:bCs w:val="0"/>
                <w:color w:val="auto"/>
                <w:sz w:val="24"/>
                <w:szCs w:val="24"/>
                <w:highlight w:val="none"/>
                <w:u w:val="none" w:color="auto"/>
                <w:lang w:val="en-US" w:eastAsia="zh-CN"/>
              </w:rPr>
            </w:pPr>
            <w:r>
              <w:rPr>
                <w:rStyle w:val="70"/>
                <w:rFonts w:hint="default" w:ascii="Times New Roman" w:hAnsi="Times New Roman" w:eastAsia="宋体" w:cs="Times New Roman"/>
                <w:b w:val="0"/>
                <w:bCs w:val="0"/>
                <w:color w:val="auto"/>
                <w:sz w:val="24"/>
                <w:szCs w:val="24"/>
                <w:highlight w:val="none"/>
                <w:u w:val="none" w:color="auto"/>
                <w:lang w:val="en-US" w:eastAsia="zh-CN"/>
              </w:rPr>
              <w:t>（2）车间异味、豆渣存放异味</w:t>
            </w:r>
          </w:p>
          <w:p w14:paraId="0530E6A4">
            <w:pPr>
              <w:spacing w:line="360" w:lineRule="auto"/>
              <w:ind w:firstLine="480" w:firstLineChars="200"/>
              <w:rPr>
                <w:rStyle w:val="70"/>
                <w:rFonts w:hint="default" w:ascii="Times New Roman" w:hAnsi="Times New Roman" w:eastAsia="宋体" w:cs="Times New Roman"/>
                <w:b w:val="0"/>
                <w:bCs w:val="0"/>
                <w:color w:val="auto"/>
                <w:sz w:val="24"/>
                <w:szCs w:val="24"/>
                <w:highlight w:val="none"/>
                <w:u w:val="none" w:color="auto"/>
                <w:lang w:val="en-US" w:eastAsia="zh-CN"/>
              </w:rPr>
            </w:pPr>
            <w:r>
              <w:rPr>
                <w:rStyle w:val="70"/>
                <w:rFonts w:hint="default" w:ascii="Times New Roman" w:hAnsi="Times New Roman" w:eastAsia="宋体" w:cs="Times New Roman"/>
                <w:b w:val="0"/>
                <w:bCs w:val="0"/>
                <w:color w:val="auto"/>
                <w:sz w:val="24"/>
                <w:szCs w:val="24"/>
                <w:highlight w:val="none"/>
                <w:u w:val="none" w:color="auto"/>
                <w:lang w:val="en-US" w:eastAsia="zh-CN"/>
              </w:rPr>
              <w:t>本项目运营期需严格遵守食品安全与卫生管理制度，通过生产车间的排气系统加强车间内气味的扩散。通过加强车间通风换气，生产过程中食品加工气味排放可达到《恶臭污染物排放标准》（GB14554-93）新扩改建厂界二级标准值要求，对周围环境影响不大。</w:t>
            </w:r>
          </w:p>
          <w:p w14:paraId="52F6F0E8">
            <w:pPr>
              <w:spacing w:line="360" w:lineRule="auto"/>
              <w:ind w:firstLine="480" w:firstLineChars="200"/>
              <w:rPr>
                <w:rStyle w:val="70"/>
                <w:rFonts w:hint="default" w:ascii="Times New Roman" w:hAnsi="Times New Roman" w:eastAsia="宋体" w:cs="Times New Roman"/>
                <w:b w:val="0"/>
                <w:bCs w:val="0"/>
                <w:color w:val="auto"/>
                <w:sz w:val="24"/>
                <w:szCs w:val="24"/>
                <w:highlight w:val="none"/>
                <w:u w:val="none" w:color="auto"/>
                <w:lang w:val="en-US" w:eastAsia="zh-CN"/>
              </w:rPr>
            </w:pPr>
            <w:r>
              <w:rPr>
                <w:rStyle w:val="70"/>
                <w:rFonts w:hint="default" w:ascii="Times New Roman" w:hAnsi="Times New Roman" w:eastAsia="宋体" w:cs="Times New Roman"/>
                <w:b w:val="0"/>
                <w:bCs w:val="0"/>
                <w:color w:val="auto"/>
                <w:sz w:val="24"/>
                <w:szCs w:val="24"/>
                <w:highlight w:val="none"/>
                <w:u w:val="none" w:color="auto"/>
                <w:lang w:val="en-US" w:eastAsia="zh-CN"/>
              </w:rPr>
              <w:t>本项目拟设置专门储存区域暂存豆渣。豆渣拟使用带盖的塑料桶盛装暂存，且做到日产日清，故产生的污染物浓度较小，同时加强储存场所的通风，臭气浓度无组织排放可以达到《恶臭污染物排放标准》（GB14554-93）新扩改建厂界二级标准值要求。</w:t>
            </w:r>
          </w:p>
          <w:p w14:paraId="50FEF6CA">
            <w:pPr>
              <w:spacing w:line="360" w:lineRule="auto"/>
              <w:ind w:firstLine="480" w:firstLineChars="200"/>
              <w:rPr>
                <w:rStyle w:val="70"/>
                <w:rFonts w:hint="default" w:ascii="Times New Roman" w:hAnsi="Times New Roman" w:eastAsia="宋体" w:cs="Times New Roman"/>
                <w:b w:val="0"/>
                <w:bCs w:val="0"/>
                <w:color w:val="auto"/>
                <w:sz w:val="24"/>
                <w:szCs w:val="24"/>
                <w:highlight w:val="none"/>
                <w:u w:val="none" w:color="auto"/>
                <w:lang w:val="en-US" w:eastAsia="zh-CN"/>
              </w:rPr>
            </w:pPr>
            <w:r>
              <w:rPr>
                <w:rStyle w:val="70"/>
                <w:rFonts w:hint="default" w:ascii="Times New Roman" w:hAnsi="Times New Roman" w:eastAsia="宋体" w:cs="Times New Roman"/>
                <w:b w:val="0"/>
                <w:bCs w:val="0"/>
                <w:color w:val="auto"/>
                <w:sz w:val="24"/>
                <w:szCs w:val="24"/>
                <w:highlight w:val="none"/>
                <w:u w:val="none" w:color="auto"/>
                <w:lang w:val="en-US" w:eastAsia="zh-CN"/>
              </w:rPr>
              <w:t>（3）污水处理系统恶臭</w:t>
            </w:r>
          </w:p>
          <w:p w14:paraId="240CC2D1">
            <w:pPr>
              <w:spacing w:line="360" w:lineRule="auto"/>
              <w:ind w:firstLine="480" w:firstLineChars="200"/>
              <w:rPr>
                <w:rStyle w:val="70"/>
                <w:rFonts w:hint="default" w:ascii="Times New Roman" w:hAnsi="Times New Roman" w:eastAsia="宋体" w:cs="Times New Roman"/>
                <w:b w:val="0"/>
                <w:bCs w:val="0"/>
                <w:color w:val="auto"/>
                <w:sz w:val="24"/>
                <w:szCs w:val="24"/>
                <w:highlight w:val="none"/>
                <w:u w:val="none" w:color="auto"/>
                <w:lang w:val="en-US" w:eastAsia="zh-CN"/>
              </w:rPr>
            </w:pPr>
            <w:r>
              <w:rPr>
                <w:rStyle w:val="70"/>
                <w:rFonts w:hint="default" w:ascii="Times New Roman" w:hAnsi="Times New Roman" w:eastAsia="宋体" w:cs="Times New Roman"/>
                <w:b w:val="0"/>
                <w:bCs w:val="0"/>
                <w:color w:val="auto"/>
                <w:sz w:val="24"/>
                <w:szCs w:val="24"/>
                <w:highlight w:val="none"/>
                <w:u w:val="none" w:color="auto"/>
                <w:lang w:val="en-US" w:eastAsia="zh-CN"/>
              </w:rPr>
              <w:t>本项目污水处理设施为地埋式，采取加盖密闭处理，无组织逸散的臭气极少，根据《排污许可证申请与核发技术规范 食品制造工业一方便食品、食品及饲料添加剂制造工业》（HJ1030.3-2019）、《排污许可证申请与核发技术规范 食品制造工业一屠宰与肉类加工工业》（HJ860.3-2018），污水处理站废气采用在产生恶臭区域加罩或加盖、投放除臭剂后无组织排放属于可行技术。</w:t>
            </w:r>
          </w:p>
          <w:p w14:paraId="3912322E">
            <w:pPr>
              <w:spacing w:line="360" w:lineRule="auto"/>
              <w:ind w:firstLine="480" w:firstLineChars="200"/>
              <w:rPr>
                <w:rStyle w:val="70"/>
                <w:rFonts w:hint="default" w:ascii="Times New Roman" w:hAnsi="Times New Roman" w:eastAsia="宋体" w:cs="Times New Roman"/>
                <w:b w:val="0"/>
                <w:bCs w:val="0"/>
                <w:color w:val="auto"/>
                <w:sz w:val="24"/>
                <w:szCs w:val="24"/>
                <w:highlight w:val="none"/>
                <w:u w:val="none" w:color="auto"/>
                <w:lang w:val="en-US" w:eastAsia="zh-CN"/>
              </w:rPr>
            </w:pPr>
            <w:r>
              <w:rPr>
                <w:rStyle w:val="70"/>
                <w:rFonts w:hint="default" w:ascii="Times New Roman" w:hAnsi="Times New Roman" w:eastAsia="宋体" w:cs="Times New Roman"/>
                <w:b w:val="0"/>
                <w:bCs w:val="0"/>
                <w:color w:val="auto"/>
                <w:sz w:val="24"/>
                <w:szCs w:val="24"/>
                <w:highlight w:val="none"/>
                <w:u w:val="none" w:color="auto"/>
                <w:lang w:val="en-US" w:eastAsia="zh-CN"/>
              </w:rPr>
              <w:t>（4）油烟废气</w:t>
            </w:r>
          </w:p>
          <w:p w14:paraId="23B1EDF5">
            <w:pPr>
              <w:spacing w:line="360" w:lineRule="auto"/>
              <w:ind w:firstLine="480" w:firstLineChars="200"/>
              <w:rPr>
                <w:rStyle w:val="70"/>
                <w:rFonts w:hint="default" w:ascii="Times New Roman" w:hAnsi="Times New Roman" w:eastAsia="宋体" w:cs="Times New Roman"/>
                <w:b w:val="0"/>
                <w:bCs w:val="0"/>
                <w:color w:val="auto"/>
                <w:sz w:val="24"/>
                <w:szCs w:val="24"/>
                <w:highlight w:val="none"/>
                <w:u w:val="none" w:color="auto"/>
                <w:lang w:val="en-US" w:eastAsia="zh-CN"/>
              </w:rPr>
            </w:pPr>
            <w:r>
              <w:rPr>
                <w:rStyle w:val="70"/>
                <w:rFonts w:hint="default" w:ascii="Times New Roman" w:hAnsi="Times New Roman" w:eastAsia="宋体" w:cs="Times New Roman"/>
                <w:b w:val="0"/>
                <w:bCs w:val="0"/>
                <w:color w:val="auto"/>
                <w:sz w:val="24"/>
                <w:szCs w:val="24"/>
                <w:highlight w:val="none"/>
                <w:u w:val="none" w:color="auto"/>
                <w:lang w:val="en-US" w:eastAsia="zh-CN"/>
              </w:rPr>
              <w:t>静电式油压净化器主要特点是电场模块化设计，可按风量大小拼装成型，蜂窝式的电场钢性好、便于拆装、不会变形，清洗维护方便，设备运行噪音小，阻力小，运行成本低，净化效率高，油烟净化效率高于90%等。其工作原理为将油烟气引入高压电场，在高压电场中发生电离而使油烟中的颗粒物负电，在电场作用下向集尘极运动，并在集尘极沉淀下来从油烟中脱除。静电净化设备主要有两个工作区域，前区安装放电极，称为电离区，油烟颗粒进入后首先负电，后区安装除尘极，称为受尘区，荷电颗粒在此区域被捕集。该法处理效率高，通常可达90%以上，运行稳定，且具有压力损失小、处理量大、能耗低、即使对亚微米级的粒子也能有效地捕集、处理粒子的粒子范围广、可在高温条件下操作、占地面积小等优点。同时由于在高压电流的作用下，能对某些油烟分子起分解作用，从而达到去除目的。所以，对于厨房的油烟处理是特别适用静电法处理。油炸油烟与厨房油烟类似，可采用静电法处理。</w:t>
            </w:r>
          </w:p>
          <w:p w14:paraId="74E45414">
            <w:pPr>
              <w:spacing w:line="360" w:lineRule="auto"/>
              <w:ind w:firstLine="480" w:firstLineChars="200"/>
              <w:rPr>
                <w:rStyle w:val="70"/>
                <w:rFonts w:hint="default" w:ascii="Times New Roman" w:hAnsi="Times New Roman" w:eastAsia="宋体" w:cs="Times New Roman"/>
                <w:b w:val="0"/>
                <w:bCs w:val="0"/>
                <w:color w:val="auto"/>
                <w:sz w:val="24"/>
                <w:szCs w:val="24"/>
                <w:highlight w:val="none"/>
                <w:u w:val="none" w:color="auto"/>
                <w:lang w:val="en-US" w:eastAsia="zh-CN"/>
              </w:rPr>
            </w:pPr>
            <w:r>
              <w:rPr>
                <w:rStyle w:val="70"/>
                <w:rFonts w:hint="default" w:ascii="Times New Roman" w:hAnsi="Times New Roman" w:eastAsia="宋体" w:cs="Times New Roman"/>
                <w:b w:val="0"/>
                <w:bCs w:val="0"/>
                <w:color w:val="auto"/>
                <w:sz w:val="24"/>
                <w:szCs w:val="24"/>
                <w:highlight w:val="none"/>
                <w:u w:val="none" w:color="auto"/>
                <w:lang w:val="en-US" w:eastAsia="zh-CN"/>
              </w:rPr>
              <w:t>由于无豆制品行业的技术规范，故参考《排污许可证申请与核发技术规范 食品制造工业—方便食品、食品及饲料添加剂制造工业》（HJ 1030.3—2019）附录B 中的“表B.1 方便食品制造工业排污单位废气污染防治可行技术参考表”，“静电油烟处理器”被列为“油炸设备、烹饪设备”（污染控制项目“油烟”）的可行技术。</w:t>
            </w:r>
          </w:p>
          <w:p w14:paraId="38C53BC6">
            <w:pPr>
              <w:spacing w:line="360" w:lineRule="auto"/>
              <w:ind w:firstLine="480" w:firstLineChars="200"/>
              <w:rPr>
                <w:rStyle w:val="70"/>
                <w:rFonts w:hint="default" w:ascii="Times New Roman" w:hAnsi="Times New Roman" w:eastAsia="宋体" w:cs="Times New Roman"/>
                <w:b w:val="0"/>
                <w:bCs w:val="0"/>
                <w:color w:val="auto"/>
                <w:sz w:val="24"/>
                <w:szCs w:val="24"/>
                <w:highlight w:val="none"/>
                <w:u w:val="none" w:color="auto"/>
                <w:lang w:val="en-US" w:eastAsia="zh-CN"/>
              </w:rPr>
            </w:pPr>
            <w:r>
              <w:rPr>
                <w:rStyle w:val="70"/>
                <w:rFonts w:hint="default" w:ascii="Times New Roman" w:hAnsi="Times New Roman" w:eastAsia="宋体" w:cs="Times New Roman"/>
                <w:b w:val="0"/>
                <w:bCs w:val="0"/>
                <w:color w:val="auto"/>
                <w:sz w:val="24"/>
                <w:szCs w:val="24"/>
                <w:highlight w:val="none"/>
                <w:u w:val="none" w:color="auto"/>
                <w:lang w:val="en-US" w:eastAsia="zh-CN"/>
              </w:rPr>
              <w:t>（5）蒸汽发生器废气</w:t>
            </w:r>
          </w:p>
          <w:p w14:paraId="766DAED5">
            <w:pPr>
              <w:spacing w:line="360" w:lineRule="auto"/>
              <w:ind w:firstLine="480" w:firstLineChars="200"/>
              <w:rPr>
                <w:rStyle w:val="70"/>
                <w:rFonts w:hint="default" w:ascii="Times New Roman" w:hAnsi="Times New Roman" w:eastAsia="宋体" w:cs="Times New Roman"/>
                <w:b w:val="0"/>
                <w:bCs w:val="0"/>
                <w:color w:val="auto"/>
                <w:sz w:val="24"/>
                <w:szCs w:val="24"/>
                <w:highlight w:val="none"/>
                <w:u w:val="none" w:color="auto"/>
                <w:lang w:val="en-US" w:eastAsia="zh-CN"/>
              </w:rPr>
            </w:pPr>
            <w:r>
              <w:rPr>
                <w:rStyle w:val="70"/>
                <w:rFonts w:hint="default" w:ascii="Times New Roman" w:hAnsi="Times New Roman" w:eastAsia="宋体" w:cs="Times New Roman"/>
                <w:b w:val="0"/>
                <w:bCs w:val="0"/>
                <w:color w:val="auto"/>
                <w:sz w:val="24"/>
                <w:szCs w:val="24"/>
                <w:highlight w:val="none"/>
                <w:u w:val="none" w:color="auto"/>
                <w:lang w:val="en-US" w:eastAsia="zh-CN"/>
              </w:rPr>
              <w:t>本项目蒸汽发生器燃烧废气二氧化硫、氮氧化物产生浓度即可达到排放标准要求，参照《排污许可证申请与核发技术规范 锅炉》（HJ953-2018）表3，燃生物锅炉</w:t>
            </w:r>
            <w:r>
              <w:rPr>
                <w:rStyle w:val="70"/>
                <w:rFonts w:hint="eastAsia" w:ascii="Times New Roman" w:hAnsi="Times New Roman" w:eastAsia="宋体" w:cs="Times New Roman"/>
                <w:b w:val="0"/>
                <w:bCs w:val="0"/>
                <w:color w:val="auto"/>
                <w:sz w:val="24"/>
                <w:szCs w:val="24"/>
                <w:highlight w:val="none"/>
                <w:u w:val="none" w:color="auto"/>
                <w:lang w:val="en-US" w:eastAsia="zh-CN"/>
              </w:rPr>
              <w:t>颗粒物污染物防治设施可行技术为袋式除尘器、旋风除尘器、旋风除尘器+袋式除尘器、其他，本项目生物质蒸汽发生器采用袋式除尘器，属于可行技术。</w:t>
            </w:r>
          </w:p>
          <w:p w14:paraId="40EEE8D6">
            <w:pPr>
              <w:spacing w:line="360" w:lineRule="auto"/>
              <w:ind w:firstLine="480" w:firstLineChars="200"/>
              <w:rPr>
                <w:rStyle w:val="70"/>
                <w:rFonts w:hint="default" w:ascii="Times New Roman" w:hAnsi="Times New Roman" w:eastAsia="宋体" w:cs="Times New Roman"/>
                <w:b w:val="0"/>
                <w:bCs w:val="0"/>
                <w:color w:val="auto"/>
                <w:sz w:val="24"/>
                <w:szCs w:val="24"/>
                <w:highlight w:val="none"/>
                <w:u w:val="none" w:color="auto"/>
                <w:lang w:val="en-US" w:eastAsia="zh-CN"/>
              </w:rPr>
            </w:pPr>
            <w:r>
              <w:rPr>
                <w:rStyle w:val="70"/>
                <w:rFonts w:hint="eastAsia" w:ascii="Times New Roman" w:hAnsi="Times New Roman" w:eastAsia="宋体" w:cs="Times New Roman"/>
                <w:b w:val="0"/>
                <w:bCs w:val="0"/>
                <w:color w:val="auto"/>
                <w:sz w:val="24"/>
                <w:szCs w:val="24"/>
                <w:highlight w:val="none"/>
                <w:u w:val="none" w:color="auto"/>
                <w:lang w:val="en-US" w:eastAsia="zh-CN"/>
              </w:rPr>
              <w:t>6、非正常情况排放</w:t>
            </w:r>
          </w:p>
          <w:p w14:paraId="779F1315">
            <w:pPr>
              <w:keepNext w:val="0"/>
              <w:keepLines w:val="0"/>
              <w:suppressLineNumbers w:val="0"/>
              <w:bidi w:val="0"/>
              <w:spacing w:before="0" w:beforeAutospacing="0" w:after="0" w:afterAutospacing="0" w:line="360" w:lineRule="auto"/>
              <w:ind w:left="0" w:right="0" w:firstLine="480" w:firstLineChars="200"/>
              <w:rPr>
                <w:rFonts w:hint="eastAsia" w:ascii="Times New Roman" w:hAnsi="Times New Roman" w:eastAsia="宋体" w:cs="Times New Roman"/>
                <w:color w:val="auto"/>
                <w:sz w:val="24"/>
                <w:szCs w:val="24"/>
                <w:u w:val="none"/>
                <w:lang w:eastAsia="zh-CN"/>
              </w:rPr>
            </w:pPr>
            <w:r>
              <w:rPr>
                <w:rFonts w:hint="default" w:ascii="宋体" w:hAnsi="Times New Roman" w:eastAsia="宋体" w:cs="Times New Roman"/>
                <w:color w:val="auto"/>
                <w:sz w:val="24"/>
                <w:szCs w:val="24"/>
                <w:u w:val="none"/>
              </w:rPr>
              <w:t>本项目的非正常情况主要是污染物排放控制措施达不到应有效率，即排气筒对应的处理装置失效</w:t>
            </w:r>
            <w:r>
              <w:rPr>
                <w:rFonts w:hint="default" w:ascii="Times New Roman" w:hAnsi="Times New Roman" w:eastAsia="宋体" w:cs="Times New Roman"/>
                <w:color w:val="auto"/>
                <w:sz w:val="24"/>
                <w:szCs w:val="24"/>
                <w:u w:val="none"/>
              </w:rPr>
              <w:t>，造成排气筒废气未经净化直接排放，其排放情况如下表所示。处理装置失效，处理效率为1次/a，1h/次</w:t>
            </w:r>
            <w:r>
              <w:rPr>
                <w:rFonts w:hint="eastAsia" w:ascii="Times New Roman" w:hAnsi="Times New Roman" w:eastAsia="宋体" w:cs="Times New Roman"/>
                <w:color w:val="auto"/>
                <w:sz w:val="24"/>
                <w:szCs w:val="24"/>
                <w:u w:val="none"/>
                <w:lang w:eastAsia="zh-CN"/>
              </w:rPr>
              <w:t>。</w:t>
            </w:r>
          </w:p>
          <w:p w14:paraId="3F87ACCC">
            <w:pPr>
              <w:keepNext w:val="0"/>
              <w:keepLines w:val="0"/>
              <w:suppressLineNumbers w:val="0"/>
              <w:bidi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b/>
                <w:snapToGrid w:val="0"/>
                <w:color w:val="auto"/>
                <w:kern w:val="24"/>
                <w:sz w:val="24"/>
                <w:szCs w:val="24"/>
                <w:u w:val="none"/>
              </w:rPr>
            </w:pPr>
            <w:r>
              <w:rPr>
                <w:rFonts w:hint="default" w:ascii="Times New Roman" w:hAnsi="Times New Roman" w:eastAsia="宋体" w:cs="Times New Roman"/>
                <w:b/>
                <w:snapToGrid w:val="0"/>
                <w:color w:val="auto"/>
                <w:kern w:val="24"/>
                <w:sz w:val="21"/>
                <w:szCs w:val="21"/>
                <w:u w:val="none"/>
              </w:rPr>
              <w:t>表4-</w:t>
            </w:r>
            <w:r>
              <w:rPr>
                <w:rFonts w:hint="eastAsia" w:ascii="Times New Roman" w:hAnsi="Times New Roman" w:eastAsia="宋体" w:cs="Times New Roman"/>
                <w:b/>
                <w:snapToGrid w:val="0"/>
                <w:color w:val="auto"/>
                <w:kern w:val="24"/>
                <w:sz w:val="21"/>
                <w:szCs w:val="21"/>
                <w:u w:val="none"/>
                <w:lang w:val="en-US" w:eastAsia="zh-CN"/>
              </w:rPr>
              <w:t xml:space="preserve">9 </w:t>
            </w:r>
            <w:r>
              <w:rPr>
                <w:rFonts w:hint="default" w:ascii="宋体" w:hAnsi="Times New Roman" w:eastAsia="宋体" w:cs="Times New Roman"/>
                <w:b/>
                <w:snapToGrid w:val="0"/>
                <w:color w:val="auto"/>
                <w:kern w:val="24"/>
                <w:sz w:val="21"/>
                <w:szCs w:val="21"/>
                <w:u w:val="none"/>
              </w:rPr>
              <w:t>非正常情况废气排放情况</w:t>
            </w:r>
          </w:p>
          <w:tbl>
            <w:tblPr>
              <w:tblStyle w:val="42"/>
              <w:tblW w:w="492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652"/>
              <w:gridCol w:w="771"/>
              <w:gridCol w:w="821"/>
              <w:gridCol w:w="949"/>
              <w:gridCol w:w="840"/>
              <w:gridCol w:w="930"/>
              <w:gridCol w:w="975"/>
              <w:gridCol w:w="1321"/>
              <w:gridCol w:w="596"/>
            </w:tblGrid>
            <w:tr w14:paraId="5588093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219" w:hRule="atLeast"/>
                <w:jc w:val="center"/>
              </w:trPr>
              <w:tc>
                <w:tcPr>
                  <w:tcW w:w="415" w:type="pct"/>
                  <w:vMerge w:val="restart"/>
                  <w:tcBorders>
                    <w:bottom w:val="single" w:color="auto" w:sz="4" w:space="0"/>
                    <w:right w:val="single" w:color="auto" w:sz="4" w:space="0"/>
                  </w:tcBorders>
                  <w:noWrap w:val="0"/>
                  <w:vAlign w:val="center"/>
                </w:tcPr>
                <w:p w14:paraId="1D10CBDF">
                  <w:pPr>
                    <w:keepNext w:val="0"/>
                    <w:keepLines w:val="0"/>
                    <w:suppressLineNumbers w:val="0"/>
                    <w:autoSpaceDE w:val="0"/>
                    <w:autoSpaceDN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0"/>
                      <w:sz w:val="21"/>
                      <w:szCs w:val="21"/>
                      <w:u w:val="none"/>
                    </w:rPr>
                  </w:pPr>
                  <w:r>
                    <w:rPr>
                      <w:rFonts w:hint="default" w:ascii="Times New Roman" w:hAnsi="Times New Roman" w:eastAsia="宋体" w:cs="Times New Roman"/>
                      <w:b/>
                      <w:color w:val="auto"/>
                      <w:kern w:val="0"/>
                      <w:sz w:val="21"/>
                      <w:szCs w:val="21"/>
                      <w:u w:val="none"/>
                    </w:rPr>
                    <w:t>污染源</w:t>
                  </w:r>
                </w:p>
              </w:tc>
              <w:tc>
                <w:tcPr>
                  <w:tcW w:w="490" w:type="pct"/>
                  <w:vMerge w:val="restart"/>
                  <w:tcBorders>
                    <w:left w:val="single" w:color="auto" w:sz="4" w:space="0"/>
                    <w:bottom w:val="single" w:color="auto" w:sz="4" w:space="0"/>
                    <w:right w:val="single" w:color="auto" w:sz="4" w:space="0"/>
                  </w:tcBorders>
                  <w:noWrap w:val="0"/>
                  <w:vAlign w:val="center"/>
                </w:tcPr>
                <w:p w14:paraId="1B5B6FE3">
                  <w:pPr>
                    <w:keepNext w:val="0"/>
                    <w:keepLines w:val="0"/>
                    <w:suppressLineNumbers w:val="0"/>
                    <w:autoSpaceDE w:val="0"/>
                    <w:autoSpaceDN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0"/>
                      <w:sz w:val="21"/>
                      <w:szCs w:val="21"/>
                      <w:u w:val="none"/>
                    </w:rPr>
                  </w:pPr>
                  <w:r>
                    <w:rPr>
                      <w:rFonts w:hint="default" w:ascii="Times New Roman" w:hAnsi="Times New Roman" w:eastAsia="宋体" w:cs="Times New Roman"/>
                      <w:b/>
                      <w:color w:val="auto"/>
                      <w:kern w:val="0"/>
                      <w:sz w:val="21"/>
                      <w:szCs w:val="21"/>
                      <w:u w:val="none"/>
                    </w:rPr>
                    <w:t>污染物名称</w:t>
                  </w:r>
                </w:p>
              </w:tc>
              <w:tc>
                <w:tcPr>
                  <w:tcW w:w="522" w:type="pct"/>
                  <w:vMerge w:val="restart"/>
                  <w:tcBorders>
                    <w:left w:val="single" w:color="auto" w:sz="4" w:space="0"/>
                    <w:bottom w:val="single" w:color="auto" w:sz="4" w:space="0"/>
                    <w:right w:val="single" w:color="auto" w:sz="4" w:space="0"/>
                  </w:tcBorders>
                  <w:noWrap w:val="0"/>
                  <w:vAlign w:val="center"/>
                </w:tcPr>
                <w:p w14:paraId="0B6F3117">
                  <w:pPr>
                    <w:keepNext w:val="0"/>
                    <w:keepLines w:val="0"/>
                    <w:suppressLineNumbers w:val="0"/>
                    <w:autoSpaceDE w:val="0"/>
                    <w:autoSpaceDN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0"/>
                      <w:sz w:val="21"/>
                      <w:szCs w:val="21"/>
                      <w:u w:val="none"/>
                    </w:rPr>
                  </w:pPr>
                  <w:r>
                    <w:rPr>
                      <w:rFonts w:hint="default" w:ascii="Times New Roman" w:hAnsi="Times New Roman" w:eastAsia="宋体" w:cs="Times New Roman"/>
                      <w:b/>
                      <w:color w:val="auto"/>
                      <w:kern w:val="0"/>
                      <w:sz w:val="21"/>
                      <w:szCs w:val="21"/>
                      <w:u w:val="none"/>
                    </w:rPr>
                    <w:t>非正常排放原因</w:t>
                  </w:r>
                </w:p>
              </w:tc>
              <w:tc>
                <w:tcPr>
                  <w:tcW w:w="2351" w:type="pct"/>
                  <w:gridSpan w:val="4"/>
                  <w:tcBorders>
                    <w:left w:val="single" w:color="auto" w:sz="4" w:space="0"/>
                    <w:bottom w:val="single" w:color="auto" w:sz="4" w:space="0"/>
                    <w:right w:val="single" w:color="auto" w:sz="4" w:space="0"/>
                  </w:tcBorders>
                  <w:noWrap w:val="0"/>
                  <w:vAlign w:val="center"/>
                </w:tcPr>
                <w:p w14:paraId="00F9EA0C">
                  <w:pPr>
                    <w:keepNext w:val="0"/>
                    <w:keepLines w:val="0"/>
                    <w:suppressLineNumbers w:val="0"/>
                    <w:autoSpaceDE w:val="0"/>
                    <w:autoSpaceDN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0"/>
                      <w:sz w:val="21"/>
                      <w:szCs w:val="21"/>
                      <w:u w:val="none"/>
                    </w:rPr>
                  </w:pPr>
                  <w:r>
                    <w:rPr>
                      <w:rFonts w:hint="default" w:ascii="Times New Roman" w:hAnsi="Times New Roman" w:eastAsia="宋体" w:cs="Times New Roman"/>
                      <w:b/>
                      <w:color w:val="auto"/>
                      <w:kern w:val="0"/>
                      <w:sz w:val="21"/>
                      <w:szCs w:val="21"/>
                      <w:u w:val="none"/>
                    </w:rPr>
                    <w:t>非正常排放状况</w:t>
                  </w:r>
                </w:p>
              </w:tc>
              <w:tc>
                <w:tcPr>
                  <w:tcW w:w="840" w:type="pct"/>
                  <w:tcBorders>
                    <w:left w:val="single" w:color="auto" w:sz="4" w:space="0"/>
                    <w:bottom w:val="single" w:color="auto" w:sz="4" w:space="0"/>
                    <w:right w:val="single" w:color="auto" w:sz="4" w:space="0"/>
                  </w:tcBorders>
                  <w:noWrap w:val="0"/>
                  <w:vAlign w:val="center"/>
                </w:tcPr>
                <w:p w14:paraId="67AEDD37">
                  <w:pPr>
                    <w:keepNext w:val="0"/>
                    <w:keepLines w:val="0"/>
                    <w:suppressLineNumbers w:val="0"/>
                    <w:autoSpaceDE w:val="0"/>
                    <w:autoSpaceDN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0"/>
                      <w:sz w:val="21"/>
                      <w:szCs w:val="21"/>
                      <w:u w:val="none"/>
                    </w:rPr>
                  </w:pPr>
                  <w:r>
                    <w:rPr>
                      <w:rFonts w:hint="default" w:ascii="Times New Roman" w:hAnsi="Times New Roman" w:eastAsia="宋体" w:cs="Times New Roman"/>
                      <w:b/>
                      <w:color w:val="auto"/>
                      <w:kern w:val="0"/>
                      <w:sz w:val="21"/>
                      <w:szCs w:val="21"/>
                      <w:u w:val="none"/>
                    </w:rPr>
                    <w:t>执行标准</w:t>
                  </w:r>
                </w:p>
              </w:tc>
              <w:tc>
                <w:tcPr>
                  <w:tcW w:w="379" w:type="pct"/>
                  <w:vMerge w:val="restart"/>
                  <w:tcBorders>
                    <w:left w:val="single" w:color="auto" w:sz="4" w:space="0"/>
                    <w:bottom w:val="single" w:color="auto" w:sz="4" w:space="0"/>
                  </w:tcBorders>
                  <w:noWrap w:val="0"/>
                  <w:vAlign w:val="center"/>
                </w:tcPr>
                <w:p w14:paraId="332EFCBB">
                  <w:pPr>
                    <w:keepNext w:val="0"/>
                    <w:keepLines w:val="0"/>
                    <w:suppressLineNumbers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u w:val="none"/>
                    </w:rPr>
                  </w:pPr>
                  <w:r>
                    <w:rPr>
                      <w:rFonts w:hint="default" w:ascii="Times New Roman" w:hAnsi="Times New Roman" w:eastAsia="宋体" w:cs="Times New Roman"/>
                      <w:b/>
                      <w:color w:val="auto"/>
                      <w:sz w:val="21"/>
                      <w:szCs w:val="21"/>
                      <w:u w:val="none"/>
                    </w:rPr>
                    <w:t>达标分析</w:t>
                  </w:r>
                </w:p>
              </w:tc>
            </w:tr>
            <w:tr w14:paraId="1C5273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84" w:hRule="atLeast"/>
                <w:jc w:val="center"/>
              </w:trPr>
              <w:tc>
                <w:tcPr>
                  <w:tcW w:w="415" w:type="pct"/>
                  <w:vMerge w:val="continue"/>
                  <w:tcBorders>
                    <w:top w:val="single" w:color="auto" w:sz="4" w:space="0"/>
                    <w:bottom w:val="single" w:color="auto" w:sz="4" w:space="0"/>
                    <w:right w:val="single" w:color="auto" w:sz="4" w:space="0"/>
                  </w:tcBorders>
                  <w:noWrap w:val="0"/>
                  <w:vAlign w:val="center"/>
                </w:tcPr>
                <w:p w14:paraId="0FD71D13">
                  <w:pPr>
                    <w:keepNext w:val="0"/>
                    <w:keepLines w:val="0"/>
                    <w:suppressLineNumbers w:val="0"/>
                    <w:autoSpaceDE w:val="0"/>
                    <w:autoSpaceDN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u w:val="none"/>
                    </w:rPr>
                  </w:pPr>
                </w:p>
              </w:tc>
              <w:tc>
                <w:tcPr>
                  <w:tcW w:w="490" w:type="pct"/>
                  <w:vMerge w:val="continue"/>
                  <w:tcBorders>
                    <w:top w:val="single" w:color="auto" w:sz="4" w:space="0"/>
                    <w:left w:val="single" w:color="auto" w:sz="4" w:space="0"/>
                    <w:bottom w:val="single" w:color="auto" w:sz="4" w:space="0"/>
                    <w:right w:val="single" w:color="auto" w:sz="4" w:space="0"/>
                  </w:tcBorders>
                  <w:noWrap w:val="0"/>
                  <w:vAlign w:val="center"/>
                </w:tcPr>
                <w:p w14:paraId="3CB64A16">
                  <w:pPr>
                    <w:keepNext w:val="0"/>
                    <w:keepLines w:val="0"/>
                    <w:suppressLineNumbers w:val="0"/>
                    <w:autoSpaceDE w:val="0"/>
                    <w:autoSpaceDN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u w:val="none"/>
                    </w:rPr>
                  </w:pPr>
                </w:p>
              </w:tc>
              <w:tc>
                <w:tcPr>
                  <w:tcW w:w="522" w:type="pct"/>
                  <w:vMerge w:val="continue"/>
                  <w:tcBorders>
                    <w:top w:val="single" w:color="auto" w:sz="4" w:space="0"/>
                    <w:left w:val="single" w:color="auto" w:sz="4" w:space="0"/>
                    <w:bottom w:val="single" w:color="auto" w:sz="4" w:space="0"/>
                    <w:right w:val="single" w:color="auto" w:sz="4" w:space="0"/>
                  </w:tcBorders>
                  <w:noWrap w:val="0"/>
                  <w:vAlign w:val="center"/>
                </w:tcPr>
                <w:p w14:paraId="7EC88602">
                  <w:pPr>
                    <w:keepNext w:val="0"/>
                    <w:keepLines w:val="0"/>
                    <w:suppressLineNumbers w:val="0"/>
                    <w:autoSpaceDE w:val="0"/>
                    <w:autoSpaceDN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u w:val="none"/>
                    </w:rPr>
                  </w:pPr>
                </w:p>
              </w:tc>
              <w:tc>
                <w:tcPr>
                  <w:tcW w:w="604" w:type="pct"/>
                  <w:tcBorders>
                    <w:top w:val="single" w:color="auto" w:sz="4" w:space="0"/>
                    <w:left w:val="single" w:color="auto" w:sz="4" w:space="0"/>
                    <w:bottom w:val="single" w:color="auto" w:sz="4" w:space="0"/>
                    <w:right w:val="single" w:color="auto" w:sz="4" w:space="0"/>
                  </w:tcBorders>
                  <w:noWrap w:val="0"/>
                  <w:vAlign w:val="center"/>
                </w:tcPr>
                <w:p w14:paraId="1BFB6E0E">
                  <w:pPr>
                    <w:keepNext w:val="0"/>
                    <w:keepLines w:val="0"/>
                    <w:suppressLineNumbers w:val="0"/>
                    <w:autoSpaceDE w:val="0"/>
                    <w:autoSpaceDN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0"/>
                      <w:sz w:val="21"/>
                      <w:szCs w:val="21"/>
                      <w:u w:val="none"/>
                    </w:rPr>
                  </w:pPr>
                  <w:r>
                    <w:rPr>
                      <w:rFonts w:hint="default" w:ascii="Times New Roman" w:hAnsi="Times New Roman" w:eastAsia="宋体" w:cs="Times New Roman"/>
                      <w:b/>
                      <w:color w:val="auto"/>
                      <w:kern w:val="0"/>
                      <w:sz w:val="21"/>
                      <w:szCs w:val="21"/>
                      <w:u w:val="none"/>
                    </w:rPr>
                    <w:t>浓度</w:t>
                  </w:r>
                  <w:r>
                    <w:rPr>
                      <w:rFonts w:hint="default" w:ascii="Times New Roman" w:hAnsi="Times New Roman" w:eastAsia="宋体" w:cs="Times New Roman"/>
                      <w:b/>
                      <w:color w:val="auto"/>
                      <w:spacing w:val="-1"/>
                      <w:kern w:val="0"/>
                      <w:sz w:val="21"/>
                      <w:szCs w:val="21"/>
                      <w:u w:val="none"/>
                    </w:rPr>
                    <w:t xml:space="preserve">（mg/ </w:t>
                  </w:r>
                  <w:r>
                    <w:rPr>
                      <w:rFonts w:hint="default" w:ascii="Times New Roman" w:hAnsi="Times New Roman" w:eastAsia="宋体" w:cs="Times New Roman"/>
                      <w:b/>
                      <w:color w:val="auto"/>
                      <w:kern w:val="0"/>
                      <w:sz w:val="21"/>
                      <w:szCs w:val="21"/>
                      <w:u w:val="none"/>
                    </w:rPr>
                    <w:t>m</w:t>
                  </w:r>
                  <w:r>
                    <w:rPr>
                      <w:rFonts w:hint="default" w:ascii="Times New Roman" w:hAnsi="Times New Roman" w:eastAsia="宋体" w:cs="Times New Roman"/>
                      <w:b/>
                      <w:color w:val="auto"/>
                      <w:kern w:val="0"/>
                      <w:sz w:val="21"/>
                      <w:szCs w:val="21"/>
                      <w:u w:val="none"/>
                      <w:vertAlign w:val="superscript"/>
                    </w:rPr>
                    <w:t>3</w:t>
                  </w:r>
                  <w:r>
                    <w:rPr>
                      <w:rFonts w:hint="default" w:ascii="Times New Roman" w:hAnsi="Times New Roman" w:eastAsia="宋体" w:cs="Times New Roman"/>
                      <w:b/>
                      <w:color w:val="auto"/>
                      <w:kern w:val="0"/>
                      <w:sz w:val="21"/>
                      <w:szCs w:val="21"/>
                      <w:u w:val="none"/>
                    </w:rPr>
                    <w:t>）</w:t>
                  </w:r>
                </w:p>
              </w:tc>
              <w:tc>
                <w:tcPr>
                  <w:tcW w:w="534" w:type="pct"/>
                  <w:tcBorders>
                    <w:top w:val="single" w:color="auto" w:sz="4" w:space="0"/>
                    <w:left w:val="single" w:color="auto" w:sz="4" w:space="0"/>
                    <w:bottom w:val="single" w:color="auto" w:sz="4" w:space="0"/>
                    <w:right w:val="single" w:color="auto" w:sz="4" w:space="0"/>
                  </w:tcBorders>
                  <w:noWrap w:val="0"/>
                  <w:vAlign w:val="center"/>
                </w:tcPr>
                <w:p w14:paraId="20F58D72">
                  <w:pPr>
                    <w:keepNext w:val="0"/>
                    <w:keepLines w:val="0"/>
                    <w:suppressLineNumbers w:val="0"/>
                    <w:autoSpaceDE w:val="0"/>
                    <w:autoSpaceDN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0"/>
                      <w:sz w:val="21"/>
                      <w:szCs w:val="21"/>
                      <w:u w:val="none"/>
                    </w:rPr>
                  </w:pPr>
                  <w:r>
                    <w:rPr>
                      <w:rFonts w:hint="default" w:ascii="Times New Roman" w:hAnsi="Times New Roman" w:eastAsia="宋体" w:cs="Times New Roman"/>
                      <w:b/>
                      <w:color w:val="auto"/>
                      <w:kern w:val="0"/>
                      <w:sz w:val="21"/>
                      <w:szCs w:val="21"/>
                      <w:u w:val="none"/>
                    </w:rPr>
                    <w:t>速率（kg/h）</w:t>
                  </w:r>
                </w:p>
              </w:tc>
              <w:tc>
                <w:tcPr>
                  <w:tcW w:w="591" w:type="pct"/>
                  <w:tcBorders>
                    <w:top w:val="single" w:color="auto" w:sz="4" w:space="0"/>
                    <w:left w:val="single" w:color="auto" w:sz="4" w:space="0"/>
                    <w:bottom w:val="single" w:color="auto" w:sz="4" w:space="0"/>
                    <w:right w:val="single" w:color="auto" w:sz="4" w:space="0"/>
                  </w:tcBorders>
                  <w:noWrap w:val="0"/>
                  <w:vAlign w:val="center"/>
                </w:tcPr>
                <w:p w14:paraId="23A3B7C7">
                  <w:pPr>
                    <w:keepNext w:val="0"/>
                    <w:keepLines w:val="0"/>
                    <w:suppressLineNumbers w:val="0"/>
                    <w:autoSpaceDE w:val="0"/>
                    <w:autoSpaceDN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0"/>
                      <w:sz w:val="21"/>
                      <w:szCs w:val="21"/>
                      <w:u w:val="none"/>
                    </w:rPr>
                  </w:pPr>
                  <w:r>
                    <w:rPr>
                      <w:rFonts w:hint="default" w:ascii="Times New Roman" w:hAnsi="Times New Roman" w:eastAsia="宋体" w:cs="Times New Roman"/>
                      <w:b/>
                      <w:color w:val="auto"/>
                      <w:kern w:val="0"/>
                      <w:sz w:val="21"/>
                      <w:szCs w:val="21"/>
                      <w:u w:val="none"/>
                    </w:rPr>
                    <w:t>频次及持续时间</w:t>
                  </w:r>
                </w:p>
              </w:tc>
              <w:tc>
                <w:tcPr>
                  <w:tcW w:w="620" w:type="pct"/>
                  <w:tcBorders>
                    <w:top w:val="single" w:color="auto" w:sz="4" w:space="0"/>
                    <w:left w:val="single" w:color="auto" w:sz="4" w:space="0"/>
                    <w:bottom w:val="single" w:color="auto" w:sz="4" w:space="0"/>
                    <w:right w:val="single" w:color="auto" w:sz="4" w:space="0"/>
                  </w:tcBorders>
                  <w:noWrap w:val="0"/>
                  <w:vAlign w:val="center"/>
                </w:tcPr>
                <w:p w14:paraId="4DA98025">
                  <w:pPr>
                    <w:keepNext w:val="0"/>
                    <w:keepLines w:val="0"/>
                    <w:suppressLineNumbers w:val="0"/>
                    <w:autoSpaceDE w:val="0"/>
                    <w:autoSpaceDN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0"/>
                      <w:sz w:val="21"/>
                      <w:szCs w:val="21"/>
                      <w:u w:val="none"/>
                    </w:rPr>
                  </w:pPr>
                  <w:r>
                    <w:rPr>
                      <w:rFonts w:hint="default" w:ascii="Times New Roman" w:hAnsi="Times New Roman" w:eastAsia="宋体" w:cs="Times New Roman"/>
                      <w:b/>
                      <w:color w:val="auto"/>
                      <w:kern w:val="0"/>
                      <w:sz w:val="21"/>
                      <w:szCs w:val="21"/>
                      <w:u w:val="none"/>
                    </w:rPr>
                    <w:t>排放量（kg/a）</w:t>
                  </w:r>
                </w:p>
              </w:tc>
              <w:tc>
                <w:tcPr>
                  <w:tcW w:w="840" w:type="pct"/>
                  <w:tcBorders>
                    <w:top w:val="single" w:color="auto" w:sz="4" w:space="0"/>
                    <w:left w:val="single" w:color="auto" w:sz="4" w:space="0"/>
                    <w:bottom w:val="single" w:color="auto" w:sz="4" w:space="0"/>
                    <w:right w:val="single" w:color="auto" w:sz="4" w:space="0"/>
                  </w:tcBorders>
                  <w:noWrap w:val="0"/>
                  <w:vAlign w:val="center"/>
                </w:tcPr>
                <w:p w14:paraId="6CA2DAB8">
                  <w:pPr>
                    <w:keepNext w:val="0"/>
                    <w:keepLines w:val="0"/>
                    <w:suppressLineNumbers w:val="0"/>
                    <w:autoSpaceDE w:val="0"/>
                    <w:autoSpaceDN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0"/>
                      <w:sz w:val="21"/>
                      <w:szCs w:val="21"/>
                      <w:u w:val="none"/>
                    </w:rPr>
                  </w:pPr>
                  <w:r>
                    <w:rPr>
                      <w:rFonts w:hint="default" w:ascii="Times New Roman" w:hAnsi="Times New Roman" w:eastAsia="宋体" w:cs="Times New Roman"/>
                      <w:b/>
                      <w:color w:val="auto"/>
                      <w:kern w:val="0"/>
                      <w:sz w:val="21"/>
                      <w:szCs w:val="21"/>
                      <w:u w:val="none"/>
                    </w:rPr>
                    <w:t>浓度</w:t>
                  </w:r>
                </w:p>
                <w:p w14:paraId="6D9D71FB">
                  <w:pPr>
                    <w:keepNext w:val="0"/>
                    <w:keepLines w:val="0"/>
                    <w:suppressLineNumbers w:val="0"/>
                    <w:autoSpaceDE w:val="0"/>
                    <w:autoSpaceDN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kern w:val="0"/>
                      <w:sz w:val="21"/>
                      <w:szCs w:val="21"/>
                      <w:u w:val="none"/>
                    </w:rPr>
                  </w:pPr>
                  <w:r>
                    <w:rPr>
                      <w:rFonts w:hint="default" w:ascii="Times New Roman" w:hAnsi="Times New Roman" w:eastAsia="宋体" w:cs="Times New Roman"/>
                      <w:b/>
                      <w:color w:val="auto"/>
                      <w:kern w:val="0"/>
                      <w:sz w:val="21"/>
                      <w:szCs w:val="21"/>
                      <w:u w:val="none"/>
                    </w:rPr>
                    <w:t>（mg/ m</w:t>
                  </w:r>
                  <w:r>
                    <w:rPr>
                      <w:rFonts w:hint="default" w:ascii="Times New Roman" w:hAnsi="Times New Roman" w:eastAsia="宋体" w:cs="Times New Roman"/>
                      <w:b/>
                      <w:color w:val="auto"/>
                      <w:kern w:val="0"/>
                      <w:sz w:val="21"/>
                      <w:szCs w:val="21"/>
                      <w:u w:val="none"/>
                      <w:vertAlign w:val="superscript"/>
                    </w:rPr>
                    <w:t>3</w:t>
                  </w:r>
                  <w:r>
                    <w:rPr>
                      <w:rFonts w:hint="default" w:ascii="Times New Roman" w:hAnsi="Times New Roman" w:eastAsia="宋体" w:cs="Times New Roman"/>
                      <w:b/>
                      <w:color w:val="auto"/>
                      <w:kern w:val="0"/>
                      <w:sz w:val="21"/>
                      <w:szCs w:val="21"/>
                      <w:u w:val="none"/>
                    </w:rPr>
                    <w:t>）</w:t>
                  </w:r>
                </w:p>
              </w:tc>
              <w:tc>
                <w:tcPr>
                  <w:tcW w:w="379" w:type="pct"/>
                  <w:vMerge w:val="continue"/>
                  <w:tcBorders>
                    <w:top w:val="single" w:color="auto" w:sz="4" w:space="0"/>
                    <w:left w:val="single" w:color="auto" w:sz="4" w:space="0"/>
                    <w:bottom w:val="single" w:color="auto" w:sz="4" w:space="0"/>
                  </w:tcBorders>
                  <w:noWrap w:val="0"/>
                  <w:vAlign w:val="center"/>
                </w:tcPr>
                <w:p w14:paraId="366BBC45">
                  <w:pPr>
                    <w:keepNext w:val="0"/>
                    <w:keepLines w:val="0"/>
                    <w:suppressLineNumbers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color w:val="auto"/>
                      <w:sz w:val="21"/>
                      <w:szCs w:val="21"/>
                      <w:u w:val="none"/>
                    </w:rPr>
                  </w:pPr>
                </w:p>
              </w:tc>
            </w:tr>
            <w:tr w14:paraId="04981C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84" w:hRule="atLeast"/>
                <w:jc w:val="center"/>
              </w:trPr>
              <w:tc>
                <w:tcPr>
                  <w:tcW w:w="415" w:type="pct"/>
                  <w:vMerge w:val="restart"/>
                  <w:tcBorders>
                    <w:top w:val="single" w:color="auto" w:sz="4" w:space="0"/>
                    <w:right w:val="single" w:color="auto" w:sz="4" w:space="0"/>
                  </w:tcBorders>
                  <w:noWrap w:val="0"/>
                  <w:vAlign w:val="center"/>
                </w:tcPr>
                <w:p w14:paraId="1C090CBB">
                  <w:pPr>
                    <w:keepNext w:val="0"/>
                    <w:keepLines w:val="0"/>
                    <w:suppressLineNumbers w:val="0"/>
                    <w:autoSpaceDE w:val="0"/>
                    <w:autoSpaceDN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lang w:val="en-US" w:eastAsia="zh-CN"/>
                    </w:rPr>
                  </w:pPr>
                  <w:r>
                    <w:rPr>
                      <w:rFonts w:hint="default" w:ascii="Times New Roman" w:hAnsi="Times New Roman" w:eastAsia="宋体" w:cs="Times New Roman"/>
                      <w:color w:val="auto"/>
                      <w:kern w:val="0"/>
                      <w:sz w:val="21"/>
                      <w:szCs w:val="21"/>
                      <w:u w:val="none"/>
                      <w:lang w:val="en-US" w:eastAsia="zh-CN"/>
                    </w:rPr>
                    <w:t>DA00</w:t>
                  </w:r>
                  <w:r>
                    <w:rPr>
                      <w:rFonts w:hint="eastAsia" w:ascii="Times New Roman" w:hAnsi="Times New Roman" w:eastAsia="宋体" w:cs="Times New Roman"/>
                      <w:color w:val="auto"/>
                      <w:kern w:val="0"/>
                      <w:sz w:val="21"/>
                      <w:szCs w:val="21"/>
                      <w:u w:val="none"/>
                      <w:lang w:val="en-US" w:eastAsia="zh-CN"/>
                    </w:rPr>
                    <w:t>1</w:t>
                  </w:r>
                </w:p>
              </w:tc>
              <w:tc>
                <w:tcPr>
                  <w:tcW w:w="490" w:type="pct"/>
                  <w:tcBorders>
                    <w:top w:val="single" w:color="auto" w:sz="4" w:space="0"/>
                    <w:left w:val="single" w:color="auto" w:sz="4" w:space="0"/>
                    <w:bottom w:val="single" w:color="auto" w:sz="4" w:space="0"/>
                    <w:right w:val="single" w:color="auto" w:sz="4" w:space="0"/>
                  </w:tcBorders>
                  <w:noWrap w:val="0"/>
                  <w:vAlign w:val="center"/>
                </w:tcPr>
                <w:p w14:paraId="15565352">
                  <w:pPr>
                    <w:jc w:val="center"/>
                    <w:rPr>
                      <w:rFonts w:hint="default" w:ascii="Times New Roman" w:hAnsi="Times New Roman" w:eastAsia="宋体" w:cs="Times New Roman"/>
                      <w:color w:val="auto"/>
                      <w:sz w:val="21"/>
                      <w:szCs w:val="21"/>
                      <w:u w:val="none"/>
                      <w:lang w:eastAsia="zh-CN"/>
                    </w:rPr>
                  </w:pPr>
                  <w:r>
                    <w:rPr>
                      <w:rFonts w:hint="eastAsia"/>
                      <w:color w:val="auto"/>
                      <w:sz w:val="21"/>
                      <w:szCs w:val="21"/>
                    </w:rPr>
                    <w:t>二氧化硫</w:t>
                  </w:r>
                </w:p>
              </w:tc>
              <w:tc>
                <w:tcPr>
                  <w:tcW w:w="522" w:type="pct"/>
                  <w:vMerge w:val="restart"/>
                  <w:tcBorders>
                    <w:top w:val="single" w:color="auto" w:sz="4" w:space="0"/>
                    <w:left w:val="single" w:color="auto" w:sz="4" w:space="0"/>
                    <w:right w:val="single" w:color="auto" w:sz="4" w:space="0"/>
                  </w:tcBorders>
                  <w:noWrap w:val="0"/>
                  <w:vAlign w:val="center"/>
                </w:tcPr>
                <w:p w14:paraId="22DDF44F">
                  <w:pPr>
                    <w:keepNext w:val="0"/>
                    <w:keepLines w:val="0"/>
                    <w:suppressLineNumbers w:val="0"/>
                    <w:autoSpaceDE w:val="0"/>
                    <w:autoSpaceDN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rPr>
                  </w:pPr>
                  <w:r>
                    <w:rPr>
                      <w:rFonts w:hint="default" w:ascii="Times New Roman" w:hAnsi="Times New Roman" w:eastAsia="宋体" w:cs="Times New Roman"/>
                      <w:color w:val="auto"/>
                      <w:kern w:val="0"/>
                      <w:sz w:val="21"/>
                      <w:szCs w:val="21"/>
                      <w:u w:val="none"/>
                    </w:rPr>
                    <w:t>处理装置失效</w:t>
                  </w:r>
                  <w:r>
                    <w:rPr>
                      <w:rFonts w:hint="default" w:ascii="Times New Roman" w:hAnsi="Times New Roman" w:eastAsia="宋体" w:cs="Times New Roman"/>
                      <w:color w:val="auto"/>
                      <w:spacing w:val="-5"/>
                      <w:kern w:val="0"/>
                      <w:sz w:val="21"/>
                      <w:szCs w:val="21"/>
                      <w:u w:val="none"/>
                    </w:rPr>
                    <w:t>，</w:t>
                  </w:r>
                  <w:r>
                    <w:rPr>
                      <w:rFonts w:hint="default" w:ascii="Times New Roman" w:hAnsi="Times New Roman" w:eastAsia="宋体" w:cs="Times New Roman"/>
                      <w:color w:val="auto"/>
                      <w:kern w:val="0"/>
                      <w:sz w:val="21"/>
                      <w:szCs w:val="21"/>
                      <w:u w:val="none"/>
                    </w:rPr>
                    <w:t>处理效</w:t>
                  </w:r>
                  <w:r>
                    <w:rPr>
                      <w:rFonts w:hint="default" w:ascii="Times New Roman" w:hAnsi="Times New Roman" w:eastAsia="宋体" w:cs="Times New Roman"/>
                      <w:color w:val="auto"/>
                      <w:spacing w:val="-17"/>
                      <w:kern w:val="0"/>
                      <w:sz w:val="21"/>
                      <w:szCs w:val="21"/>
                      <w:u w:val="none"/>
                    </w:rPr>
                    <w:t xml:space="preserve">率为 </w:t>
                  </w:r>
                  <w:r>
                    <w:rPr>
                      <w:rFonts w:hint="default" w:ascii="Times New Roman" w:hAnsi="Times New Roman" w:eastAsia="宋体" w:cs="Times New Roman"/>
                      <w:color w:val="auto"/>
                      <w:kern w:val="0"/>
                      <w:sz w:val="21"/>
                      <w:szCs w:val="21"/>
                      <w:u w:val="none"/>
                    </w:rPr>
                    <w:t>0</w:t>
                  </w:r>
                </w:p>
              </w:tc>
              <w:tc>
                <w:tcPr>
                  <w:tcW w:w="60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471ABA2">
                  <w:pPr>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135.7</w:t>
                  </w:r>
                </w:p>
              </w:tc>
              <w:tc>
                <w:tcPr>
                  <w:tcW w:w="53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0F63D6F">
                  <w:pPr>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0.127</w:t>
                  </w:r>
                </w:p>
              </w:tc>
              <w:tc>
                <w:tcPr>
                  <w:tcW w:w="591" w:type="pct"/>
                  <w:vMerge w:val="restart"/>
                  <w:tcBorders>
                    <w:top w:val="single" w:color="auto" w:sz="4" w:space="0"/>
                    <w:left w:val="single" w:color="auto" w:sz="4" w:space="0"/>
                    <w:right w:val="single" w:color="auto" w:sz="4" w:space="0"/>
                  </w:tcBorders>
                  <w:noWrap w:val="0"/>
                  <w:vAlign w:val="center"/>
                </w:tcPr>
                <w:p w14:paraId="201CFB5A">
                  <w:pPr>
                    <w:keepNext w:val="0"/>
                    <w:keepLines w:val="0"/>
                    <w:suppressLineNumbers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1次/a，1h/次</w:t>
                  </w:r>
                </w:p>
              </w:tc>
              <w:tc>
                <w:tcPr>
                  <w:tcW w:w="62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779629F">
                  <w:pPr>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0.127</w:t>
                  </w:r>
                </w:p>
              </w:tc>
              <w:tc>
                <w:tcPr>
                  <w:tcW w:w="840" w:type="pct"/>
                  <w:tcBorders>
                    <w:top w:val="single" w:color="auto" w:sz="4" w:space="0"/>
                    <w:left w:val="single" w:color="auto" w:sz="4" w:space="0"/>
                    <w:bottom w:val="single" w:color="auto" w:sz="4" w:space="0"/>
                    <w:right w:val="single" w:color="auto" w:sz="4" w:space="0"/>
                  </w:tcBorders>
                  <w:noWrap w:val="0"/>
                  <w:vAlign w:val="center"/>
                </w:tcPr>
                <w:p w14:paraId="26E7418D">
                  <w:pPr>
                    <w:keepNext w:val="0"/>
                    <w:keepLines w:val="0"/>
                    <w:widowControl/>
                    <w:suppressLineNumbers w:val="0"/>
                    <w:bidi w:val="0"/>
                    <w:spacing w:before="0" w:beforeLines="0" w:beforeAutospacing="0" w:after="0" w:afterLines="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21"/>
                      <w:szCs w:val="21"/>
                      <w:u w:val="none"/>
                      <w:lang w:val="en-US" w:eastAsia="zh-CN"/>
                    </w:rPr>
                  </w:pPr>
                  <w:r>
                    <w:rPr>
                      <w:rFonts w:hint="eastAsia" w:ascii="Times New Roman" w:hAnsi="Times New Roman" w:eastAsia="宋体" w:cs="Times New Roman"/>
                      <w:color w:val="auto"/>
                      <w:kern w:val="0"/>
                      <w:sz w:val="21"/>
                      <w:szCs w:val="21"/>
                      <w:u w:val="none"/>
                      <w:lang w:val="en-US" w:eastAsia="zh-CN" w:bidi="ar-SA"/>
                    </w:rPr>
                    <w:t>200</w:t>
                  </w:r>
                </w:p>
              </w:tc>
              <w:tc>
                <w:tcPr>
                  <w:tcW w:w="379" w:type="pct"/>
                  <w:tcBorders>
                    <w:top w:val="single" w:color="auto" w:sz="4" w:space="0"/>
                    <w:left w:val="single" w:color="auto" w:sz="4" w:space="0"/>
                    <w:bottom w:val="single" w:color="auto" w:sz="4" w:space="0"/>
                  </w:tcBorders>
                  <w:noWrap w:val="0"/>
                  <w:vAlign w:val="center"/>
                </w:tcPr>
                <w:p w14:paraId="20B6F64C">
                  <w:pPr>
                    <w:keepNext w:val="0"/>
                    <w:keepLines w:val="0"/>
                    <w:suppressLineNumbers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达标</w:t>
                  </w:r>
                </w:p>
              </w:tc>
            </w:tr>
            <w:tr w14:paraId="15B0A37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0" w:hRule="atLeast"/>
                <w:jc w:val="center"/>
              </w:trPr>
              <w:tc>
                <w:tcPr>
                  <w:tcW w:w="415" w:type="pct"/>
                  <w:vMerge w:val="continue"/>
                  <w:tcBorders>
                    <w:right w:val="single" w:color="auto" w:sz="4" w:space="0"/>
                  </w:tcBorders>
                  <w:noWrap w:val="0"/>
                  <w:vAlign w:val="center"/>
                </w:tcPr>
                <w:p w14:paraId="41AA2AE9">
                  <w:pPr>
                    <w:keepNext w:val="0"/>
                    <w:keepLines w:val="0"/>
                    <w:suppressLineNumbers w:val="0"/>
                    <w:autoSpaceDE w:val="0"/>
                    <w:autoSpaceDN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rPr>
                  </w:pPr>
                </w:p>
              </w:tc>
              <w:tc>
                <w:tcPr>
                  <w:tcW w:w="490" w:type="pct"/>
                  <w:tcBorders>
                    <w:top w:val="single" w:color="auto" w:sz="4" w:space="0"/>
                    <w:left w:val="single" w:color="auto" w:sz="4" w:space="0"/>
                    <w:bottom w:val="single" w:color="auto" w:sz="4" w:space="0"/>
                    <w:right w:val="single" w:color="auto" w:sz="4" w:space="0"/>
                  </w:tcBorders>
                  <w:noWrap w:val="0"/>
                  <w:vAlign w:val="center"/>
                </w:tcPr>
                <w:p w14:paraId="18B6BFF6">
                  <w:pPr>
                    <w:jc w:val="center"/>
                    <w:rPr>
                      <w:rFonts w:hint="default" w:ascii="Times New Roman" w:hAnsi="Times New Roman" w:eastAsia="宋体" w:cs="Times New Roman"/>
                      <w:color w:val="auto"/>
                      <w:kern w:val="0"/>
                      <w:sz w:val="21"/>
                      <w:szCs w:val="21"/>
                      <w:u w:val="none"/>
                      <w:lang w:eastAsia="zh-CN"/>
                    </w:rPr>
                  </w:pPr>
                  <w:r>
                    <w:rPr>
                      <w:rFonts w:hint="eastAsia"/>
                      <w:color w:val="auto"/>
                      <w:sz w:val="21"/>
                      <w:szCs w:val="21"/>
                    </w:rPr>
                    <w:t>氮氧化物</w:t>
                  </w:r>
                </w:p>
              </w:tc>
              <w:tc>
                <w:tcPr>
                  <w:tcW w:w="522" w:type="pct"/>
                  <w:vMerge w:val="continue"/>
                  <w:tcBorders>
                    <w:left w:val="single" w:color="auto" w:sz="4" w:space="0"/>
                    <w:right w:val="single" w:color="auto" w:sz="4" w:space="0"/>
                  </w:tcBorders>
                  <w:noWrap w:val="0"/>
                  <w:vAlign w:val="center"/>
                </w:tcPr>
                <w:p w14:paraId="4587970E">
                  <w:pPr>
                    <w:keepNext w:val="0"/>
                    <w:keepLines w:val="0"/>
                    <w:suppressLineNumbers w:val="0"/>
                    <w:autoSpaceDE w:val="0"/>
                    <w:autoSpaceDN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rPr>
                  </w:pPr>
                </w:p>
              </w:tc>
              <w:tc>
                <w:tcPr>
                  <w:tcW w:w="60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059BACA">
                  <w:pPr>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163.5</w:t>
                  </w:r>
                </w:p>
              </w:tc>
              <w:tc>
                <w:tcPr>
                  <w:tcW w:w="53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118F267A">
                  <w:pPr>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0.153</w:t>
                  </w:r>
                </w:p>
              </w:tc>
              <w:tc>
                <w:tcPr>
                  <w:tcW w:w="591" w:type="pct"/>
                  <w:vMerge w:val="continue"/>
                  <w:tcBorders>
                    <w:left w:val="single" w:color="auto" w:sz="4" w:space="0"/>
                    <w:right w:val="single" w:color="auto" w:sz="4" w:space="0"/>
                  </w:tcBorders>
                  <w:noWrap w:val="0"/>
                  <w:vAlign w:val="center"/>
                </w:tcPr>
                <w:p w14:paraId="2AFBC3AB">
                  <w:pPr>
                    <w:keepNext w:val="0"/>
                    <w:keepLines w:val="0"/>
                    <w:suppressLineNumbers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rPr>
                  </w:pPr>
                </w:p>
              </w:tc>
              <w:tc>
                <w:tcPr>
                  <w:tcW w:w="62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CA10F9B">
                  <w:pPr>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0.153</w:t>
                  </w:r>
                </w:p>
              </w:tc>
              <w:tc>
                <w:tcPr>
                  <w:tcW w:w="840" w:type="pct"/>
                  <w:tcBorders>
                    <w:top w:val="single" w:color="auto" w:sz="4" w:space="0"/>
                    <w:left w:val="single" w:color="auto" w:sz="4" w:space="0"/>
                    <w:bottom w:val="single" w:color="auto" w:sz="4" w:space="0"/>
                    <w:right w:val="single" w:color="auto" w:sz="4" w:space="0"/>
                  </w:tcBorders>
                  <w:noWrap w:val="0"/>
                  <w:vAlign w:val="center"/>
                </w:tcPr>
                <w:p w14:paraId="61AC4014">
                  <w:pPr>
                    <w:keepNext w:val="0"/>
                    <w:keepLines w:val="0"/>
                    <w:widowControl/>
                    <w:suppressLineNumbers w:val="0"/>
                    <w:bidi w:val="0"/>
                    <w:spacing w:before="0" w:beforeLines="0" w:beforeAutospacing="0" w:after="0" w:afterLines="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21"/>
                      <w:szCs w:val="21"/>
                      <w:u w:val="none"/>
                      <w:lang w:val="en-US" w:eastAsia="zh-CN" w:bidi="ar-SA"/>
                    </w:rPr>
                  </w:pPr>
                  <w:r>
                    <w:rPr>
                      <w:rFonts w:hint="eastAsia" w:ascii="Times New Roman" w:hAnsi="Times New Roman" w:eastAsia="宋体" w:cs="Times New Roman"/>
                      <w:color w:val="auto"/>
                      <w:kern w:val="0"/>
                      <w:sz w:val="21"/>
                      <w:szCs w:val="21"/>
                      <w:u w:val="none"/>
                      <w:lang w:val="en-US" w:eastAsia="zh-CN" w:bidi="ar-SA"/>
                    </w:rPr>
                    <w:t>200</w:t>
                  </w:r>
                </w:p>
              </w:tc>
              <w:tc>
                <w:tcPr>
                  <w:tcW w:w="379" w:type="pct"/>
                  <w:tcBorders>
                    <w:top w:val="single" w:color="auto" w:sz="4" w:space="0"/>
                    <w:left w:val="single" w:color="auto" w:sz="4" w:space="0"/>
                    <w:bottom w:val="single" w:color="auto" w:sz="4" w:space="0"/>
                  </w:tcBorders>
                  <w:noWrap w:val="0"/>
                  <w:vAlign w:val="center"/>
                </w:tcPr>
                <w:p w14:paraId="63D1BF1E">
                  <w:pPr>
                    <w:keepNext w:val="0"/>
                    <w:keepLines w:val="0"/>
                    <w:suppressLineNumbers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rPr>
                  </w:pPr>
                  <w:r>
                    <w:rPr>
                      <w:rFonts w:hint="default" w:ascii="Times New Roman" w:hAnsi="Times New Roman" w:eastAsia="宋体" w:cs="Times New Roman"/>
                      <w:color w:val="auto"/>
                      <w:sz w:val="21"/>
                      <w:szCs w:val="21"/>
                      <w:u w:val="none"/>
                    </w:rPr>
                    <w:t>达标</w:t>
                  </w:r>
                </w:p>
              </w:tc>
            </w:tr>
            <w:tr w14:paraId="010A0CA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15" w:type="pct"/>
                  <w:vMerge w:val="continue"/>
                  <w:tcBorders>
                    <w:right w:val="single" w:color="auto" w:sz="4" w:space="0"/>
                  </w:tcBorders>
                  <w:noWrap w:val="0"/>
                  <w:vAlign w:val="center"/>
                </w:tcPr>
                <w:p w14:paraId="2E9DBC3C">
                  <w:pPr>
                    <w:keepNext w:val="0"/>
                    <w:keepLines w:val="0"/>
                    <w:suppressLineNumbers w:val="0"/>
                    <w:autoSpaceDE w:val="0"/>
                    <w:autoSpaceDN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rPr>
                  </w:pPr>
                </w:p>
              </w:tc>
              <w:tc>
                <w:tcPr>
                  <w:tcW w:w="490" w:type="pct"/>
                  <w:tcBorders>
                    <w:top w:val="single" w:color="auto" w:sz="4" w:space="0"/>
                    <w:left w:val="single" w:color="auto" w:sz="4" w:space="0"/>
                    <w:bottom w:val="single" w:color="auto" w:sz="4" w:space="0"/>
                    <w:right w:val="single" w:color="auto" w:sz="4" w:space="0"/>
                  </w:tcBorders>
                  <w:noWrap w:val="0"/>
                  <w:vAlign w:val="center"/>
                </w:tcPr>
                <w:p w14:paraId="7D85BCCA">
                  <w:pPr>
                    <w:jc w:val="center"/>
                    <w:rPr>
                      <w:rFonts w:hint="default" w:ascii="Times New Roman" w:hAnsi="Times New Roman" w:eastAsia="宋体" w:cs="Times New Roman"/>
                      <w:color w:val="auto"/>
                      <w:sz w:val="21"/>
                      <w:szCs w:val="21"/>
                      <w:u w:val="none"/>
                      <w:lang w:eastAsia="zh-CN"/>
                    </w:rPr>
                  </w:pPr>
                  <w:r>
                    <w:rPr>
                      <w:rFonts w:hint="eastAsia"/>
                      <w:color w:val="auto"/>
                      <w:sz w:val="21"/>
                      <w:szCs w:val="21"/>
                    </w:rPr>
                    <w:t>颗粒物</w:t>
                  </w:r>
                </w:p>
              </w:tc>
              <w:tc>
                <w:tcPr>
                  <w:tcW w:w="522" w:type="pct"/>
                  <w:vMerge w:val="continue"/>
                  <w:tcBorders>
                    <w:left w:val="single" w:color="auto" w:sz="4" w:space="0"/>
                    <w:right w:val="single" w:color="auto" w:sz="4" w:space="0"/>
                  </w:tcBorders>
                  <w:noWrap w:val="0"/>
                  <w:vAlign w:val="center"/>
                </w:tcPr>
                <w:p w14:paraId="2100CCAD">
                  <w:pPr>
                    <w:keepNext w:val="0"/>
                    <w:keepLines w:val="0"/>
                    <w:suppressLineNumbers w:val="0"/>
                    <w:autoSpaceDE w:val="0"/>
                    <w:autoSpaceDN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rPr>
                  </w:pPr>
                </w:p>
              </w:tc>
              <w:tc>
                <w:tcPr>
                  <w:tcW w:w="60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DBB5729">
                  <w:pPr>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80.1</w:t>
                  </w:r>
                </w:p>
              </w:tc>
              <w:tc>
                <w:tcPr>
                  <w:tcW w:w="53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4A5E96DE">
                  <w:pPr>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0.075</w:t>
                  </w:r>
                </w:p>
              </w:tc>
              <w:tc>
                <w:tcPr>
                  <w:tcW w:w="591" w:type="pct"/>
                  <w:vMerge w:val="continue"/>
                  <w:tcBorders>
                    <w:left w:val="single" w:color="auto" w:sz="4" w:space="0"/>
                    <w:right w:val="single" w:color="auto" w:sz="4" w:space="0"/>
                  </w:tcBorders>
                  <w:noWrap w:val="0"/>
                  <w:vAlign w:val="center"/>
                </w:tcPr>
                <w:p w14:paraId="6F711FAE">
                  <w:pPr>
                    <w:keepNext w:val="0"/>
                    <w:keepLines w:val="0"/>
                    <w:suppressLineNumbers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rPr>
                  </w:pPr>
                </w:p>
              </w:tc>
              <w:tc>
                <w:tcPr>
                  <w:tcW w:w="62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D5F29B0">
                  <w:pPr>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0.075</w:t>
                  </w:r>
                </w:p>
              </w:tc>
              <w:tc>
                <w:tcPr>
                  <w:tcW w:w="840" w:type="pct"/>
                  <w:tcBorders>
                    <w:top w:val="single" w:color="auto" w:sz="4" w:space="0"/>
                    <w:left w:val="single" w:color="auto" w:sz="4" w:space="0"/>
                    <w:bottom w:val="single" w:color="auto" w:sz="4" w:space="0"/>
                    <w:right w:val="single" w:color="auto" w:sz="4" w:space="0"/>
                  </w:tcBorders>
                  <w:noWrap w:val="0"/>
                  <w:vAlign w:val="center"/>
                </w:tcPr>
                <w:p w14:paraId="0FFBEF41">
                  <w:pPr>
                    <w:keepNext w:val="0"/>
                    <w:keepLines w:val="0"/>
                    <w:widowControl/>
                    <w:suppressLineNumbers w:val="0"/>
                    <w:bidi w:val="0"/>
                    <w:spacing w:before="0" w:beforeLines="0" w:beforeAutospacing="0" w:after="0" w:afterLines="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21"/>
                      <w:szCs w:val="21"/>
                      <w:u w:val="none"/>
                      <w:lang w:val="en-US" w:eastAsia="zh-CN" w:bidi="ar-SA"/>
                    </w:rPr>
                  </w:pPr>
                  <w:r>
                    <w:rPr>
                      <w:rFonts w:hint="eastAsia" w:ascii="Times New Roman" w:hAnsi="Times New Roman" w:eastAsia="宋体" w:cs="Times New Roman"/>
                      <w:color w:val="auto"/>
                      <w:kern w:val="0"/>
                      <w:sz w:val="21"/>
                      <w:szCs w:val="21"/>
                      <w:u w:val="none"/>
                      <w:lang w:val="en-US" w:eastAsia="zh-CN"/>
                    </w:rPr>
                    <w:t>30</w:t>
                  </w:r>
                </w:p>
              </w:tc>
              <w:tc>
                <w:tcPr>
                  <w:tcW w:w="379" w:type="pct"/>
                  <w:tcBorders>
                    <w:top w:val="single" w:color="auto" w:sz="4" w:space="0"/>
                    <w:left w:val="single" w:color="auto" w:sz="4" w:space="0"/>
                    <w:bottom w:val="single" w:color="auto" w:sz="4" w:space="0"/>
                  </w:tcBorders>
                  <w:noWrap w:val="0"/>
                  <w:vAlign w:val="center"/>
                </w:tcPr>
                <w:p w14:paraId="3AAE9840">
                  <w:pPr>
                    <w:keepNext w:val="0"/>
                    <w:keepLines w:val="0"/>
                    <w:suppressLineNumbers w:val="0"/>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u w:val="none"/>
                      <w:lang w:eastAsia="zh-CN"/>
                    </w:rPr>
                  </w:pPr>
                  <w:r>
                    <w:rPr>
                      <w:rFonts w:hint="eastAsia" w:ascii="Times New Roman" w:hAnsi="Times New Roman" w:eastAsia="宋体" w:cs="Times New Roman"/>
                      <w:color w:val="auto"/>
                      <w:sz w:val="21"/>
                      <w:szCs w:val="21"/>
                      <w:u w:val="none"/>
                      <w:lang w:eastAsia="zh-CN"/>
                    </w:rPr>
                    <w:t>超标</w:t>
                  </w:r>
                </w:p>
              </w:tc>
            </w:tr>
            <w:tr w14:paraId="73C36A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15" w:type="pct"/>
                  <w:vMerge w:val="restart"/>
                  <w:tcBorders>
                    <w:right w:val="single" w:color="auto" w:sz="4" w:space="0"/>
                  </w:tcBorders>
                  <w:noWrap w:val="0"/>
                  <w:vAlign w:val="center"/>
                </w:tcPr>
                <w:p w14:paraId="003FEF33">
                  <w:pPr>
                    <w:keepNext w:val="0"/>
                    <w:keepLines w:val="0"/>
                    <w:suppressLineNumbers w:val="0"/>
                    <w:autoSpaceDE w:val="0"/>
                    <w:autoSpaceDN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lang w:val="en-US" w:eastAsia="zh-CN"/>
                    </w:rPr>
                  </w:pPr>
                  <w:r>
                    <w:rPr>
                      <w:rFonts w:hint="eastAsia" w:ascii="Times New Roman" w:hAnsi="Times New Roman" w:eastAsia="宋体" w:cs="Times New Roman"/>
                      <w:color w:val="auto"/>
                      <w:kern w:val="0"/>
                      <w:sz w:val="21"/>
                      <w:szCs w:val="21"/>
                      <w:u w:val="none"/>
                      <w:lang w:val="en-US" w:eastAsia="zh-CN"/>
                    </w:rPr>
                    <w:t>DA002</w:t>
                  </w:r>
                </w:p>
              </w:tc>
              <w:tc>
                <w:tcPr>
                  <w:tcW w:w="49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0E497E3">
                  <w:pPr>
                    <w:jc w:val="center"/>
                    <w:rPr>
                      <w:rFonts w:hint="default" w:ascii="Times New Roman" w:hAnsi="Times New Roman" w:eastAsia="宋体" w:cs="Times New Roman"/>
                      <w:color w:val="auto"/>
                      <w:kern w:val="2"/>
                      <w:sz w:val="21"/>
                      <w:szCs w:val="21"/>
                      <w:u w:val="none"/>
                      <w:lang w:val="en-US" w:eastAsia="zh-CN" w:bidi="ar-SA"/>
                    </w:rPr>
                  </w:pPr>
                  <w:r>
                    <w:rPr>
                      <w:rFonts w:hint="eastAsia"/>
                      <w:color w:val="auto"/>
                      <w:sz w:val="21"/>
                      <w:szCs w:val="21"/>
                    </w:rPr>
                    <w:t>二氧化硫</w:t>
                  </w:r>
                </w:p>
              </w:tc>
              <w:tc>
                <w:tcPr>
                  <w:tcW w:w="522" w:type="pct"/>
                  <w:vMerge w:val="continue"/>
                  <w:tcBorders>
                    <w:left w:val="single" w:color="auto" w:sz="4" w:space="0"/>
                    <w:right w:val="single" w:color="auto" w:sz="4" w:space="0"/>
                  </w:tcBorders>
                  <w:noWrap w:val="0"/>
                  <w:vAlign w:val="center"/>
                </w:tcPr>
                <w:p w14:paraId="29E080CB">
                  <w:pPr>
                    <w:keepNext w:val="0"/>
                    <w:keepLines w:val="0"/>
                    <w:suppressLineNumbers w:val="0"/>
                    <w:autoSpaceDE w:val="0"/>
                    <w:autoSpaceDN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rPr>
                  </w:pPr>
                </w:p>
              </w:tc>
              <w:tc>
                <w:tcPr>
                  <w:tcW w:w="60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2AC1777C">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136.4</w:t>
                  </w:r>
                </w:p>
              </w:tc>
              <w:tc>
                <w:tcPr>
                  <w:tcW w:w="53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7E64B43">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0.196</w:t>
                  </w:r>
                </w:p>
              </w:tc>
              <w:tc>
                <w:tcPr>
                  <w:tcW w:w="591" w:type="pct"/>
                  <w:vMerge w:val="continue"/>
                  <w:tcBorders>
                    <w:left w:val="single" w:color="auto" w:sz="4" w:space="0"/>
                    <w:right w:val="single" w:color="auto" w:sz="4" w:space="0"/>
                  </w:tcBorders>
                  <w:noWrap w:val="0"/>
                  <w:vAlign w:val="center"/>
                </w:tcPr>
                <w:p w14:paraId="3B3620B8">
                  <w:pPr>
                    <w:keepNext w:val="0"/>
                    <w:keepLines w:val="0"/>
                    <w:suppressLineNumbers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rPr>
                  </w:pPr>
                </w:p>
              </w:tc>
              <w:tc>
                <w:tcPr>
                  <w:tcW w:w="62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946EFD9">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0.196</w:t>
                  </w:r>
                </w:p>
              </w:tc>
              <w:tc>
                <w:tcPr>
                  <w:tcW w:w="84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C54AD03">
                  <w:pPr>
                    <w:keepNext w:val="0"/>
                    <w:keepLines w:val="0"/>
                    <w:widowControl/>
                    <w:suppressLineNumbers w:val="0"/>
                    <w:bidi w:val="0"/>
                    <w:spacing w:before="0" w:beforeLines="0" w:beforeAutospacing="0" w:after="0" w:afterLines="0" w:afterAutospacing="0" w:line="240" w:lineRule="auto"/>
                    <w:ind w:left="0" w:leftChars="0" w:right="0" w:rightChars="0" w:firstLine="0" w:firstLineChars="0"/>
                    <w:jc w:val="center"/>
                    <w:textAlignment w:val="center"/>
                    <w:rPr>
                      <w:rFonts w:hint="eastAsia" w:ascii="Times New Roman" w:hAnsi="Times New Roman" w:eastAsia="宋体" w:cs="Times New Roman"/>
                      <w:color w:val="auto"/>
                      <w:kern w:val="0"/>
                      <w:sz w:val="21"/>
                      <w:szCs w:val="21"/>
                      <w:u w:val="none"/>
                      <w:lang w:val="en-US" w:eastAsia="zh-CN" w:bidi="ar-SA"/>
                    </w:rPr>
                  </w:pPr>
                  <w:r>
                    <w:rPr>
                      <w:rFonts w:hint="eastAsia" w:ascii="Times New Roman" w:hAnsi="Times New Roman" w:eastAsia="宋体" w:cs="Times New Roman"/>
                      <w:color w:val="auto"/>
                      <w:kern w:val="0"/>
                      <w:sz w:val="21"/>
                      <w:szCs w:val="21"/>
                      <w:u w:val="none"/>
                      <w:lang w:val="en-US" w:eastAsia="zh-CN" w:bidi="ar-SA"/>
                    </w:rPr>
                    <w:t>200</w:t>
                  </w:r>
                </w:p>
              </w:tc>
              <w:tc>
                <w:tcPr>
                  <w:tcW w:w="379" w:type="pct"/>
                  <w:tcBorders>
                    <w:top w:val="single" w:color="auto" w:sz="4" w:space="0"/>
                    <w:left w:val="single" w:color="auto" w:sz="4" w:space="0"/>
                    <w:bottom w:val="single" w:color="auto" w:sz="4" w:space="0"/>
                  </w:tcBorders>
                  <w:shd w:val="clear" w:color="auto" w:fill="auto"/>
                  <w:noWrap w:val="0"/>
                  <w:vAlign w:val="center"/>
                </w:tcPr>
                <w:p w14:paraId="634E8E6C">
                  <w:pPr>
                    <w:keepNext w:val="0"/>
                    <w:keepLines w:val="0"/>
                    <w:suppressLineNumbers w:val="0"/>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sz w:val="21"/>
                      <w:szCs w:val="21"/>
                      <w:u w:val="none"/>
                    </w:rPr>
                    <w:t>达标</w:t>
                  </w:r>
                </w:p>
              </w:tc>
            </w:tr>
            <w:tr w14:paraId="199D330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15" w:type="pct"/>
                  <w:vMerge w:val="continue"/>
                  <w:tcBorders>
                    <w:right w:val="single" w:color="auto" w:sz="4" w:space="0"/>
                  </w:tcBorders>
                  <w:noWrap w:val="0"/>
                  <w:vAlign w:val="center"/>
                </w:tcPr>
                <w:p w14:paraId="6555A70C">
                  <w:pPr>
                    <w:keepNext w:val="0"/>
                    <w:keepLines w:val="0"/>
                    <w:suppressLineNumbers w:val="0"/>
                    <w:autoSpaceDE w:val="0"/>
                    <w:autoSpaceDN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rPr>
                  </w:pPr>
                </w:p>
              </w:tc>
              <w:tc>
                <w:tcPr>
                  <w:tcW w:w="49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5C5A635">
                  <w:pPr>
                    <w:jc w:val="center"/>
                    <w:rPr>
                      <w:rFonts w:hint="default" w:ascii="Times New Roman" w:hAnsi="Times New Roman" w:eastAsia="宋体" w:cs="Times New Roman"/>
                      <w:color w:val="auto"/>
                      <w:kern w:val="0"/>
                      <w:sz w:val="21"/>
                      <w:szCs w:val="21"/>
                      <w:u w:val="none"/>
                      <w:lang w:val="en-US" w:eastAsia="zh-CN" w:bidi="ar-SA"/>
                    </w:rPr>
                  </w:pPr>
                  <w:r>
                    <w:rPr>
                      <w:rFonts w:hint="eastAsia"/>
                      <w:color w:val="auto"/>
                      <w:sz w:val="21"/>
                      <w:szCs w:val="21"/>
                    </w:rPr>
                    <w:t>氮氧化物</w:t>
                  </w:r>
                </w:p>
              </w:tc>
              <w:tc>
                <w:tcPr>
                  <w:tcW w:w="522" w:type="pct"/>
                  <w:vMerge w:val="continue"/>
                  <w:tcBorders>
                    <w:left w:val="single" w:color="auto" w:sz="4" w:space="0"/>
                    <w:right w:val="single" w:color="auto" w:sz="4" w:space="0"/>
                  </w:tcBorders>
                  <w:noWrap w:val="0"/>
                  <w:vAlign w:val="center"/>
                </w:tcPr>
                <w:p w14:paraId="290EDFCE">
                  <w:pPr>
                    <w:keepNext w:val="0"/>
                    <w:keepLines w:val="0"/>
                    <w:suppressLineNumbers w:val="0"/>
                    <w:autoSpaceDE w:val="0"/>
                    <w:autoSpaceDN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rPr>
                  </w:pPr>
                </w:p>
              </w:tc>
              <w:tc>
                <w:tcPr>
                  <w:tcW w:w="60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DAEB554">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163.6</w:t>
                  </w:r>
                </w:p>
              </w:tc>
              <w:tc>
                <w:tcPr>
                  <w:tcW w:w="53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6F2D4A76">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0.235</w:t>
                  </w:r>
                </w:p>
              </w:tc>
              <w:tc>
                <w:tcPr>
                  <w:tcW w:w="591" w:type="pct"/>
                  <w:vMerge w:val="continue"/>
                  <w:tcBorders>
                    <w:left w:val="single" w:color="auto" w:sz="4" w:space="0"/>
                    <w:right w:val="single" w:color="auto" w:sz="4" w:space="0"/>
                  </w:tcBorders>
                  <w:noWrap w:val="0"/>
                  <w:vAlign w:val="center"/>
                </w:tcPr>
                <w:p w14:paraId="66923CD5">
                  <w:pPr>
                    <w:keepNext w:val="0"/>
                    <w:keepLines w:val="0"/>
                    <w:suppressLineNumbers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rPr>
                  </w:pPr>
                </w:p>
              </w:tc>
              <w:tc>
                <w:tcPr>
                  <w:tcW w:w="62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1AB144D">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0.235</w:t>
                  </w:r>
                </w:p>
              </w:tc>
              <w:tc>
                <w:tcPr>
                  <w:tcW w:w="84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F30FE09">
                  <w:pPr>
                    <w:keepNext w:val="0"/>
                    <w:keepLines w:val="0"/>
                    <w:widowControl/>
                    <w:suppressLineNumbers w:val="0"/>
                    <w:bidi w:val="0"/>
                    <w:spacing w:before="0" w:beforeLines="0" w:beforeAutospacing="0" w:after="0" w:afterLines="0" w:afterAutospacing="0" w:line="240" w:lineRule="auto"/>
                    <w:ind w:left="0" w:leftChars="0" w:right="0" w:rightChars="0" w:firstLine="0" w:firstLineChars="0"/>
                    <w:jc w:val="center"/>
                    <w:textAlignment w:val="center"/>
                    <w:rPr>
                      <w:rFonts w:hint="eastAsia" w:ascii="Times New Roman" w:hAnsi="Times New Roman" w:eastAsia="宋体" w:cs="Times New Roman"/>
                      <w:color w:val="auto"/>
                      <w:kern w:val="0"/>
                      <w:sz w:val="21"/>
                      <w:szCs w:val="21"/>
                      <w:u w:val="none"/>
                      <w:lang w:val="en-US" w:eastAsia="zh-CN" w:bidi="ar-SA"/>
                    </w:rPr>
                  </w:pPr>
                  <w:r>
                    <w:rPr>
                      <w:rFonts w:hint="eastAsia" w:ascii="Times New Roman" w:hAnsi="Times New Roman" w:eastAsia="宋体" w:cs="Times New Roman"/>
                      <w:color w:val="auto"/>
                      <w:kern w:val="0"/>
                      <w:sz w:val="21"/>
                      <w:szCs w:val="21"/>
                      <w:u w:val="none"/>
                      <w:lang w:val="en-US" w:eastAsia="zh-CN" w:bidi="ar-SA"/>
                    </w:rPr>
                    <w:t>200</w:t>
                  </w:r>
                </w:p>
              </w:tc>
              <w:tc>
                <w:tcPr>
                  <w:tcW w:w="379" w:type="pct"/>
                  <w:tcBorders>
                    <w:top w:val="single" w:color="auto" w:sz="4" w:space="0"/>
                    <w:left w:val="single" w:color="auto" w:sz="4" w:space="0"/>
                    <w:bottom w:val="single" w:color="auto" w:sz="4" w:space="0"/>
                  </w:tcBorders>
                  <w:shd w:val="clear" w:color="auto" w:fill="auto"/>
                  <w:noWrap w:val="0"/>
                  <w:vAlign w:val="center"/>
                </w:tcPr>
                <w:p w14:paraId="3BF85B90">
                  <w:pPr>
                    <w:keepNext w:val="0"/>
                    <w:keepLines w:val="0"/>
                    <w:suppressLineNumbers w:val="0"/>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u w:val="none"/>
                      <w:lang w:val="en-US" w:eastAsia="zh-CN" w:bidi="ar-SA"/>
                    </w:rPr>
                  </w:pPr>
                  <w:r>
                    <w:rPr>
                      <w:rFonts w:hint="default" w:ascii="Times New Roman" w:hAnsi="Times New Roman" w:eastAsia="宋体" w:cs="Times New Roman"/>
                      <w:color w:val="auto"/>
                      <w:sz w:val="21"/>
                      <w:szCs w:val="21"/>
                      <w:u w:val="none"/>
                    </w:rPr>
                    <w:t>达标</w:t>
                  </w:r>
                </w:p>
              </w:tc>
            </w:tr>
            <w:tr w14:paraId="2E68600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15" w:type="pct"/>
                  <w:vMerge w:val="continue"/>
                  <w:tcBorders>
                    <w:right w:val="single" w:color="auto" w:sz="4" w:space="0"/>
                  </w:tcBorders>
                  <w:noWrap w:val="0"/>
                  <w:vAlign w:val="center"/>
                </w:tcPr>
                <w:p w14:paraId="0F3F31EE">
                  <w:pPr>
                    <w:keepNext w:val="0"/>
                    <w:keepLines w:val="0"/>
                    <w:suppressLineNumbers w:val="0"/>
                    <w:autoSpaceDE w:val="0"/>
                    <w:autoSpaceDN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rPr>
                  </w:pPr>
                </w:p>
              </w:tc>
              <w:tc>
                <w:tcPr>
                  <w:tcW w:w="49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7FFD12F">
                  <w:pPr>
                    <w:jc w:val="center"/>
                    <w:rPr>
                      <w:rFonts w:hint="default" w:ascii="Times New Roman" w:hAnsi="Times New Roman" w:eastAsia="宋体" w:cs="Times New Roman"/>
                      <w:color w:val="auto"/>
                      <w:kern w:val="2"/>
                      <w:sz w:val="21"/>
                      <w:szCs w:val="21"/>
                      <w:u w:val="none"/>
                      <w:lang w:val="en-US" w:eastAsia="zh-CN" w:bidi="ar-SA"/>
                    </w:rPr>
                  </w:pPr>
                  <w:r>
                    <w:rPr>
                      <w:rFonts w:hint="eastAsia"/>
                      <w:color w:val="auto"/>
                      <w:sz w:val="21"/>
                      <w:szCs w:val="21"/>
                    </w:rPr>
                    <w:t>颗粒物</w:t>
                  </w:r>
                </w:p>
              </w:tc>
              <w:tc>
                <w:tcPr>
                  <w:tcW w:w="522" w:type="pct"/>
                  <w:vMerge w:val="continue"/>
                  <w:tcBorders>
                    <w:left w:val="single" w:color="auto" w:sz="4" w:space="0"/>
                    <w:right w:val="single" w:color="auto" w:sz="4" w:space="0"/>
                  </w:tcBorders>
                  <w:noWrap w:val="0"/>
                  <w:vAlign w:val="center"/>
                </w:tcPr>
                <w:p w14:paraId="0EE6FCDD">
                  <w:pPr>
                    <w:keepNext w:val="0"/>
                    <w:keepLines w:val="0"/>
                    <w:suppressLineNumbers w:val="0"/>
                    <w:autoSpaceDE w:val="0"/>
                    <w:autoSpaceDN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rPr>
                  </w:pPr>
                </w:p>
              </w:tc>
              <w:tc>
                <w:tcPr>
                  <w:tcW w:w="60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0F9279FC">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80.1</w:t>
                  </w:r>
                </w:p>
              </w:tc>
              <w:tc>
                <w:tcPr>
                  <w:tcW w:w="534"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715306CE">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0.115</w:t>
                  </w:r>
                </w:p>
              </w:tc>
              <w:tc>
                <w:tcPr>
                  <w:tcW w:w="591" w:type="pct"/>
                  <w:vMerge w:val="continue"/>
                  <w:tcBorders>
                    <w:left w:val="single" w:color="auto" w:sz="4" w:space="0"/>
                    <w:right w:val="single" w:color="auto" w:sz="4" w:space="0"/>
                  </w:tcBorders>
                  <w:noWrap w:val="0"/>
                  <w:vAlign w:val="center"/>
                </w:tcPr>
                <w:p w14:paraId="1C6BE6CF">
                  <w:pPr>
                    <w:keepNext w:val="0"/>
                    <w:keepLines w:val="0"/>
                    <w:suppressLineNumbers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rPr>
                  </w:pPr>
                </w:p>
              </w:tc>
              <w:tc>
                <w:tcPr>
                  <w:tcW w:w="62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52F873EC">
                  <w:pPr>
                    <w:jc w:val="center"/>
                    <w:rPr>
                      <w:rFonts w:hint="eastAsia"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0.115</w:t>
                  </w:r>
                </w:p>
              </w:tc>
              <w:tc>
                <w:tcPr>
                  <w:tcW w:w="840" w:type="pct"/>
                  <w:tcBorders>
                    <w:top w:val="single" w:color="auto" w:sz="4" w:space="0"/>
                    <w:left w:val="single" w:color="auto" w:sz="4" w:space="0"/>
                    <w:bottom w:val="single" w:color="auto" w:sz="4" w:space="0"/>
                    <w:right w:val="single" w:color="auto" w:sz="4" w:space="0"/>
                  </w:tcBorders>
                  <w:shd w:val="clear" w:color="auto" w:fill="auto"/>
                  <w:noWrap w:val="0"/>
                  <w:vAlign w:val="center"/>
                </w:tcPr>
                <w:p w14:paraId="33CE2738">
                  <w:pPr>
                    <w:keepNext w:val="0"/>
                    <w:keepLines w:val="0"/>
                    <w:widowControl/>
                    <w:suppressLineNumbers w:val="0"/>
                    <w:bidi w:val="0"/>
                    <w:spacing w:before="0" w:beforeLines="0" w:beforeAutospacing="0" w:after="0" w:afterLines="0" w:afterAutospacing="0" w:line="240" w:lineRule="auto"/>
                    <w:ind w:left="0" w:leftChars="0" w:right="0" w:rightChars="0" w:firstLine="0" w:firstLineChars="0"/>
                    <w:jc w:val="center"/>
                    <w:textAlignment w:val="center"/>
                    <w:rPr>
                      <w:rFonts w:hint="eastAsia" w:ascii="Times New Roman" w:hAnsi="Times New Roman" w:eastAsia="宋体" w:cs="Times New Roman"/>
                      <w:color w:val="auto"/>
                      <w:kern w:val="0"/>
                      <w:sz w:val="21"/>
                      <w:szCs w:val="21"/>
                      <w:u w:val="none"/>
                      <w:lang w:val="en-US" w:eastAsia="zh-CN" w:bidi="ar-SA"/>
                    </w:rPr>
                  </w:pPr>
                  <w:r>
                    <w:rPr>
                      <w:rFonts w:hint="eastAsia" w:ascii="Times New Roman" w:hAnsi="Times New Roman" w:eastAsia="宋体" w:cs="Times New Roman"/>
                      <w:color w:val="auto"/>
                      <w:kern w:val="0"/>
                      <w:sz w:val="21"/>
                      <w:szCs w:val="21"/>
                      <w:u w:val="none"/>
                      <w:lang w:val="en-US" w:eastAsia="zh-CN"/>
                    </w:rPr>
                    <w:t>30</w:t>
                  </w:r>
                </w:p>
              </w:tc>
              <w:tc>
                <w:tcPr>
                  <w:tcW w:w="379" w:type="pct"/>
                  <w:tcBorders>
                    <w:top w:val="single" w:color="auto" w:sz="4" w:space="0"/>
                    <w:left w:val="single" w:color="auto" w:sz="4" w:space="0"/>
                    <w:bottom w:val="single" w:color="auto" w:sz="4" w:space="0"/>
                  </w:tcBorders>
                  <w:shd w:val="clear" w:color="auto" w:fill="auto"/>
                  <w:noWrap w:val="0"/>
                  <w:vAlign w:val="center"/>
                </w:tcPr>
                <w:p w14:paraId="38C49D03">
                  <w:pPr>
                    <w:keepNext w:val="0"/>
                    <w:keepLines w:val="0"/>
                    <w:suppressLineNumbers w:val="0"/>
                    <w:bidi w:val="0"/>
                    <w:adjustRightInd w:val="0"/>
                    <w:snapToGrid w:val="0"/>
                    <w:spacing w:before="0" w:beforeAutospacing="0" w:after="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1"/>
                      <w:u w:val="none"/>
                      <w:lang w:val="en-US" w:eastAsia="zh-CN" w:bidi="ar-SA"/>
                    </w:rPr>
                  </w:pPr>
                  <w:r>
                    <w:rPr>
                      <w:rFonts w:hint="eastAsia" w:ascii="Times New Roman" w:hAnsi="Times New Roman" w:eastAsia="宋体" w:cs="Times New Roman"/>
                      <w:color w:val="auto"/>
                      <w:sz w:val="21"/>
                      <w:szCs w:val="21"/>
                      <w:u w:val="none"/>
                      <w:lang w:eastAsia="zh-CN"/>
                    </w:rPr>
                    <w:t>超标</w:t>
                  </w:r>
                </w:p>
              </w:tc>
            </w:tr>
            <w:tr w14:paraId="1EB6CF2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90" w:hRule="atLeast"/>
                <w:jc w:val="center"/>
              </w:trPr>
              <w:tc>
                <w:tcPr>
                  <w:tcW w:w="415" w:type="pct"/>
                  <w:tcBorders>
                    <w:bottom w:val="single" w:color="auto" w:sz="12" w:space="0"/>
                    <w:right w:val="single" w:color="auto" w:sz="4" w:space="0"/>
                  </w:tcBorders>
                  <w:noWrap w:val="0"/>
                  <w:vAlign w:val="center"/>
                </w:tcPr>
                <w:p w14:paraId="2FE8CFE7">
                  <w:pPr>
                    <w:keepNext w:val="0"/>
                    <w:keepLines w:val="0"/>
                    <w:suppressLineNumbers w:val="0"/>
                    <w:autoSpaceDE w:val="0"/>
                    <w:autoSpaceDN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lang w:val="en-US" w:eastAsia="zh-CN"/>
                    </w:rPr>
                  </w:pPr>
                  <w:r>
                    <w:rPr>
                      <w:rFonts w:hint="eastAsia" w:ascii="Times New Roman" w:hAnsi="Times New Roman" w:eastAsia="宋体" w:cs="Times New Roman"/>
                      <w:color w:val="auto"/>
                      <w:kern w:val="0"/>
                      <w:sz w:val="21"/>
                      <w:szCs w:val="21"/>
                      <w:u w:val="none"/>
                      <w:lang w:val="en-US" w:eastAsia="zh-CN"/>
                    </w:rPr>
                    <w:t>DA003</w:t>
                  </w:r>
                </w:p>
              </w:tc>
              <w:tc>
                <w:tcPr>
                  <w:tcW w:w="490" w:type="pct"/>
                  <w:tcBorders>
                    <w:top w:val="single" w:color="auto" w:sz="4" w:space="0"/>
                    <w:left w:val="single" w:color="auto" w:sz="4" w:space="0"/>
                    <w:bottom w:val="single" w:color="auto" w:sz="12" w:space="0"/>
                    <w:right w:val="single" w:color="auto" w:sz="4" w:space="0"/>
                  </w:tcBorders>
                  <w:noWrap w:val="0"/>
                  <w:vAlign w:val="center"/>
                </w:tcPr>
                <w:p w14:paraId="73544C35">
                  <w:pPr>
                    <w:keepNext w:val="0"/>
                    <w:keepLines w:val="0"/>
                    <w:suppressLineNumbers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lang w:eastAsia="zh-CN"/>
                    </w:rPr>
                  </w:pPr>
                  <w:r>
                    <w:rPr>
                      <w:rFonts w:hint="eastAsia" w:ascii="Times New Roman" w:hAnsi="Times New Roman" w:eastAsia="宋体" w:cs="Times New Roman"/>
                      <w:color w:val="auto"/>
                      <w:sz w:val="21"/>
                      <w:szCs w:val="21"/>
                      <w:u w:val="none"/>
                      <w:lang w:eastAsia="zh-CN"/>
                    </w:rPr>
                    <w:t>油烟</w:t>
                  </w:r>
                </w:p>
              </w:tc>
              <w:tc>
                <w:tcPr>
                  <w:tcW w:w="522" w:type="pct"/>
                  <w:vMerge w:val="continue"/>
                  <w:tcBorders>
                    <w:left w:val="single" w:color="auto" w:sz="4" w:space="0"/>
                    <w:bottom w:val="single" w:color="auto" w:sz="12" w:space="0"/>
                    <w:right w:val="single" w:color="auto" w:sz="4" w:space="0"/>
                  </w:tcBorders>
                  <w:noWrap w:val="0"/>
                  <w:vAlign w:val="center"/>
                </w:tcPr>
                <w:p w14:paraId="1889B303">
                  <w:pPr>
                    <w:keepNext w:val="0"/>
                    <w:keepLines w:val="0"/>
                    <w:suppressLineNumbers w:val="0"/>
                    <w:autoSpaceDE w:val="0"/>
                    <w:autoSpaceDN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0"/>
                      <w:sz w:val="21"/>
                      <w:szCs w:val="21"/>
                      <w:u w:val="none"/>
                    </w:rPr>
                  </w:pPr>
                </w:p>
              </w:tc>
              <w:tc>
                <w:tcPr>
                  <w:tcW w:w="604" w:type="pct"/>
                  <w:tcBorders>
                    <w:top w:val="single" w:color="auto" w:sz="4" w:space="0"/>
                    <w:left w:val="single" w:color="auto" w:sz="4" w:space="0"/>
                    <w:bottom w:val="single" w:color="auto" w:sz="12" w:space="0"/>
                    <w:right w:val="single" w:color="auto" w:sz="4" w:space="0"/>
                  </w:tcBorders>
                  <w:noWrap w:val="0"/>
                  <w:vAlign w:val="center"/>
                </w:tcPr>
                <w:p w14:paraId="297BD5EC">
                  <w:pPr>
                    <w:keepNext w:val="0"/>
                    <w:keepLines w:val="0"/>
                    <w:widowControl/>
                    <w:suppressLineNumbers w:val="0"/>
                    <w:bidi w:val="0"/>
                    <w:spacing w:before="0" w:beforeLines="0" w:beforeAutospacing="0" w:after="0" w:afterLines="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u w:val="none"/>
                      <w:lang w:val="en-US" w:eastAsia="zh-CN" w:bidi="ar"/>
                    </w:rPr>
                  </w:pPr>
                  <w:r>
                    <w:rPr>
                      <w:rFonts w:hint="eastAsia" w:ascii="Times New Roman" w:hAnsi="Times New Roman" w:eastAsia="宋体" w:cs="Times New Roman"/>
                      <w:color w:val="auto"/>
                      <w:kern w:val="0"/>
                      <w:sz w:val="21"/>
                      <w:szCs w:val="21"/>
                      <w:u w:val="none"/>
                      <w:lang w:val="en-US" w:eastAsia="zh-CN" w:bidi="ar"/>
                    </w:rPr>
                    <w:t>1.92</w:t>
                  </w:r>
                </w:p>
              </w:tc>
              <w:tc>
                <w:tcPr>
                  <w:tcW w:w="534" w:type="pct"/>
                  <w:tcBorders>
                    <w:top w:val="single" w:color="auto" w:sz="4" w:space="0"/>
                    <w:left w:val="single" w:color="auto" w:sz="4" w:space="0"/>
                    <w:bottom w:val="single" w:color="auto" w:sz="12" w:space="0"/>
                    <w:right w:val="single" w:color="auto" w:sz="4" w:space="0"/>
                  </w:tcBorders>
                  <w:noWrap w:val="0"/>
                  <w:vAlign w:val="center"/>
                </w:tcPr>
                <w:p w14:paraId="1D536877">
                  <w:pPr>
                    <w:keepNext w:val="0"/>
                    <w:keepLines w:val="0"/>
                    <w:widowControl/>
                    <w:suppressLineNumbers w:val="0"/>
                    <w:bidi w:val="0"/>
                    <w:spacing w:before="0" w:beforeLines="0" w:beforeAutospacing="0" w:after="0" w:afterLines="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u w:val="none"/>
                      <w:lang w:val="en-US" w:eastAsia="zh-CN" w:bidi="ar"/>
                    </w:rPr>
                  </w:pPr>
                  <w:r>
                    <w:rPr>
                      <w:rFonts w:hint="eastAsia" w:ascii="Times New Roman" w:hAnsi="Times New Roman" w:eastAsia="宋体" w:cs="Times New Roman"/>
                      <w:color w:val="auto"/>
                      <w:kern w:val="0"/>
                      <w:sz w:val="21"/>
                      <w:szCs w:val="21"/>
                      <w:u w:val="none"/>
                      <w:lang w:val="en-US" w:eastAsia="zh-CN" w:bidi="ar"/>
                    </w:rPr>
                    <w:t>0.048</w:t>
                  </w:r>
                </w:p>
              </w:tc>
              <w:tc>
                <w:tcPr>
                  <w:tcW w:w="591" w:type="pct"/>
                  <w:vMerge w:val="continue"/>
                  <w:tcBorders>
                    <w:left w:val="single" w:color="auto" w:sz="4" w:space="0"/>
                    <w:bottom w:val="single" w:color="auto" w:sz="12" w:space="0"/>
                    <w:right w:val="single" w:color="auto" w:sz="4" w:space="0"/>
                  </w:tcBorders>
                  <w:noWrap w:val="0"/>
                  <w:vAlign w:val="center"/>
                </w:tcPr>
                <w:p w14:paraId="5DAF099F">
                  <w:pPr>
                    <w:keepNext w:val="0"/>
                    <w:keepLines w:val="0"/>
                    <w:suppressLineNumbers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rPr>
                  </w:pPr>
                </w:p>
              </w:tc>
              <w:tc>
                <w:tcPr>
                  <w:tcW w:w="620" w:type="pct"/>
                  <w:tcBorders>
                    <w:top w:val="single" w:color="auto" w:sz="4" w:space="0"/>
                    <w:left w:val="single" w:color="auto" w:sz="4" w:space="0"/>
                    <w:bottom w:val="single" w:color="auto" w:sz="12" w:space="0"/>
                    <w:right w:val="single" w:color="auto" w:sz="4" w:space="0"/>
                  </w:tcBorders>
                  <w:shd w:val="clear" w:color="auto" w:fill="auto"/>
                  <w:noWrap w:val="0"/>
                  <w:vAlign w:val="center"/>
                </w:tcPr>
                <w:p w14:paraId="648E76AC">
                  <w:pPr>
                    <w:keepNext w:val="0"/>
                    <w:keepLines w:val="0"/>
                    <w:widowControl/>
                    <w:suppressLineNumbers w:val="0"/>
                    <w:bidi w:val="0"/>
                    <w:spacing w:before="0" w:beforeLines="0" w:beforeAutospacing="0" w:after="0" w:afterLines="0" w:afterAutospacing="0" w:line="240" w:lineRule="auto"/>
                    <w:ind w:left="0" w:leftChars="0" w:right="0" w:rightChars="0" w:firstLine="0" w:firstLineChars="0"/>
                    <w:jc w:val="center"/>
                    <w:textAlignment w:val="center"/>
                    <w:rPr>
                      <w:rFonts w:hint="default" w:ascii="Times New Roman" w:hAnsi="Times New Roman" w:eastAsia="宋体" w:cs="Times New Roman"/>
                      <w:color w:val="auto"/>
                      <w:kern w:val="0"/>
                      <w:sz w:val="21"/>
                      <w:szCs w:val="21"/>
                      <w:u w:val="none"/>
                      <w:lang w:val="en-US" w:eastAsia="zh-CN" w:bidi="ar"/>
                    </w:rPr>
                  </w:pPr>
                  <w:r>
                    <w:rPr>
                      <w:rFonts w:hint="eastAsia" w:ascii="Times New Roman" w:hAnsi="Times New Roman" w:eastAsia="宋体" w:cs="Times New Roman"/>
                      <w:color w:val="auto"/>
                      <w:kern w:val="0"/>
                      <w:sz w:val="21"/>
                      <w:szCs w:val="21"/>
                      <w:u w:val="none"/>
                      <w:lang w:val="en-US" w:eastAsia="zh-CN" w:bidi="ar"/>
                    </w:rPr>
                    <w:t>0.048</w:t>
                  </w:r>
                </w:p>
              </w:tc>
              <w:tc>
                <w:tcPr>
                  <w:tcW w:w="840" w:type="pct"/>
                  <w:tcBorders>
                    <w:top w:val="single" w:color="auto" w:sz="4" w:space="0"/>
                    <w:left w:val="single" w:color="auto" w:sz="4" w:space="0"/>
                    <w:bottom w:val="single" w:color="auto" w:sz="12" w:space="0"/>
                    <w:right w:val="single" w:color="auto" w:sz="4" w:space="0"/>
                  </w:tcBorders>
                  <w:noWrap w:val="0"/>
                  <w:vAlign w:val="center"/>
                </w:tcPr>
                <w:p w14:paraId="242AA5DF">
                  <w:pPr>
                    <w:keepNext w:val="0"/>
                    <w:keepLines w:val="0"/>
                    <w:widowControl w:val="0"/>
                    <w:suppressLineNumbers w:val="0"/>
                    <w:bidi w:val="0"/>
                    <w:adjustRightInd w:val="0"/>
                    <w:snapToGrid w:val="0"/>
                    <w:spacing w:before="0" w:beforeLines="0" w:beforeAutospacing="0" w:after="0" w:afterLines="0" w:afterAutospacing="0" w:line="240" w:lineRule="auto"/>
                    <w:ind w:left="0" w:right="0" w:firstLine="0" w:firstLineChars="0"/>
                    <w:jc w:val="center"/>
                    <w:textAlignment w:val="center"/>
                    <w:rPr>
                      <w:rFonts w:hint="default" w:ascii="Times New Roman" w:hAnsi="Times New Roman" w:eastAsia="宋体" w:cs="Times New Roman"/>
                      <w:color w:val="auto"/>
                      <w:kern w:val="0"/>
                      <w:sz w:val="21"/>
                      <w:szCs w:val="21"/>
                      <w:u w:val="none"/>
                      <w:lang w:val="en-US" w:eastAsia="zh-CN" w:bidi="ar-SA"/>
                    </w:rPr>
                  </w:pPr>
                  <w:r>
                    <w:rPr>
                      <w:rFonts w:hint="eastAsia" w:ascii="Times New Roman" w:hAnsi="Times New Roman" w:eastAsia="宋体" w:cs="Times New Roman"/>
                      <w:color w:val="auto"/>
                      <w:kern w:val="0"/>
                      <w:sz w:val="21"/>
                      <w:szCs w:val="21"/>
                      <w:u w:val="none"/>
                      <w:lang w:val="en-US" w:eastAsia="zh-CN" w:bidi="ar-SA"/>
                    </w:rPr>
                    <w:t>2</w:t>
                  </w:r>
                </w:p>
              </w:tc>
              <w:tc>
                <w:tcPr>
                  <w:tcW w:w="379" w:type="pct"/>
                  <w:tcBorders>
                    <w:top w:val="single" w:color="auto" w:sz="4" w:space="0"/>
                    <w:left w:val="single" w:color="auto" w:sz="4" w:space="0"/>
                    <w:bottom w:val="single" w:color="auto" w:sz="12" w:space="0"/>
                  </w:tcBorders>
                  <w:noWrap w:val="0"/>
                  <w:vAlign w:val="center"/>
                </w:tcPr>
                <w:p w14:paraId="09142913">
                  <w:pPr>
                    <w:keepNext w:val="0"/>
                    <w:keepLines w:val="0"/>
                    <w:suppressLineNumbers w:val="0"/>
                    <w:bidi w:val="0"/>
                    <w:adjustRightInd w:val="0"/>
                    <w:snapToGrid w:val="0"/>
                    <w:spacing w:before="0" w:beforeAutospacing="0" w:after="0" w:afterAutospacing="0" w:line="240" w:lineRule="auto"/>
                    <w:ind w:left="0" w:right="0" w:firstLine="0" w:firstLineChars="0"/>
                    <w:jc w:val="center"/>
                    <w:rPr>
                      <w:rFonts w:hint="eastAsia" w:ascii="Times New Roman" w:hAnsi="Times New Roman" w:eastAsia="宋体" w:cs="Times New Roman"/>
                      <w:color w:val="auto"/>
                      <w:sz w:val="21"/>
                      <w:szCs w:val="21"/>
                      <w:u w:val="none"/>
                      <w:lang w:eastAsia="zh-CN"/>
                    </w:rPr>
                  </w:pPr>
                  <w:r>
                    <w:rPr>
                      <w:rFonts w:hint="eastAsia" w:ascii="Times New Roman" w:hAnsi="Times New Roman" w:eastAsia="宋体" w:cs="Times New Roman"/>
                      <w:color w:val="auto"/>
                      <w:sz w:val="21"/>
                      <w:szCs w:val="21"/>
                      <w:u w:val="none"/>
                      <w:lang w:eastAsia="zh-CN"/>
                    </w:rPr>
                    <w:t>达标</w:t>
                  </w:r>
                </w:p>
              </w:tc>
            </w:tr>
          </w:tbl>
          <w:p w14:paraId="4BB634E8">
            <w:pPr>
              <w:spacing w:line="360" w:lineRule="auto"/>
              <w:ind w:firstLine="480" w:firstLineChars="200"/>
              <w:rPr>
                <w:rStyle w:val="70"/>
                <w:rFonts w:hint="default" w:ascii="Times New Roman" w:hAnsi="Times New Roman" w:eastAsia="宋体" w:cs="Times New Roman"/>
                <w:b w:val="0"/>
                <w:bCs w:val="0"/>
                <w:color w:val="auto"/>
                <w:sz w:val="24"/>
                <w:szCs w:val="24"/>
                <w:highlight w:val="none"/>
                <w:u w:val="none" w:color="auto"/>
                <w:lang w:val="en-US" w:eastAsia="zh-CN"/>
              </w:rPr>
            </w:pPr>
            <w:r>
              <w:rPr>
                <w:rStyle w:val="70"/>
                <w:rFonts w:hint="default" w:ascii="Times New Roman" w:hAnsi="Times New Roman" w:eastAsia="宋体" w:cs="Times New Roman"/>
                <w:b w:val="0"/>
                <w:bCs w:val="0"/>
                <w:color w:val="auto"/>
                <w:sz w:val="24"/>
                <w:szCs w:val="24"/>
                <w:highlight w:val="none"/>
                <w:u w:val="none" w:color="auto"/>
                <w:lang w:val="en-US" w:eastAsia="zh-CN"/>
              </w:rPr>
              <w:t>由上表可知，非正常工况下，排气筒虽未排放浓度超标，但加重了对环境的污染。为防止废气非正常工况排放，企业必须加强废气处理设施的管理，定期检修，确保废气处理设施正常运行，在废气处理设备停止运行或出现故障时，产生废气的各工序也必须相应停止操作。为杜绝废气非正常排放，应采取以下措施确保废气达标排放：</w:t>
            </w:r>
          </w:p>
          <w:p w14:paraId="756AFC14">
            <w:pPr>
              <w:spacing w:line="360" w:lineRule="auto"/>
              <w:ind w:firstLine="480" w:firstLineChars="200"/>
              <w:rPr>
                <w:rStyle w:val="70"/>
                <w:rFonts w:hint="default" w:ascii="Times New Roman" w:hAnsi="Times New Roman" w:eastAsia="宋体" w:cs="Times New Roman"/>
                <w:b w:val="0"/>
                <w:bCs w:val="0"/>
                <w:color w:val="auto"/>
                <w:sz w:val="24"/>
                <w:szCs w:val="24"/>
                <w:highlight w:val="none"/>
                <w:u w:val="none" w:color="auto"/>
                <w:lang w:val="en-US" w:eastAsia="zh-CN"/>
              </w:rPr>
            </w:pPr>
            <w:r>
              <w:rPr>
                <w:rStyle w:val="70"/>
                <w:rFonts w:hint="default" w:ascii="Times New Roman" w:hAnsi="Times New Roman" w:eastAsia="宋体" w:cs="Times New Roman"/>
                <w:b w:val="0"/>
                <w:bCs w:val="0"/>
                <w:color w:val="auto"/>
                <w:sz w:val="24"/>
                <w:szCs w:val="24"/>
                <w:highlight w:val="none"/>
                <w:u w:val="none" w:color="auto"/>
                <w:lang w:val="en-US" w:eastAsia="zh-CN"/>
              </w:rPr>
              <w:t>①为有效降低废气治理措施失效或处理效率降低的概率，当废气处理装置发生状况时，应停止生产，及时对处理装置进行维修，在恢复正常净化功能后再开启对应生产设备。</w:t>
            </w:r>
          </w:p>
          <w:p w14:paraId="7111CACF">
            <w:pPr>
              <w:spacing w:line="360" w:lineRule="auto"/>
              <w:ind w:firstLine="480" w:firstLineChars="200"/>
              <w:rPr>
                <w:rStyle w:val="70"/>
                <w:rFonts w:hint="default" w:ascii="Times New Roman" w:hAnsi="Times New Roman" w:eastAsia="宋体" w:cs="Times New Roman"/>
                <w:b w:val="0"/>
                <w:bCs w:val="0"/>
                <w:color w:val="auto"/>
                <w:sz w:val="24"/>
                <w:szCs w:val="24"/>
                <w:highlight w:val="none"/>
                <w:u w:val="none" w:color="auto"/>
                <w:lang w:val="en-US" w:eastAsia="zh-CN"/>
              </w:rPr>
            </w:pPr>
            <w:r>
              <w:rPr>
                <w:rStyle w:val="70"/>
                <w:rFonts w:hint="default" w:ascii="Times New Roman" w:hAnsi="Times New Roman" w:eastAsia="宋体" w:cs="Times New Roman"/>
                <w:b w:val="0"/>
                <w:bCs w:val="0"/>
                <w:color w:val="auto"/>
                <w:sz w:val="24"/>
                <w:szCs w:val="24"/>
                <w:highlight w:val="none"/>
                <w:u w:val="none" w:color="auto"/>
                <w:lang w:val="en-US" w:eastAsia="zh-CN"/>
              </w:rPr>
              <w:t>②应建立和完善安全巡视制度，安排巡视工作人员，每班次至少巡视一次，对废气治理措施进行检查，以利于掌握废气治理设施的运行情况，发现问题可及时处理。</w:t>
            </w:r>
          </w:p>
          <w:p w14:paraId="7CF9DFCB">
            <w:pPr>
              <w:spacing w:line="360" w:lineRule="auto"/>
              <w:ind w:firstLine="480" w:firstLineChars="200"/>
              <w:rPr>
                <w:rStyle w:val="70"/>
                <w:rFonts w:hint="default" w:ascii="Times New Roman" w:hAnsi="Times New Roman" w:eastAsia="宋体" w:cs="Times New Roman"/>
                <w:b w:val="0"/>
                <w:bCs w:val="0"/>
                <w:color w:val="auto"/>
                <w:sz w:val="24"/>
                <w:szCs w:val="24"/>
                <w:highlight w:val="none"/>
                <w:u w:val="none" w:color="auto"/>
                <w:lang w:val="en-US" w:eastAsia="zh-CN"/>
              </w:rPr>
            </w:pPr>
            <w:r>
              <w:rPr>
                <w:rStyle w:val="70"/>
                <w:rFonts w:hint="default" w:ascii="Times New Roman" w:hAnsi="Times New Roman" w:eastAsia="宋体" w:cs="Times New Roman"/>
                <w:b w:val="0"/>
                <w:bCs w:val="0"/>
                <w:color w:val="auto"/>
                <w:sz w:val="24"/>
                <w:szCs w:val="24"/>
                <w:highlight w:val="none"/>
                <w:u w:val="none" w:color="auto"/>
                <w:lang w:val="en-US" w:eastAsia="zh-CN"/>
              </w:rPr>
              <w:t>③加强职工的环保培训，杜绝运行过程中的不规范操作，实现精细化管理。</w:t>
            </w:r>
          </w:p>
          <w:p w14:paraId="1FB4AFE1">
            <w:pPr>
              <w:spacing w:line="360" w:lineRule="auto"/>
              <w:ind w:firstLine="482" w:firstLineChars="200"/>
              <w:rPr>
                <w:rStyle w:val="70"/>
                <w:rFonts w:hint="default" w:ascii="Times New Roman" w:hAnsi="Times New Roman" w:eastAsia="宋体" w:cs="Times New Roman"/>
                <w:color w:val="auto"/>
                <w:sz w:val="24"/>
                <w:szCs w:val="24"/>
                <w:highlight w:val="none"/>
                <w:u w:val="none" w:color="auto"/>
              </w:rPr>
            </w:pPr>
            <w:r>
              <w:rPr>
                <w:rStyle w:val="70"/>
                <w:rFonts w:hint="default" w:ascii="Times New Roman" w:hAnsi="Times New Roman" w:eastAsia="宋体" w:cs="Times New Roman"/>
                <w:color w:val="auto"/>
                <w:sz w:val="24"/>
                <w:szCs w:val="24"/>
                <w:highlight w:val="none"/>
                <w:u w:val="none" w:color="auto"/>
              </w:rPr>
              <w:t>二、废水污染源分析</w:t>
            </w:r>
          </w:p>
          <w:p w14:paraId="7557A776">
            <w:pPr>
              <w:spacing w:line="360" w:lineRule="auto"/>
              <w:ind w:firstLine="482" w:firstLineChars="200"/>
              <w:rPr>
                <w:rStyle w:val="70"/>
                <w:rFonts w:hint="default" w:ascii="Times New Roman" w:hAnsi="Times New Roman" w:eastAsia="宋体" w:cs="Times New Roman"/>
                <w:b w:val="0"/>
                <w:bCs w:val="0"/>
                <w:color w:val="auto"/>
                <w:sz w:val="24"/>
                <w:szCs w:val="24"/>
                <w:highlight w:val="none"/>
                <w:u w:val="none" w:color="auto"/>
              </w:rPr>
            </w:pPr>
            <w:r>
              <w:rPr>
                <w:rStyle w:val="70"/>
                <w:rFonts w:hint="default" w:ascii="Times New Roman" w:hAnsi="Times New Roman" w:eastAsia="宋体" w:cs="Times New Roman"/>
                <w:color w:val="auto"/>
                <w:sz w:val="24"/>
                <w:szCs w:val="24"/>
                <w:highlight w:val="none"/>
                <w:u w:val="none" w:color="auto"/>
              </w:rPr>
              <w:t>1、</w:t>
            </w:r>
            <w:r>
              <w:rPr>
                <w:rFonts w:hint="default" w:ascii="Times New Roman" w:hAnsi="Times New Roman" w:eastAsia="宋体" w:cs="Times New Roman"/>
                <w:b/>
                <w:bCs/>
                <w:color w:val="auto"/>
                <w:highlight w:val="none"/>
                <w:u w:val="none" w:color="auto"/>
              </w:rPr>
              <w:t>污染源强分析</w:t>
            </w:r>
          </w:p>
          <w:p w14:paraId="209084DC">
            <w:pPr>
              <w:adjustRightInd w:val="0"/>
              <w:snapToGrid w:val="0"/>
              <w:spacing w:line="360" w:lineRule="auto"/>
              <w:ind w:firstLine="480" w:firstLineChars="200"/>
              <w:rPr>
                <w:rFonts w:hint="default" w:ascii="Times New Roman" w:hAnsi="Times New Roman" w:eastAsia="宋体" w:cs="Times New Roman"/>
                <w:color w:val="auto"/>
                <w:kern w:val="0"/>
                <w:highlight w:val="none"/>
                <w:u w:val="none" w:color="auto"/>
                <w:lang w:val="en-US" w:eastAsia="zh-CN"/>
              </w:rPr>
            </w:pPr>
            <w:r>
              <w:rPr>
                <w:rStyle w:val="70"/>
                <w:rFonts w:hint="default" w:ascii="Times New Roman" w:hAnsi="Times New Roman" w:eastAsia="宋体" w:cs="Times New Roman"/>
                <w:b w:val="0"/>
                <w:bCs w:val="0"/>
                <w:color w:val="auto"/>
                <w:sz w:val="24"/>
                <w:szCs w:val="24"/>
                <w:highlight w:val="none"/>
                <w:u w:val="none" w:color="auto"/>
                <w:lang w:val="en-US" w:eastAsia="zh-CN"/>
              </w:rPr>
              <w:t>（1）</w:t>
            </w:r>
            <w:r>
              <w:rPr>
                <w:rStyle w:val="70"/>
                <w:rFonts w:hint="eastAsia" w:ascii="Times New Roman" w:hAnsi="Times New Roman" w:eastAsia="宋体" w:cs="Times New Roman"/>
                <w:b w:val="0"/>
                <w:bCs w:val="0"/>
                <w:color w:val="auto"/>
                <w:sz w:val="24"/>
                <w:szCs w:val="24"/>
                <w:highlight w:val="none"/>
                <w:u w:val="none" w:color="auto"/>
                <w:lang w:val="en-US" w:eastAsia="zh-CN"/>
              </w:rPr>
              <w:t>生活污水</w:t>
            </w:r>
          </w:p>
          <w:p w14:paraId="6C1EFCAD">
            <w:pPr>
              <w:adjustRightInd w:val="0"/>
              <w:snapToGrid w:val="0"/>
              <w:spacing w:line="360" w:lineRule="auto"/>
              <w:ind w:firstLine="480" w:firstLineChars="200"/>
              <w:rPr>
                <w:rFonts w:hint="default" w:ascii="Times New Roman" w:hAnsi="Times New Roman" w:eastAsia="宋体" w:cs="Times New Roman"/>
                <w:color w:val="auto"/>
                <w:kern w:val="0"/>
                <w:highlight w:val="none"/>
                <w:u w:val="none" w:color="auto"/>
                <w:lang w:val="en-US" w:eastAsia="zh-CN"/>
              </w:rPr>
            </w:pPr>
            <w:r>
              <w:rPr>
                <w:rFonts w:hint="eastAsia" w:ascii="Times New Roman" w:hAnsi="Times New Roman" w:eastAsia="宋体" w:cs="Times New Roman"/>
                <w:color w:val="auto"/>
                <w:kern w:val="0"/>
                <w:highlight w:val="none"/>
                <w:u w:val="none" w:color="auto"/>
                <w:lang w:val="en-US" w:eastAsia="zh-CN"/>
              </w:rPr>
              <w:t>本项目肉制品生产员工生活用水量为2626t/a，9.38t/d，生活污水排放量为2100.8t/a，7.5t/d；豆制品生产员工生活用水量为3235t/a，9.24t/d，生活污水排放量为2588t/a，7.39t/a。则本项目生活用水量为5861t/a</w:t>
            </w:r>
            <w:r>
              <w:rPr>
                <w:rFonts w:hint="eastAsia" w:cs="Times New Roman"/>
                <w:color w:val="auto"/>
                <w:kern w:val="0"/>
                <w:highlight w:val="none"/>
                <w:u w:val="none" w:color="auto"/>
                <w:lang w:val="en-US" w:eastAsia="zh-CN"/>
              </w:rPr>
              <w:t>，排放量为4688.8t/a</w:t>
            </w:r>
            <w:r>
              <w:rPr>
                <w:rFonts w:hint="eastAsia" w:ascii="Times New Roman" w:hAnsi="Times New Roman" w:eastAsia="宋体" w:cs="Times New Roman"/>
                <w:color w:val="auto"/>
                <w:kern w:val="0"/>
                <w:highlight w:val="none"/>
                <w:u w:val="none" w:color="auto"/>
                <w:lang w:val="en-US" w:eastAsia="zh-CN"/>
              </w:rPr>
              <w:t>。</w:t>
            </w:r>
          </w:p>
          <w:p w14:paraId="728FD9C2">
            <w:pPr>
              <w:adjustRightInd w:val="0"/>
              <w:snapToGrid w:val="0"/>
              <w:spacing w:line="360" w:lineRule="auto"/>
              <w:ind w:firstLine="480" w:firstLineChars="200"/>
              <w:rPr>
                <w:rFonts w:hint="eastAsia" w:ascii="Times New Roman" w:hAnsi="Times New Roman" w:eastAsia="宋体" w:cs="Times New Roman"/>
                <w:color w:val="auto"/>
                <w:kern w:val="0"/>
                <w:highlight w:val="none"/>
                <w:u w:val="none" w:color="auto"/>
                <w:lang w:val="en-US" w:eastAsia="zh-CN"/>
              </w:rPr>
            </w:pPr>
            <w:r>
              <w:rPr>
                <w:rFonts w:hint="eastAsia" w:ascii="Times New Roman" w:hAnsi="Times New Roman" w:eastAsia="宋体" w:cs="Times New Roman"/>
                <w:color w:val="auto"/>
                <w:kern w:val="0"/>
                <w:highlight w:val="none"/>
                <w:u w:val="none" w:color="auto"/>
                <w:lang w:val="en-US" w:eastAsia="zh-CN"/>
              </w:rPr>
              <w:t>生活污水主要污染物为COD、BOD</w:t>
            </w:r>
            <w:r>
              <w:rPr>
                <w:rFonts w:hint="eastAsia" w:ascii="Times New Roman" w:hAnsi="Times New Roman" w:eastAsia="宋体" w:cs="Times New Roman"/>
                <w:color w:val="auto"/>
                <w:kern w:val="0"/>
                <w:highlight w:val="none"/>
                <w:u w:val="none" w:color="auto"/>
                <w:vertAlign w:val="subscript"/>
                <w:lang w:val="en-US" w:eastAsia="zh-CN"/>
              </w:rPr>
              <w:t>5</w:t>
            </w:r>
            <w:r>
              <w:rPr>
                <w:rFonts w:hint="eastAsia" w:ascii="Times New Roman" w:hAnsi="Times New Roman" w:eastAsia="宋体" w:cs="Times New Roman"/>
                <w:color w:val="auto"/>
                <w:kern w:val="0"/>
                <w:highlight w:val="none"/>
                <w:u w:val="none" w:color="auto"/>
                <w:lang w:val="en-US" w:eastAsia="zh-CN"/>
              </w:rPr>
              <w:t>、NH</w:t>
            </w:r>
            <w:r>
              <w:rPr>
                <w:rFonts w:hint="eastAsia" w:ascii="Times New Roman" w:hAnsi="Times New Roman" w:eastAsia="宋体" w:cs="Times New Roman"/>
                <w:color w:val="auto"/>
                <w:kern w:val="0"/>
                <w:highlight w:val="none"/>
                <w:u w:val="none" w:color="auto"/>
                <w:vertAlign w:val="subscript"/>
                <w:lang w:val="en-US" w:eastAsia="zh-CN"/>
              </w:rPr>
              <w:t>3</w:t>
            </w:r>
            <w:r>
              <w:rPr>
                <w:rFonts w:hint="eastAsia" w:ascii="Times New Roman" w:hAnsi="Times New Roman" w:eastAsia="宋体" w:cs="Times New Roman"/>
                <w:color w:val="auto"/>
                <w:kern w:val="0"/>
                <w:highlight w:val="none"/>
                <w:u w:val="none" w:color="auto"/>
                <w:lang w:val="en-US" w:eastAsia="zh-CN"/>
              </w:rPr>
              <w:t>-N、TN、TP、SS、动植物油等，生活污水源强参考原环境保护部环境工程技术评估中心编制的《环境影响评价（社会区域类）教材》及，其浓度系数分别为285mg/L、150mg/L、30mg/L、39.4mg/L、4.1mg/L、150mg/L、20mg/L。主要污染物产排情况如下。</w:t>
            </w:r>
          </w:p>
          <w:p w14:paraId="600ADA5A">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color w:val="auto"/>
                <w:kern w:val="0"/>
                <w:sz w:val="21"/>
                <w:szCs w:val="21"/>
                <w:highlight w:val="none"/>
                <w:u w:val="none" w:color="auto"/>
                <w:lang w:val="en-US" w:eastAsia="zh-CN"/>
              </w:rPr>
            </w:pPr>
            <w:r>
              <w:rPr>
                <w:rFonts w:hint="default" w:ascii="Times New Roman" w:hAnsi="Times New Roman" w:eastAsia="宋体" w:cs="Times New Roman"/>
                <w:b/>
                <w:bCs/>
                <w:color w:val="auto"/>
                <w:kern w:val="0"/>
                <w:sz w:val="21"/>
                <w:szCs w:val="21"/>
                <w:highlight w:val="none"/>
                <w:u w:val="none" w:color="auto"/>
                <w:lang w:val="en-US" w:eastAsia="zh-CN"/>
              </w:rPr>
              <w:t>表4-</w:t>
            </w:r>
            <w:r>
              <w:rPr>
                <w:rFonts w:hint="eastAsia" w:ascii="Times New Roman" w:hAnsi="Times New Roman" w:eastAsia="宋体" w:cs="Times New Roman"/>
                <w:b/>
                <w:bCs/>
                <w:color w:val="auto"/>
                <w:kern w:val="0"/>
                <w:sz w:val="21"/>
                <w:szCs w:val="21"/>
                <w:highlight w:val="none"/>
                <w:u w:val="none" w:color="auto"/>
                <w:lang w:val="en-US" w:eastAsia="zh-CN"/>
              </w:rPr>
              <w:t>10 生活污水产排情况一览表</w:t>
            </w:r>
          </w:p>
          <w:tbl>
            <w:tblPr>
              <w:tblStyle w:val="42"/>
              <w:tblW w:w="4905"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28"/>
              <w:gridCol w:w="915"/>
              <w:gridCol w:w="944"/>
              <w:gridCol w:w="1115"/>
              <w:gridCol w:w="913"/>
              <w:gridCol w:w="1044"/>
              <w:gridCol w:w="944"/>
              <w:gridCol w:w="1222"/>
            </w:tblGrid>
            <w:tr w14:paraId="207714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25" w:hRule="atLeast"/>
                <w:jc w:val="center"/>
              </w:trPr>
              <w:tc>
                <w:tcPr>
                  <w:tcW w:w="465" w:type="pct"/>
                  <w:vMerge w:val="restart"/>
                  <w:tcBorders>
                    <w:bottom w:val="single" w:color="auto" w:sz="4" w:space="0"/>
                    <w:right w:val="single" w:color="auto" w:sz="4" w:space="0"/>
                    <w:tl2br w:val="nil"/>
                    <w:tr2bl w:val="nil"/>
                  </w:tcBorders>
                  <w:noWrap w:val="0"/>
                  <w:vAlign w:val="center"/>
                </w:tcPr>
                <w:p w14:paraId="70BB7C38">
                  <w:pPr>
                    <w:keepNext w:val="0"/>
                    <w:keepLines w:val="0"/>
                    <w:widowControl w:val="0"/>
                    <w:suppressLineNumbers w:val="0"/>
                    <w:bidi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kern w:val="2"/>
                      <w:sz w:val="21"/>
                      <w:szCs w:val="24"/>
                      <w:u w:val="none"/>
                      <w:lang w:val="en-US" w:eastAsia="zh-CN" w:bidi="ar-SA"/>
                    </w:rPr>
                  </w:pPr>
                  <w:r>
                    <w:rPr>
                      <w:rFonts w:hint="default" w:ascii="Times New Roman" w:hAnsi="Times New Roman" w:eastAsia="宋体" w:cs="Times New Roman"/>
                      <w:color w:val="auto"/>
                      <w:kern w:val="2"/>
                      <w:sz w:val="21"/>
                      <w:szCs w:val="24"/>
                      <w:u w:val="none"/>
                      <w:lang w:val="en-US" w:eastAsia="zh-CN" w:bidi="ar-SA"/>
                    </w:rPr>
                    <w:t>排放源</w:t>
                  </w:r>
                </w:p>
              </w:tc>
              <w:tc>
                <w:tcPr>
                  <w:tcW w:w="584" w:type="pct"/>
                  <w:vMerge w:val="restart"/>
                  <w:tcBorders>
                    <w:left w:val="single" w:color="auto" w:sz="4" w:space="0"/>
                    <w:bottom w:val="single" w:color="auto" w:sz="4" w:space="0"/>
                    <w:right w:val="single" w:color="auto" w:sz="4" w:space="0"/>
                    <w:tl2br w:val="nil"/>
                    <w:tr2bl w:val="nil"/>
                  </w:tcBorders>
                  <w:noWrap w:val="0"/>
                  <w:vAlign w:val="center"/>
                </w:tcPr>
                <w:p w14:paraId="3F0EAC79">
                  <w:pPr>
                    <w:keepNext w:val="0"/>
                    <w:keepLines w:val="0"/>
                    <w:widowControl w:val="0"/>
                    <w:suppressLineNumbers w:val="0"/>
                    <w:bidi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kern w:val="2"/>
                      <w:sz w:val="21"/>
                      <w:szCs w:val="24"/>
                      <w:u w:val="none"/>
                      <w:lang w:val="en-US" w:eastAsia="zh-CN" w:bidi="ar-SA"/>
                    </w:rPr>
                  </w:pPr>
                  <w:r>
                    <w:rPr>
                      <w:rFonts w:hint="default" w:ascii="Times New Roman" w:hAnsi="Times New Roman" w:eastAsia="宋体" w:cs="Times New Roman"/>
                      <w:color w:val="auto"/>
                      <w:kern w:val="2"/>
                      <w:sz w:val="21"/>
                      <w:szCs w:val="24"/>
                      <w:u w:val="none"/>
                      <w:lang w:val="en-US" w:eastAsia="zh-CN" w:bidi="ar-SA"/>
                    </w:rPr>
                    <w:t>因子</w:t>
                  </w:r>
                </w:p>
              </w:tc>
              <w:tc>
                <w:tcPr>
                  <w:tcW w:w="1315" w:type="pct"/>
                  <w:gridSpan w:val="2"/>
                  <w:tcBorders>
                    <w:left w:val="single" w:color="auto" w:sz="4" w:space="0"/>
                    <w:bottom w:val="single" w:color="auto" w:sz="4" w:space="0"/>
                    <w:right w:val="single" w:color="auto" w:sz="4" w:space="0"/>
                    <w:tl2br w:val="nil"/>
                    <w:tr2bl w:val="nil"/>
                  </w:tcBorders>
                  <w:noWrap w:val="0"/>
                  <w:vAlign w:val="center"/>
                </w:tcPr>
                <w:p w14:paraId="1D07927B">
                  <w:pPr>
                    <w:keepNext w:val="0"/>
                    <w:keepLines w:val="0"/>
                    <w:widowControl w:val="0"/>
                    <w:suppressLineNumbers w:val="0"/>
                    <w:bidi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kern w:val="2"/>
                      <w:sz w:val="21"/>
                      <w:szCs w:val="24"/>
                      <w:u w:val="none"/>
                      <w:lang w:val="en-US" w:eastAsia="zh-CN" w:bidi="ar-SA"/>
                    </w:rPr>
                  </w:pPr>
                  <w:r>
                    <w:rPr>
                      <w:rFonts w:hint="default" w:ascii="Times New Roman" w:hAnsi="Times New Roman" w:eastAsia="宋体" w:cs="Times New Roman"/>
                      <w:color w:val="auto"/>
                      <w:kern w:val="2"/>
                      <w:sz w:val="21"/>
                      <w:szCs w:val="24"/>
                      <w:u w:val="none"/>
                      <w:lang w:val="en-US" w:eastAsia="zh-CN" w:bidi="ar-SA"/>
                    </w:rPr>
                    <w:t>产生情况</w:t>
                  </w:r>
                </w:p>
              </w:tc>
              <w:tc>
                <w:tcPr>
                  <w:tcW w:w="583" w:type="pct"/>
                  <w:vMerge w:val="restart"/>
                  <w:tcBorders>
                    <w:left w:val="single" w:color="auto" w:sz="4" w:space="0"/>
                    <w:right w:val="single" w:color="auto" w:sz="4" w:space="0"/>
                    <w:tl2br w:val="nil"/>
                    <w:tr2bl w:val="nil"/>
                  </w:tcBorders>
                  <w:noWrap w:val="0"/>
                  <w:vAlign w:val="center"/>
                </w:tcPr>
                <w:p w14:paraId="60B600F1">
                  <w:pPr>
                    <w:keepNext w:val="0"/>
                    <w:keepLines w:val="0"/>
                    <w:widowControl w:val="0"/>
                    <w:suppressLineNumbers w:val="0"/>
                    <w:bidi w:val="0"/>
                    <w:spacing w:before="0" w:beforeLines="0" w:beforeAutospacing="0" w:after="0" w:afterLines="0" w:afterAutospacing="0" w:line="240" w:lineRule="auto"/>
                    <w:ind w:left="0" w:right="0" w:firstLine="0" w:firstLineChars="0"/>
                    <w:jc w:val="center"/>
                    <w:rPr>
                      <w:rFonts w:hint="eastAsia" w:ascii="Times New Roman" w:hAnsi="Times New Roman" w:eastAsia="宋体" w:cs="Times New Roman"/>
                      <w:color w:val="auto"/>
                      <w:kern w:val="2"/>
                      <w:sz w:val="21"/>
                      <w:szCs w:val="24"/>
                      <w:u w:val="none"/>
                      <w:lang w:val="en-US" w:eastAsia="zh-CN" w:bidi="ar-SA"/>
                    </w:rPr>
                  </w:pPr>
                  <w:r>
                    <w:rPr>
                      <w:rFonts w:hint="eastAsia" w:ascii="Times New Roman" w:hAnsi="Times New Roman" w:eastAsia="宋体" w:cs="Times New Roman"/>
                      <w:color w:val="auto"/>
                      <w:kern w:val="2"/>
                      <w:sz w:val="21"/>
                      <w:szCs w:val="24"/>
                      <w:u w:val="none"/>
                      <w:lang w:val="en-US" w:eastAsia="zh-CN" w:bidi="ar-SA"/>
                    </w:rPr>
                    <w:t>去除率（%）</w:t>
                  </w:r>
                </w:p>
              </w:tc>
              <w:tc>
                <w:tcPr>
                  <w:tcW w:w="1270" w:type="pct"/>
                  <w:gridSpan w:val="2"/>
                  <w:tcBorders>
                    <w:left w:val="single" w:color="auto" w:sz="4" w:space="0"/>
                    <w:bottom w:val="single" w:color="auto" w:sz="4" w:space="0"/>
                    <w:right w:val="single" w:color="auto" w:sz="4" w:space="0"/>
                    <w:tl2br w:val="nil"/>
                    <w:tr2bl w:val="nil"/>
                  </w:tcBorders>
                  <w:noWrap w:val="0"/>
                  <w:vAlign w:val="center"/>
                </w:tcPr>
                <w:p w14:paraId="7467CF13">
                  <w:pPr>
                    <w:keepNext w:val="0"/>
                    <w:keepLines w:val="0"/>
                    <w:widowControl w:val="0"/>
                    <w:suppressLineNumbers w:val="0"/>
                    <w:bidi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kern w:val="2"/>
                      <w:sz w:val="21"/>
                      <w:szCs w:val="24"/>
                      <w:u w:val="none"/>
                      <w:lang w:val="en-US" w:eastAsia="zh-CN" w:bidi="ar-SA"/>
                    </w:rPr>
                  </w:pPr>
                  <w:r>
                    <w:rPr>
                      <w:rFonts w:hint="default" w:ascii="Times New Roman" w:hAnsi="Times New Roman" w:eastAsia="宋体" w:cs="Times New Roman"/>
                      <w:color w:val="auto"/>
                      <w:kern w:val="2"/>
                      <w:sz w:val="21"/>
                      <w:szCs w:val="24"/>
                      <w:u w:val="none"/>
                      <w:lang w:val="en-US" w:eastAsia="zh-CN" w:bidi="ar-SA"/>
                    </w:rPr>
                    <w:t>排放情况</w:t>
                  </w:r>
                </w:p>
              </w:tc>
              <w:tc>
                <w:tcPr>
                  <w:tcW w:w="780" w:type="pct"/>
                  <w:vMerge w:val="restart"/>
                  <w:tcBorders>
                    <w:left w:val="single" w:color="auto" w:sz="4" w:space="0"/>
                    <w:bottom w:val="single" w:color="auto" w:sz="4" w:space="0"/>
                    <w:tl2br w:val="nil"/>
                    <w:tr2bl w:val="nil"/>
                  </w:tcBorders>
                  <w:noWrap w:val="0"/>
                  <w:vAlign w:val="center"/>
                </w:tcPr>
                <w:p w14:paraId="153CB8F2">
                  <w:pPr>
                    <w:keepNext w:val="0"/>
                    <w:keepLines w:val="0"/>
                    <w:widowControl w:val="0"/>
                    <w:suppressLineNumbers w:val="0"/>
                    <w:bidi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kern w:val="2"/>
                      <w:sz w:val="21"/>
                      <w:szCs w:val="24"/>
                      <w:u w:val="none"/>
                      <w:lang w:val="en-US" w:eastAsia="zh-CN" w:bidi="ar-SA"/>
                    </w:rPr>
                  </w:pPr>
                  <w:r>
                    <w:rPr>
                      <w:rFonts w:hint="default" w:ascii="Times New Roman" w:hAnsi="Times New Roman" w:eastAsia="宋体" w:cs="Times New Roman"/>
                      <w:color w:val="auto"/>
                      <w:kern w:val="2"/>
                      <w:sz w:val="21"/>
                      <w:szCs w:val="24"/>
                      <w:u w:val="none"/>
                      <w:lang w:val="en-US" w:eastAsia="zh-CN" w:bidi="ar-SA"/>
                    </w:rPr>
                    <w:t>处理措施及去向</w:t>
                  </w:r>
                </w:p>
              </w:tc>
            </w:tr>
            <w:tr w14:paraId="48F08FE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465" w:type="pct"/>
                  <w:vMerge w:val="continue"/>
                  <w:tcBorders>
                    <w:top w:val="single" w:color="auto" w:sz="4" w:space="0"/>
                    <w:bottom w:val="single" w:color="auto" w:sz="4" w:space="0"/>
                    <w:right w:val="single" w:color="auto" w:sz="4" w:space="0"/>
                    <w:tl2br w:val="nil"/>
                    <w:tr2bl w:val="nil"/>
                  </w:tcBorders>
                  <w:noWrap w:val="0"/>
                  <w:vAlign w:val="center"/>
                </w:tcPr>
                <w:p w14:paraId="77B6A0A0">
                  <w:pPr>
                    <w:keepNext w:val="0"/>
                    <w:keepLines w:val="0"/>
                    <w:widowControl w:val="0"/>
                    <w:suppressLineNumbers w:val="0"/>
                    <w:bidi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kern w:val="2"/>
                      <w:sz w:val="21"/>
                      <w:szCs w:val="24"/>
                      <w:u w:val="none"/>
                      <w:lang w:val="en-US" w:eastAsia="zh-CN" w:bidi="ar-SA"/>
                    </w:rPr>
                  </w:pPr>
                </w:p>
              </w:tc>
              <w:tc>
                <w:tcPr>
                  <w:tcW w:w="584" w:type="pct"/>
                  <w:vMerge w:val="continue"/>
                  <w:tcBorders>
                    <w:top w:val="single" w:color="auto" w:sz="4" w:space="0"/>
                    <w:left w:val="single" w:color="auto" w:sz="4" w:space="0"/>
                    <w:bottom w:val="single" w:color="auto" w:sz="4" w:space="0"/>
                    <w:right w:val="single" w:color="auto" w:sz="4" w:space="0"/>
                    <w:tl2br w:val="nil"/>
                    <w:tr2bl w:val="nil"/>
                  </w:tcBorders>
                  <w:noWrap w:val="0"/>
                  <w:vAlign w:val="center"/>
                </w:tcPr>
                <w:p w14:paraId="5E8340D6">
                  <w:pPr>
                    <w:keepNext w:val="0"/>
                    <w:keepLines w:val="0"/>
                    <w:widowControl w:val="0"/>
                    <w:suppressLineNumbers w:val="0"/>
                    <w:bidi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kern w:val="2"/>
                      <w:sz w:val="21"/>
                      <w:szCs w:val="24"/>
                      <w:u w:val="none"/>
                      <w:lang w:val="en-US" w:eastAsia="zh-CN" w:bidi="ar-SA"/>
                    </w:rPr>
                  </w:pPr>
                </w:p>
              </w:tc>
              <w:tc>
                <w:tcPr>
                  <w:tcW w:w="60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A051C26">
                  <w:pPr>
                    <w:keepNext w:val="0"/>
                    <w:keepLines w:val="0"/>
                    <w:widowControl w:val="0"/>
                    <w:suppressLineNumbers w:val="0"/>
                    <w:bidi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kern w:val="2"/>
                      <w:sz w:val="21"/>
                      <w:szCs w:val="24"/>
                      <w:u w:val="none"/>
                      <w:lang w:val="en-US" w:eastAsia="zh-CN" w:bidi="ar-SA"/>
                    </w:rPr>
                  </w:pPr>
                  <w:r>
                    <w:rPr>
                      <w:rFonts w:hint="default" w:ascii="Times New Roman" w:hAnsi="Times New Roman" w:eastAsia="宋体" w:cs="Times New Roman"/>
                      <w:color w:val="auto"/>
                      <w:kern w:val="2"/>
                      <w:sz w:val="21"/>
                      <w:szCs w:val="24"/>
                      <w:u w:val="none"/>
                      <w:lang w:val="en-US" w:eastAsia="zh-CN" w:bidi="ar-SA"/>
                    </w:rPr>
                    <w:t>产生浓度（mg/L）</w:t>
                  </w:r>
                </w:p>
              </w:tc>
              <w:tc>
                <w:tcPr>
                  <w:tcW w:w="71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60BC1ED">
                  <w:pPr>
                    <w:keepNext w:val="0"/>
                    <w:keepLines w:val="0"/>
                    <w:widowControl w:val="0"/>
                    <w:suppressLineNumbers w:val="0"/>
                    <w:bidi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kern w:val="2"/>
                      <w:sz w:val="21"/>
                      <w:szCs w:val="24"/>
                      <w:u w:val="none"/>
                      <w:lang w:val="en-US" w:eastAsia="zh-CN" w:bidi="ar-SA"/>
                    </w:rPr>
                  </w:pPr>
                  <w:r>
                    <w:rPr>
                      <w:rFonts w:hint="default" w:ascii="Times New Roman" w:hAnsi="Times New Roman" w:eastAsia="宋体" w:cs="Times New Roman"/>
                      <w:color w:val="auto"/>
                      <w:kern w:val="2"/>
                      <w:sz w:val="21"/>
                      <w:szCs w:val="24"/>
                      <w:u w:val="none"/>
                      <w:lang w:val="en-US" w:eastAsia="zh-CN" w:bidi="ar-SA"/>
                    </w:rPr>
                    <w:t>产生量（t/a）</w:t>
                  </w:r>
                </w:p>
              </w:tc>
              <w:tc>
                <w:tcPr>
                  <w:tcW w:w="583" w:type="pct"/>
                  <w:vMerge w:val="continue"/>
                  <w:tcBorders>
                    <w:left w:val="single" w:color="auto" w:sz="4" w:space="0"/>
                    <w:bottom w:val="single" w:color="auto" w:sz="4" w:space="0"/>
                    <w:right w:val="single" w:color="auto" w:sz="4" w:space="0"/>
                    <w:tl2br w:val="nil"/>
                    <w:tr2bl w:val="nil"/>
                  </w:tcBorders>
                  <w:noWrap w:val="0"/>
                  <w:vAlign w:val="center"/>
                </w:tcPr>
                <w:p w14:paraId="50F869C5">
                  <w:pPr>
                    <w:keepNext w:val="0"/>
                    <w:keepLines w:val="0"/>
                    <w:widowControl w:val="0"/>
                    <w:suppressLineNumbers w:val="0"/>
                    <w:bidi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kern w:val="2"/>
                      <w:sz w:val="21"/>
                      <w:szCs w:val="24"/>
                      <w:u w:val="none"/>
                      <w:lang w:val="en-US" w:eastAsia="zh-CN" w:bidi="ar-SA"/>
                    </w:rPr>
                  </w:pPr>
                </w:p>
              </w:tc>
              <w:tc>
                <w:tcPr>
                  <w:tcW w:w="66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94A1830">
                  <w:pPr>
                    <w:keepNext w:val="0"/>
                    <w:keepLines w:val="0"/>
                    <w:widowControl w:val="0"/>
                    <w:suppressLineNumbers w:val="0"/>
                    <w:bidi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kern w:val="2"/>
                      <w:sz w:val="21"/>
                      <w:szCs w:val="24"/>
                      <w:u w:val="none"/>
                      <w:lang w:val="en-US" w:eastAsia="zh-CN" w:bidi="ar-SA"/>
                    </w:rPr>
                  </w:pPr>
                  <w:r>
                    <w:rPr>
                      <w:rFonts w:hint="default" w:ascii="Times New Roman" w:hAnsi="Times New Roman" w:eastAsia="宋体" w:cs="Times New Roman"/>
                      <w:color w:val="auto"/>
                      <w:kern w:val="2"/>
                      <w:sz w:val="21"/>
                      <w:szCs w:val="24"/>
                      <w:u w:val="none"/>
                      <w:lang w:val="en-US" w:eastAsia="zh-CN" w:bidi="ar-SA"/>
                    </w:rPr>
                    <w:t>排放浓度（mg/L）</w:t>
                  </w:r>
                </w:p>
              </w:tc>
              <w:tc>
                <w:tcPr>
                  <w:tcW w:w="60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D7B181E">
                  <w:pPr>
                    <w:keepNext w:val="0"/>
                    <w:keepLines w:val="0"/>
                    <w:widowControl w:val="0"/>
                    <w:suppressLineNumbers w:val="0"/>
                    <w:bidi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kern w:val="2"/>
                      <w:sz w:val="21"/>
                      <w:szCs w:val="24"/>
                      <w:u w:val="none"/>
                      <w:lang w:val="en-US" w:eastAsia="zh-CN" w:bidi="ar-SA"/>
                    </w:rPr>
                  </w:pPr>
                  <w:r>
                    <w:rPr>
                      <w:rFonts w:hint="default" w:ascii="Times New Roman" w:hAnsi="Times New Roman" w:eastAsia="宋体" w:cs="Times New Roman"/>
                      <w:color w:val="auto"/>
                      <w:kern w:val="2"/>
                      <w:sz w:val="21"/>
                      <w:szCs w:val="24"/>
                      <w:u w:val="none"/>
                      <w:lang w:val="en-US" w:eastAsia="zh-CN" w:bidi="ar-SA"/>
                    </w:rPr>
                    <w:t>排放量（t/a）</w:t>
                  </w:r>
                </w:p>
              </w:tc>
              <w:tc>
                <w:tcPr>
                  <w:tcW w:w="780" w:type="pct"/>
                  <w:vMerge w:val="continue"/>
                  <w:tcBorders>
                    <w:top w:val="single" w:color="auto" w:sz="4" w:space="0"/>
                    <w:left w:val="single" w:color="auto" w:sz="4" w:space="0"/>
                    <w:bottom w:val="single" w:color="auto" w:sz="4" w:space="0"/>
                    <w:tl2br w:val="nil"/>
                    <w:tr2bl w:val="nil"/>
                  </w:tcBorders>
                  <w:noWrap w:val="0"/>
                  <w:vAlign w:val="center"/>
                </w:tcPr>
                <w:p w14:paraId="65CD9EAA">
                  <w:pPr>
                    <w:keepNext w:val="0"/>
                    <w:keepLines w:val="0"/>
                    <w:widowControl w:val="0"/>
                    <w:suppressLineNumbers w:val="0"/>
                    <w:bidi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kern w:val="2"/>
                      <w:sz w:val="21"/>
                      <w:szCs w:val="24"/>
                      <w:u w:val="none"/>
                      <w:lang w:val="en-US" w:eastAsia="zh-CN" w:bidi="ar-SA"/>
                    </w:rPr>
                  </w:pPr>
                </w:p>
              </w:tc>
            </w:tr>
            <w:tr w14:paraId="17E170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465" w:type="pct"/>
                  <w:vMerge w:val="restart"/>
                  <w:tcBorders>
                    <w:right w:val="single" w:color="auto" w:sz="4" w:space="0"/>
                    <w:tl2br w:val="nil"/>
                    <w:tr2bl w:val="nil"/>
                  </w:tcBorders>
                  <w:noWrap w:val="0"/>
                  <w:vAlign w:val="center"/>
                </w:tcPr>
                <w:p w14:paraId="27AB7B88">
                  <w:pPr>
                    <w:keepNext w:val="0"/>
                    <w:keepLines w:val="0"/>
                    <w:widowControl w:val="0"/>
                    <w:suppressLineNumbers w:val="0"/>
                    <w:bidi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kern w:val="2"/>
                      <w:sz w:val="21"/>
                      <w:szCs w:val="24"/>
                      <w:u w:val="none"/>
                      <w:lang w:val="en-US" w:eastAsia="zh-CN" w:bidi="ar-SA"/>
                    </w:rPr>
                  </w:pPr>
                  <w:r>
                    <w:rPr>
                      <w:rFonts w:hint="eastAsia" w:ascii="Times New Roman" w:hAnsi="Times New Roman" w:eastAsia="宋体" w:cs="Times New Roman"/>
                      <w:color w:val="auto"/>
                      <w:kern w:val="2"/>
                      <w:sz w:val="21"/>
                      <w:szCs w:val="24"/>
                      <w:u w:val="none"/>
                      <w:lang w:val="en-US" w:eastAsia="zh-CN" w:bidi="ar-SA"/>
                    </w:rPr>
                    <w:t>生活污水</w:t>
                  </w:r>
                </w:p>
              </w:tc>
              <w:tc>
                <w:tcPr>
                  <w:tcW w:w="584"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6A896036">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lang w:val="en-US" w:eastAsia="zh-CN" w:bidi="ar-SA"/>
                    </w:rPr>
                  </w:pPr>
                  <w:r>
                    <w:rPr>
                      <w:rFonts w:hint="eastAsia" w:ascii="Times New Roman" w:hAnsi="Times New Roman" w:eastAsia="宋体" w:cs="Times New Roman"/>
                      <w:color w:val="auto"/>
                      <w:kern w:val="2"/>
                      <w:sz w:val="21"/>
                      <w:szCs w:val="24"/>
                      <w:u w:val="none"/>
                      <w:lang w:val="en-US" w:eastAsia="zh-CN" w:bidi="ar-SA"/>
                    </w:rPr>
                    <w:t>废水量</w:t>
                  </w:r>
                </w:p>
              </w:tc>
              <w:tc>
                <w:tcPr>
                  <w:tcW w:w="60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1114B6AB">
                  <w:pPr>
                    <w:keepNext w:val="0"/>
                    <w:keepLines w:val="0"/>
                    <w:widowControl w:val="0"/>
                    <w:suppressLineNumbers w:val="0"/>
                    <w:bidi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kern w:val="2"/>
                      <w:sz w:val="21"/>
                      <w:szCs w:val="24"/>
                      <w:u w:val="none"/>
                      <w:lang w:val="en-US" w:eastAsia="zh-CN" w:bidi="ar-SA"/>
                    </w:rPr>
                  </w:pPr>
                  <w:r>
                    <w:rPr>
                      <w:rFonts w:hint="eastAsia" w:ascii="Times New Roman" w:hAnsi="Times New Roman" w:eastAsia="宋体" w:cs="Times New Roman"/>
                      <w:color w:val="auto"/>
                      <w:kern w:val="2"/>
                      <w:sz w:val="21"/>
                      <w:szCs w:val="24"/>
                      <w:u w:val="none"/>
                      <w:lang w:val="en-US" w:eastAsia="zh-CN" w:bidi="ar-SA"/>
                    </w:rPr>
                    <w:t>/</w:t>
                  </w:r>
                </w:p>
              </w:tc>
              <w:tc>
                <w:tcPr>
                  <w:tcW w:w="71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7F3B31E1">
                  <w:pPr>
                    <w:keepNext w:val="0"/>
                    <w:keepLines w:val="0"/>
                    <w:widowControl w:val="0"/>
                    <w:suppressLineNumbers w:val="0"/>
                    <w:bidi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kern w:val="2"/>
                      <w:sz w:val="21"/>
                      <w:szCs w:val="24"/>
                      <w:u w:val="none"/>
                      <w:lang w:val="en-US" w:eastAsia="zh-CN" w:bidi="ar-SA"/>
                    </w:rPr>
                  </w:pPr>
                  <w:r>
                    <w:rPr>
                      <w:rFonts w:hint="eastAsia" w:cs="Times New Roman"/>
                      <w:color w:val="auto"/>
                      <w:kern w:val="2"/>
                      <w:sz w:val="21"/>
                      <w:szCs w:val="24"/>
                      <w:u w:val="none"/>
                      <w:lang w:val="en-US" w:eastAsia="zh-CN" w:bidi="ar-SA"/>
                    </w:rPr>
                    <w:t>4688.8</w:t>
                  </w:r>
                </w:p>
              </w:tc>
              <w:tc>
                <w:tcPr>
                  <w:tcW w:w="58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B478B76">
                  <w:pPr>
                    <w:keepNext w:val="0"/>
                    <w:keepLines w:val="0"/>
                    <w:widowControl w:val="0"/>
                    <w:suppressLineNumbers w:val="0"/>
                    <w:bidi w:val="0"/>
                    <w:spacing w:before="0" w:beforeLines="0" w:beforeAutospacing="0" w:after="0" w:afterLines="0" w:afterAutospacing="0" w:line="240" w:lineRule="auto"/>
                    <w:ind w:left="0" w:right="0" w:firstLine="0" w:firstLineChars="0"/>
                    <w:jc w:val="center"/>
                    <w:rPr>
                      <w:rFonts w:hint="eastAsia" w:ascii="Times New Roman" w:hAnsi="Times New Roman" w:eastAsia="宋体" w:cs="Times New Roman"/>
                      <w:color w:val="auto"/>
                      <w:kern w:val="2"/>
                      <w:sz w:val="21"/>
                      <w:szCs w:val="24"/>
                      <w:u w:val="none"/>
                      <w:lang w:val="en-US" w:eastAsia="zh-CN" w:bidi="ar-SA"/>
                    </w:rPr>
                  </w:pPr>
                </w:p>
              </w:tc>
              <w:tc>
                <w:tcPr>
                  <w:tcW w:w="66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E846435">
                  <w:pPr>
                    <w:keepNext w:val="0"/>
                    <w:keepLines w:val="0"/>
                    <w:widowControl w:val="0"/>
                    <w:suppressLineNumbers w:val="0"/>
                    <w:bidi w:val="0"/>
                    <w:spacing w:before="0" w:beforeLines="0" w:beforeAutospacing="0" w:after="0" w:afterLines="0" w:afterAutospacing="0" w:line="240" w:lineRule="auto"/>
                    <w:ind w:left="0" w:right="0" w:firstLine="0" w:firstLineChars="0"/>
                    <w:jc w:val="center"/>
                    <w:rPr>
                      <w:rFonts w:hint="eastAsia" w:ascii="Times New Roman" w:hAnsi="Times New Roman" w:eastAsia="宋体" w:cs="Times New Roman"/>
                      <w:color w:val="auto"/>
                      <w:kern w:val="2"/>
                      <w:sz w:val="21"/>
                      <w:szCs w:val="24"/>
                      <w:u w:val="none"/>
                      <w:lang w:val="en-US" w:eastAsia="zh-CN" w:bidi="ar-SA"/>
                    </w:rPr>
                  </w:pPr>
                </w:p>
              </w:tc>
              <w:tc>
                <w:tcPr>
                  <w:tcW w:w="94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11199E61">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lang w:val="en-US" w:eastAsia="zh-CN" w:bidi="ar-SA"/>
                    </w:rPr>
                  </w:pPr>
                  <w:r>
                    <w:rPr>
                      <w:rFonts w:hint="eastAsia" w:cs="Times New Roman"/>
                      <w:color w:val="auto"/>
                      <w:kern w:val="2"/>
                      <w:sz w:val="21"/>
                      <w:szCs w:val="24"/>
                      <w:u w:val="none"/>
                      <w:lang w:val="en-US" w:eastAsia="zh-CN" w:bidi="ar-SA"/>
                    </w:rPr>
                    <w:t>4688.8</w:t>
                  </w:r>
                </w:p>
              </w:tc>
              <w:tc>
                <w:tcPr>
                  <w:tcW w:w="780" w:type="pct"/>
                  <w:vMerge w:val="restart"/>
                  <w:tcBorders>
                    <w:left w:val="single" w:color="auto" w:sz="4" w:space="0"/>
                    <w:tl2br w:val="nil"/>
                    <w:tr2bl w:val="nil"/>
                  </w:tcBorders>
                  <w:noWrap w:val="0"/>
                  <w:vAlign w:val="center"/>
                </w:tcPr>
                <w:p w14:paraId="6CEB88A8">
                  <w:pPr>
                    <w:keepNext w:val="0"/>
                    <w:keepLines w:val="0"/>
                    <w:widowControl w:val="0"/>
                    <w:suppressLineNumbers w:val="0"/>
                    <w:bidi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kern w:val="2"/>
                      <w:sz w:val="21"/>
                      <w:szCs w:val="24"/>
                      <w:u w:val="none"/>
                      <w:lang w:val="en-US" w:eastAsia="zh-CN" w:bidi="ar-SA"/>
                    </w:rPr>
                  </w:pPr>
                  <w:r>
                    <w:rPr>
                      <w:rFonts w:hint="eastAsia" w:ascii="Times New Roman" w:hAnsi="Times New Roman" w:eastAsia="宋体" w:cs="Times New Roman"/>
                      <w:color w:val="auto"/>
                      <w:kern w:val="2"/>
                      <w:sz w:val="21"/>
                      <w:szCs w:val="24"/>
                      <w:u w:val="none"/>
                      <w:lang w:val="en-US" w:eastAsia="zh-CN" w:bidi="ar-SA"/>
                    </w:rPr>
                    <w:t>化粪池收集处理后经槽车运往运往汨罗市大荆镇古仑片区污水处理站处理</w:t>
                  </w:r>
                </w:p>
              </w:tc>
            </w:tr>
            <w:tr w14:paraId="734CDE3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465" w:type="pct"/>
                  <w:vMerge w:val="continue"/>
                  <w:tcBorders>
                    <w:right w:val="single" w:color="auto" w:sz="4" w:space="0"/>
                    <w:tl2br w:val="nil"/>
                    <w:tr2bl w:val="nil"/>
                  </w:tcBorders>
                  <w:noWrap w:val="0"/>
                  <w:vAlign w:val="center"/>
                </w:tcPr>
                <w:p w14:paraId="62A96624">
                  <w:pPr>
                    <w:keepNext w:val="0"/>
                    <w:keepLines w:val="0"/>
                    <w:widowControl w:val="0"/>
                    <w:suppressLineNumbers w:val="0"/>
                    <w:bidi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kern w:val="2"/>
                      <w:sz w:val="21"/>
                      <w:szCs w:val="24"/>
                      <w:u w:val="none"/>
                      <w:lang w:val="en-US" w:eastAsia="zh-CN" w:bidi="ar-SA"/>
                    </w:rPr>
                  </w:pPr>
                </w:p>
              </w:tc>
              <w:tc>
                <w:tcPr>
                  <w:tcW w:w="584"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5E910F65">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4"/>
                      <w:u w:val="none"/>
                      <w:lang w:val="en-US" w:eastAsia="zh-CN" w:bidi="ar-SA"/>
                    </w:rPr>
                  </w:pPr>
                  <w:r>
                    <w:rPr>
                      <w:rFonts w:hint="default" w:ascii="Times New Roman" w:hAnsi="Times New Roman" w:eastAsia="宋体" w:cs="Times New Roman"/>
                      <w:color w:val="auto"/>
                      <w:kern w:val="2"/>
                      <w:sz w:val="21"/>
                      <w:szCs w:val="24"/>
                      <w:u w:val="none"/>
                      <w:lang w:val="en-US" w:eastAsia="zh-CN" w:bidi="ar-SA"/>
                    </w:rPr>
                    <w:t>CODcr</w:t>
                  </w:r>
                </w:p>
              </w:tc>
              <w:tc>
                <w:tcPr>
                  <w:tcW w:w="60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23C9FB4">
                  <w:pPr>
                    <w:keepNext w:val="0"/>
                    <w:keepLines w:val="0"/>
                    <w:widowControl w:val="0"/>
                    <w:suppressLineNumbers w:val="0"/>
                    <w:bidi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kern w:val="2"/>
                      <w:sz w:val="21"/>
                      <w:szCs w:val="24"/>
                      <w:u w:val="none"/>
                      <w:lang w:val="en-US" w:eastAsia="zh-CN" w:bidi="ar-SA"/>
                    </w:rPr>
                  </w:pPr>
                  <w:r>
                    <w:rPr>
                      <w:rFonts w:hint="eastAsia" w:ascii="Times New Roman" w:hAnsi="Times New Roman" w:eastAsia="宋体" w:cs="Times New Roman"/>
                      <w:color w:val="auto"/>
                      <w:kern w:val="2"/>
                      <w:sz w:val="21"/>
                      <w:szCs w:val="24"/>
                      <w:u w:val="none"/>
                      <w:lang w:val="en-US" w:eastAsia="zh-CN" w:bidi="ar-SA"/>
                    </w:rPr>
                    <w:t>285</w:t>
                  </w:r>
                </w:p>
              </w:tc>
              <w:tc>
                <w:tcPr>
                  <w:tcW w:w="71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9238A6D">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lang w:val="en-US" w:eastAsia="zh-CN" w:bidi="ar-SA"/>
                    </w:rPr>
                  </w:pPr>
                  <w:r>
                    <w:rPr>
                      <w:rFonts w:hint="eastAsia" w:cs="Times New Roman"/>
                      <w:color w:val="auto"/>
                      <w:kern w:val="2"/>
                      <w:sz w:val="21"/>
                      <w:szCs w:val="24"/>
                      <w:u w:val="none"/>
                      <w:lang w:val="en-US" w:eastAsia="zh-CN" w:bidi="ar-SA"/>
                    </w:rPr>
                    <w:t>1.336</w:t>
                  </w:r>
                </w:p>
              </w:tc>
              <w:tc>
                <w:tcPr>
                  <w:tcW w:w="583"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692EE35C">
                  <w:pPr>
                    <w:pStyle w:val="103"/>
                    <w:keepNext w:val="0"/>
                    <w:keepLines w:val="0"/>
                    <w:suppressLineNumbers w:val="0"/>
                    <w:spacing w:before="0" w:beforeLines="0" w:beforeAutospacing="0" w:after="0" w:afterLines="0" w:afterAutospacing="0"/>
                    <w:ind w:left="0" w:leftChars="0" w:right="0" w:rightChars="0" w:firstLine="0" w:firstLineChars="0"/>
                    <w:rPr>
                      <w:rFonts w:hint="default" w:ascii="Times New Roman" w:hAnsi="Times New Roman" w:eastAsia="宋体" w:cs="Times New Roman"/>
                      <w:color w:val="auto"/>
                      <w:kern w:val="0"/>
                      <w:sz w:val="21"/>
                      <w:szCs w:val="24"/>
                      <w:u w:val="none"/>
                      <w:lang w:val="en-US" w:eastAsia="zh-CN" w:bidi="ar-SA"/>
                    </w:rPr>
                  </w:pPr>
                  <w:r>
                    <w:rPr>
                      <w:rFonts w:hint="eastAsia" w:cs="Times New Roman"/>
                      <w:color w:val="auto"/>
                      <w:sz w:val="21"/>
                      <w:szCs w:val="24"/>
                      <w:u w:val="none"/>
                      <w:lang w:val="en-US" w:eastAsia="zh-CN"/>
                    </w:rPr>
                    <w:t>20</w:t>
                  </w:r>
                </w:p>
              </w:tc>
              <w:tc>
                <w:tcPr>
                  <w:tcW w:w="66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6224062">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lang w:val="en-US" w:eastAsia="zh-CN" w:bidi="ar-SA"/>
                    </w:rPr>
                  </w:pPr>
                  <w:r>
                    <w:rPr>
                      <w:rFonts w:hint="eastAsia" w:ascii="Times New Roman" w:hAnsi="Times New Roman" w:eastAsia="宋体" w:cs="Times New Roman"/>
                      <w:color w:val="auto"/>
                      <w:kern w:val="2"/>
                      <w:sz w:val="21"/>
                      <w:szCs w:val="24"/>
                      <w:u w:val="none"/>
                      <w:lang w:val="en-US" w:eastAsia="zh-CN" w:bidi="ar-SA"/>
                    </w:rPr>
                    <w:t>228</w:t>
                  </w:r>
                </w:p>
              </w:tc>
              <w:tc>
                <w:tcPr>
                  <w:tcW w:w="94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54B7523">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lang w:val="en-US" w:eastAsia="zh-CN" w:bidi="ar-SA"/>
                    </w:rPr>
                  </w:pPr>
                  <w:r>
                    <w:rPr>
                      <w:rFonts w:hint="eastAsia" w:cs="Times New Roman"/>
                      <w:color w:val="auto"/>
                      <w:kern w:val="2"/>
                      <w:sz w:val="21"/>
                      <w:szCs w:val="24"/>
                      <w:u w:val="none"/>
                      <w:lang w:val="en-US" w:eastAsia="zh-CN" w:bidi="ar-SA"/>
                    </w:rPr>
                    <w:t>1.069</w:t>
                  </w:r>
                </w:p>
              </w:tc>
              <w:tc>
                <w:tcPr>
                  <w:tcW w:w="780" w:type="pct"/>
                  <w:vMerge w:val="continue"/>
                  <w:tcBorders>
                    <w:left w:val="single" w:color="auto" w:sz="4" w:space="0"/>
                    <w:tl2br w:val="nil"/>
                    <w:tr2bl w:val="nil"/>
                  </w:tcBorders>
                  <w:noWrap w:val="0"/>
                  <w:vAlign w:val="center"/>
                </w:tcPr>
                <w:p w14:paraId="731B04F0">
                  <w:pPr>
                    <w:keepNext w:val="0"/>
                    <w:keepLines w:val="0"/>
                    <w:widowControl w:val="0"/>
                    <w:suppressLineNumbers w:val="0"/>
                    <w:bidi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kern w:val="2"/>
                      <w:sz w:val="21"/>
                      <w:szCs w:val="24"/>
                      <w:u w:val="none"/>
                      <w:lang w:val="en-US" w:eastAsia="zh-CN" w:bidi="ar-SA"/>
                    </w:rPr>
                  </w:pPr>
                </w:p>
              </w:tc>
            </w:tr>
            <w:tr w14:paraId="77C2EE4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465" w:type="pct"/>
                  <w:vMerge w:val="continue"/>
                  <w:tcBorders>
                    <w:right w:val="single" w:color="auto" w:sz="4" w:space="0"/>
                    <w:tl2br w:val="nil"/>
                    <w:tr2bl w:val="nil"/>
                  </w:tcBorders>
                  <w:noWrap w:val="0"/>
                  <w:vAlign w:val="center"/>
                </w:tcPr>
                <w:p w14:paraId="08F40BAD">
                  <w:pPr>
                    <w:keepNext w:val="0"/>
                    <w:keepLines w:val="0"/>
                    <w:widowControl w:val="0"/>
                    <w:suppressLineNumbers w:val="0"/>
                    <w:bidi w:val="0"/>
                    <w:spacing w:before="0" w:beforeLines="0" w:beforeAutospacing="0" w:after="0" w:afterLines="0" w:afterAutospacing="0" w:line="240" w:lineRule="auto"/>
                    <w:ind w:left="0" w:right="0" w:firstLine="0" w:firstLineChars="0"/>
                    <w:jc w:val="center"/>
                    <w:rPr>
                      <w:rFonts w:hint="eastAsia" w:ascii="Times New Roman" w:hAnsi="Times New Roman" w:eastAsia="宋体" w:cs="Times New Roman"/>
                      <w:color w:val="auto"/>
                      <w:kern w:val="2"/>
                      <w:sz w:val="21"/>
                      <w:szCs w:val="24"/>
                      <w:u w:val="none"/>
                      <w:lang w:val="en-US" w:eastAsia="zh-CN" w:bidi="ar-SA"/>
                    </w:rPr>
                  </w:pPr>
                </w:p>
              </w:tc>
              <w:tc>
                <w:tcPr>
                  <w:tcW w:w="584"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2CD8CCB8">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4"/>
                      <w:u w:val="none"/>
                      <w:lang w:val="en-US" w:eastAsia="zh-CN" w:bidi="ar-SA"/>
                    </w:rPr>
                  </w:pPr>
                  <w:r>
                    <w:rPr>
                      <w:rFonts w:hint="eastAsia" w:ascii="Times New Roman" w:hAnsi="Times New Roman" w:eastAsia="宋体" w:cs="Times New Roman"/>
                      <w:color w:val="auto"/>
                      <w:kern w:val="2"/>
                      <w:sz w:val="21"/>
                      <w:szCs w:val="24"/>
                      <w:u w:val="none"/>
                      <w:lang w:val="en-US" w:eastAsia="zh-CN" w:bidi="ar-SA"/>
                    </w:rPr>
                    <w:t>氨氮</w:t>
                  </w:r>
                </w:p>
              </w:tc>
              <w:tc>
                <w:tcPr>
                  <w:tcW w:w="60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49ECBCC">
                  <w:pPr>
                    <w:keepNext w:val="0"/>
                    <w:keepLines w:val="0"/>
                    <w:widowControl w:val="0"/>
                    <w:suppressLineNumbers w:val="0"/>
                    <w:bidi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kern w:val="2"/>
                      <w:sz w:val="21"/>
                      <w:szCs w:val="24"/>
                      <w:u w:val="none"/>
                      <w:lang w:val="en-US" w:eastAsia="zh-CN" w:bidi="ar-SA"/>
                    </w:rPr>
                  </w:pPr>
                  <w:r>
                    <w:rPr>
                      <w:rFonts w:hint="eastAsia" w:ascii="Times New Roman" w:hAnsi="Times New Roman" w:eastAsia="宋体" w:cs="Times New Roman"/>
                      <w:color w:val="auto"/>
                      <w:kern w:val="2"/>
                      <w:sz w:val="21"/>
                      <w:szCs w:val="24"/>
                      <w:u w:val="none"/>
                      <w:lang w:val="en-US" w:eastAsia="zh-CN" w:bidi="ar-SA"/>
                    </w:rPr>
                    <w:t>30</w:t>
                  </w:r>
                </w:p>
              </w:tc>
              <w:tc>
                <w:tcPr>
                  <w:tcW w:w="71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28F168EE">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lang w:val="en-US" w:eastAsia="zh-CN" w:bidi="ar-SA"/>
                    </w:rPr>
                  </w:pPr>
                  <w:r>
                    <w:rPr>
                      <w:rFonts w:hint="eastAsia" w:cs="Times New Roman"/>
                      <w:color w:val="auto"/>
                      <w:kern w:val="2"/>
                      <w:sz w:val="21"/>
                      <w:szCs w:val="24"/>
                      <w:u w:val="none"/>
                      <w:lang w:val="en-US" w:eastAsia="zh-CN" w:bidi="ar-SA"/>
                    </w:rPr>
                    <w:t>0.141</w:t>
                  </w:r>
                </w:p>
              </w:tc>
              <w:tc>
                <w:tcPr>
                  <w:tcW w:w="583"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05561133">
                  <w:pPr>
                    <w:pStyle w:val="103"/>
                    <w:keepNext w:val="0"/>
                    <w:keepLines w:val="0"/>
                    <w:suppressLineNumbers w:val="0"/>
                    <w:spacing w:before="0" w:beforeLines="0" w:beforeAutospacing="0" w:after="0" w:afterLines="0" w:afterAutospacing="0"/>
                    <w:ind w:left="0" w:leftChars="0" w:right="0" w:rightChars="0" w:firstLine="0" w:firstLineChars="0"/>
                    <w:rPr>
                      <w:rFonts w:hint="default" w:ascii="Times New Roman" w:hAnsi="Times New Roman" w:eastAsia="宋体" w:cs="Times New Roman"/>
                      <w:color w:val="auto"/>
                      <w:kern w:val="0"/>
                      <w:sz w:val="21"/>
                      <w:szCs w:val="24"/>
                      <w:u w:val="none"/>
                      <w:lang w:val="en-US" w:eastAsia="zh-CN" w:bidi="ar-SA"/>
                    </w:rPr>
                  </w:pPr>
                  <w:r>
                    <w:rPr>
                      <w:rFonts w:hint="eastAsia" w:cs="Times New Roman"/>
                      <w:color w:val="auto"/>
                      <w:sz w:val="21"/>
                      <w:szCs w:val="24"/>
                      <w:u w:val="none"/>
                      <w:lang w:val="en-US" w:eastAsia="zh-CN"/>
                    </w:rPr>
                    <w:t>10</w:t>
                  </w:r>
                </w:p>
              </w:tc>
              <w:tc>
                <w:tcPr>
                  <w:tcW w:w="66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52D42A9">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lang w:val="en-US" w:eastAsia="zh-CN" w:bidi="ar-SA"/>
                    </w:rPr>
                  </w:pPr>
                  <w:r>
                    <w:rPr>
                      <w:rFonts w:hint="eastAsia" w:ascii="Times New Roman" w:hAnsi="Times New Roman" w:eastAsia="宋体" w:cs="Times New Roman"/>
                      <w:color w:val="auto"/>
                      <w:kern w:val="2"/>
                      <w:sz w:val="21"/>
                      <w:szCs w:val="24"/>
                      <w:u w:val="none"/>
                      <w:lang w:val="en-US" w:eastAsia="zh-CN" w:bidi="ar-SA"/>
                    </w:rPr>
                    <w:t>27</w:t>
                  </w:r>
                </w:p>
              </w:tc>
              <w:tc>
                <w:tcPr>
                  <w:tcW w:w="94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3176B7E0">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lang w:val="en-US" w:eastAsia="zh-CN" w:bidi="ar-SA"/>
                    </w:rPr>
                  </w:pPr>
                  <w:r>
                    <w:rPr>
                      <w:rFonts w:hint="eastAsia" w:cs="Times New Roman"/>
                      <w:color w:val="auto"/>
                      <w:kern w:val="2"/>
                      <w:sz w:val="21"/>
                      <w:szCs w:val="24"/>
                      <w:u w:val="none"/>
                      <w:lang w:val="en-US" w:eastAsia="zh-CN" w:bidi="ar-SA"/>
                    </w:rPr>
                    <w:t>0.127</w:t>
                  </w:r>
                </w:p>
              </w:tc>
              <w:tc>
                <w:tcPr>
                  <w:tcW w:w="780" w:type="pct"/>
                  <w:vMerge w:val="continue"/>
                  <w:tcBorders>
                    <w:left w:val="single" w:color="auto" w:sz="4" w:space="0"/>
                    <w:tl2br w:val="nil"/>
                    <w:tr2bl w:val="nil"/>
                  </w:tcBorders>
                  <w:noWrap w:val="0"/>
                  <w:vAlign w:val="center"/>
                </w:tcPr>
                <w:p w14:paraId="34153F73">
                  <w:pPr>
                    <w:keepNext w:val="0"/>
                    <w:keepLines w:val="0"/>
                    <w:widowControl w:val="0"/>
                    <w:suppressLineNumbers w:val="0"/>
                    <w:bidi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kern w:val="2"/>
                      <w:sz w:val="21"/>
                      <w:szCs w:val="24"/>
                      <w:u w:val="none"/>
                      <w:lang w:val="en-US" w:eastAsia="zh-CN" w:bidi="ar-SA"/>
                    </w:rPr>
                  </w:pPr>
                </w:p>
              </w:tc>
            </w:tr>
            <w:tr w14:paraId="275758F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465" w:type="pct"/>
                  <w:vMerge w:val="continue"/>
                  <w:tcBorders>
                    <w:right w:val="single" w:color="auto" w:sz="4" w:space="0"/>
                    <w:tl2br w:val="nil"/>
                    <w:tr2bl w:val="nil"/>
                  </w:tcBorders>
                  <w:noWrap w:val="0"/>
                  <w:vAlign w:val="center"/>
                </w:tcPr>
                <w:p w14:paraId="1B683017">
                  <w:pPr>
                    <w:keepNext w:val="0"/>
                    <w:keepLines w:val="0"/>
                    <w:widowControl w:val="0"/>
                    <w:suppressLineNumbers w:val="0"/>
                    <w:bidi w:val="0"/>
                    <w:spacing w:before="0" w:beforeLines="0" w:beforeAutospacing="0" w:after="0" w:afterLines="0" w:afterAutospacing="0" w:line="240" w:lineRule="auto"/>
                    <w:ind w:left="0" w:right="0" w:firstLine="0" w:firstLineChars="0"/>
                    <w:jc w:val="center"/>
                    <w:rPr>
                      <w:rFonts w:hint="eastAsia" w:ascii="Times New Roman" w:hAnsi="Times New Roman" w:eastAsia="宋体" w:cs="Times New Roman"/>
                      <w:color w:val="auto"/>
                      <w:kern w:val="2"/>
                      <w:sz w:val="21"/>
                      <w:szCs w:val="24"/>
                      <w:u w:val="none"/>
                      <w:lang w:val="en-US" w:eastAsia="zh-CN" w:bidi="ar-SA"/>
                    </w:rPr>
                  </w:pPr>
                </w:p>
              </w:tc>
              <w:tc>
                <w:tcPr>
                  <w:tcW w:w="584"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5CA77899">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4"/>
                      <w:u w:val="none"/>
                      <w:lang w:val="en-US" w:eastAsia="zh-CN" w:bidi="ar-SA"/>
                    </w:rPr>
                  </w:pPr>
                  <w:r>
                    <w:rPr>
                      <w:rFonts w:hint="eastAsia" w:ascii="Times New Roman" w:hAnsi="Times New Roman" w:eastAsia="宋体" w:cs="Times New Roman"/>
                      <w:color w:val="auto"/>
                      <w:kern w:val="2"/>
                      <w:sz w:val="21"/>
                      <w:szCs w:val="24"/>
                      <w:u w:val="none"/>
                      <w:lang w:val="en-US" w:eastAsia="zh-CN" w:bidi="ar-SA"/>
                    </w:rPr>
                    <w:t>总氮</w:t>
                  </w:r>
                </w:p>
              </w:tc>
              <w:tc>
                <w:tcPr>
                  <w:tcW w:w="60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04D2F33">
                  <w:pPr>
                    <w:keepNext w:val="0"/>
                    <w:keepLines w:val="0"/>
                    <w:widowControl w:val="0"/>
                    <w:suppressLineNumbers w:val="0"/>
                    <w:bidi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kern w:val="2"/>
                      <w:sz w:val="21"/>
                      <w:szCs w:val="24"/>
                      <w:u w:val="none"/>
                      <w:lang w:val="en-US" w:eastAsia="zh-CN" w:bidi="ar-SA"/>
                    </w:rPr>
                  </w:pPr>
                  <w:r>
                    <w:rPr>
                      <w:rFonts w:hint="eastAsia" w:ascii="Times New Roman" w:hAnsi="Times New Roman" w:eastAsia="宋体" w:cs="Times New Roman"/>
                      <w:color w:val="auto"/>
                      <w:kern w:val="2"/>
                      <w:sz w:val="21"/>
                      <w:szCs w:val="24"/>
                      <w:u w:val="none"/>
                      <w:lang w:val="en-US" w:eastAsia="zh-CN" w:bidi="ar-SA"/>
                    </w:rPr>
                    <w:t>39.4</w:t>
                  </w:r>
                </w:p>
              </w:tc>
              <w:tc>
                <w:tcPr>
                  <w:tcW w:w="712"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8F36D26">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lang w:val="en-US" w:eastAsia="zh-CN" w:bidi="ar-SA"/>
                    </w:rPr>
                  </w:pPr>
                  <w:r>
                    <w:rPr>
                      <w:rFonts w:hint="eastAsia" w:cs="Times New Roman"/>
                      <w:color w:val="auto"/>
                      <w:kern w:val="2"/>
                      <w:sz w:val="21"/>
                      <w:szCs w:val="24"/>
                      <w:u w:val="none"/>
                      <w:lang w:val="en-US" w:eastAsia="zh-CN" w:bidi="ar-SA"/>
                    </w:rPr>
                    <w:t>0.185</w:t>
                  </w:r>
                </w:p>
              </w:tc>
              <w:tc>
                <w:tcPr>
                  <w:tcW w:w="583"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74D111A9">
                  <w:pPr>
                    <w:pStyle w:val="103"/>
                    <w:keepNext w:val="0"/>
                    <w:keepLines w:val="0"/>
                    <w:suppressLineNumbers w:val="0"/>
                    <w:spacing w:before="0" w:beforeLines="0" w:beforeAutospacing="0" w:after="0" w:afterLines="0" w:afterAutospacing="0"/>
                    <w:ind w:left="0" w:leftChars="0" w:right="0" w:rightChars="0" w:firstLine="0" w:firstLineChars="0"/>
                    <w:rPr>
                      <w:rFonts w:hint="default" w:ascii="Times New Roman" w:hAnsi="Times New Roman" w:eastAsia="宋体" w:cs="Times New Roman"/>
                      <w:color w:val="auto"/>
                      <w:kern w:val="0"/>
                      <w:sz w:val="21"/>
                      <w:szCs w:val="24"/>
                      <w:u w:val="none"/>
                      <w:lang w:val="en-US" w:eastAsia="zh-CN" w:bidi="ar-SA"/>
                    </w:rPr>
                  </w:pPr>
                  <w:r>
                    <w:rPr>
                      <w:rFonts w:hint="eastAsia" w:cs="Times New Roman"/>
                      <w:color w:val="auto"/>
                      <w:sz w:val="21"/>
                      <w:szCs w:val="24"/>
                      <w:u w:val="none"/>
                      <w:lang w:val="en-US" w:eastAsia="zh-CN"/>
                    </w:rPr>
                    <w:t>10</w:t>
                  </w:r>
                </w:p>
              </w:tc>
              <w:tc>
                <w:tcPr>
                  <w:tcW w:w="66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3BDAC35">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lang w:val="en-US" w:eastAsia="zh-CN" w:bidi="ar-SA"/>
                    </w:rPr>
                  </w:pPr>
                  <w:r>
                    <w:rPr>
                      <w:rFonts w:hint="eastAsia" w:ascii="Times New Roman" w:hAnsi="Times New Roman" w:eastAsia="宋体" w:cs="Times New Roman"/>
                      <w:color w:val="auto"/>
                      <w:kern w:val="2"/>
                      <w:sz w:val="21"/>
                      <w:szCs w:val="24"/>
                      <w:u w:val="none"/>
                      <w:lang w:val="en-US" w:eastAsia="zh-CN" w:bidi="ar-SA"/>
                    </w:rPr>
                    <w:t>35.46</w:t>
                  </w:r>
                </w:p>
              </w:tc>
              <w:tc>
                <w:tcPr>
                  <w:tcW w:w="94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7DE3FB8D">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lang w:val="en-US" w:eastAsia="zh-CN" w:bidi="ar-SA"/>
                    </w:rPr>
                  </w:pPr>
                  <w:r>
                    <w:rPr>
                      <w:rFonts w:hint="eastAsia" w:cs="Times New Roman"/>
                      <w:color w:val="auto"/>
                      <w:kern w:val="2"/>
                      <w:sz w:val="21"/>
                      <w:szCs w:val="24"/>
                      <w:u w:val="none"/>
                      <w:lang w:val="en-US" w:eastAsia="zh-CN" w:bidi="ar-SA"/>
                    </w:rPr>
                    <w:t>0.166</w:t>
                  </w:r>
                </w:p>
              </w:tc>
              <w:tc>
                <w:tcPr>
                  <w:tcW w:w="780" w:type="pct"/>
                  <w:vMerge w:val="continue"/>
                  <w:tcBorders>
                    <w:left w:val="single" w:color="auto" w:sz="4" w:space="0"/>
                    <w:tl2br w:val="nil"/>
                    <w:tr2bl w:val="nil"/>
                  </w:tcBorders>
                  <w:noWrap w:val="0"/>
                  <w:vAlign w:val="center"/>
                </w:tcPr>
                <w:p w14:paraId="15A84E39">
                  <w:pPr>
                    <w:keepNext w:val="0"/>
                    <w:keepLines w:val="0"/>
                    <w:widowControl w:val="0"/>
                    <w:suppressLineNumbers w:val="0"/>
                    <w:bidi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kern w:val="2"/>
                      <w:sz w:val="21"/>
                      <w:szCs w:val="24"/>
                      <w:u w:val="none"/>
                      <w:lang w:val="en-US" w:eastAsia="zh-CN" w:bidi="ar-SA"/>
                    </w:rPr>
                  </w:pPr>
                </w:p>
              </w:tc>
            </w:tr>
            <w:tr w14:paraId="4C2CF0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465" w:type="pct"/>
                  <w:vMerge w:val="continue"/>
                  <w:tcBorders>
                    <w:right w:val="single" w:color="auto" w:sz="4" w:space="0"/>
                    <w:tl2br w:val="nil"/>
                    <w:tr2bl w:val="nil"/>
                  </w:tcBorders>
                  <w:noWrap w:val="0"/>
                  <w:vAlign w:val="center"/>
                </w:tcPr>
                <w:p w14:paraId="0F71A6CD">
                  <w:pPr>
                    <w:keepNext w:val="0"/>
                    <w:keepLines w:val="0"/>
                    <w:widowControl w:val="0"/>
                    <w:suppressLineNumbers w:val="0"/>
                    <w:bidi w:val="0"/>
                    <w:spacing w:before="0" w:beforeLines="0" w:beforeAutospacing="0" w:after="0" w:afterLines="0" w:afterAutospacing="0" w:line="240" w:lineRule="auto"/>
                    <w:ind w:left="0" w:right="0" w:firstLine="0" w:firstLineChars="0"/>
                    <w:jc w:val="center"/>
                    <w:rPr>
                      <w:rFonts w:hint="eastAsia" w:ascii="Times New Roman" w:hAnsi="Times New Roman" w:eastAsia="宋体" w:cs="Times New Roman"/>
                      <w:color w:val="auto"/>
                      <w:kern w:val="2"/>
                      <w:sz w:val="21"/>
                      <w:szCs w:val="24"/>
                      <w:u w:val="none"/>
                      <w:lang w:val="en-US" w:eastAsia="zh-CN" w:bidi="ar-SA"/>
                    </w:rPr>
                  </w:pPr>
                </w:p>
              </w:tc>
              <w:tc>
                <w:tcPr>
                  <w:tcW w:w="584"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71AA6DE7">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4"/>
                      <w:u w:val="none"/>
                      <w:lang w:val="en-US" w:eastAsia="zh-CN" w:bidi="ar-SA"/>
                    </w:rPr>
                  </w:pPr>
                  <w:r>
                    <w:rPr>
                      <w:rFonts w:hint="eastAsia" w:ascii="Times New Roman" w:hAnsi="Times New Roman" w:eastAsia="宋体" w:cs="Times New Roman"/>
                      <w:color w:val="auto"/>
                      <w:kern w:val="2"/>
                      <w:sz w:val="21"/>
                      <w:szCs w:val="24"/>
                      <w:u w:val="none"/>
                      <w:lang w:val="en-US" w:eastAsia="zh-CN" w:bidi="ar-SA"/>
                    </w:rPr>
                    <w:t>总磷</w:t>
                  </w:r>
                </w:p>
              </w:tc>
              <w:tc>
                <w:tcPr>
                  <w:tcW w:w="60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3E9CD9DE">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lang w:val="en-US" w:eastAsia="zh-CN" w:bidi="ar-SA"/>
                    </w:rPr>
                  </w:pPr>
                  <w:r>
                    <w:rPr>
                      <w:rFonts w:hint="eastAsia" w:ascii="Times New Roman" w:hAnsi="Times New Roman" w:eastAsia="宋体" w:cs="Times New Roman"/>
                      <w:color w:val="auto"/>
                      <w:kern w:val="2"/>
                      <w:sz w:val="21"/>
                      <w:szCs w:val="24"/>
                      <w:u w:val="none"/>
                      <w:lang w:val="en-US" w:eastAsia="zh-CN" w:bidi="ar-SA"/>
                    </w:rPr>
                    <w:t>4.1</w:t>
                  </w:r>
                </w:p>
              </w:tc>
              <w:tc>
                <w:tcPr>
                  <w:tcW w:w="111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3192084">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lang w:val="en-US" w:eastAsia="zh-CN" w:bidi="ar-SA"/>
                    </w:rPr>
                  </w:pPr>
                  <w:r>
                    <w:rPr>
                      <w:rFonts w:hint="eastAsia" w:cs="Times New Roman"/>
                      <w:color w:val="auto"/>
                      <w:kern w:val="2"/>
                      <w:sz w:val="21"/>
                      <w:szCs w:val="24"/>
                      <w:u w:val="none"/>
                      <w:lang w:val="en-US" w:eastAsia="zh-CN" w:bidi="ar-SA"/>
                    </w:rPr>
                    <w:t>0.019</w:t>
                  </w:r>
                </w:p>
              </w:tc>
              <w:tc>
                <w:tcPr>
                  <w:tcW w:w="583"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78E8E867">
                  <w:pPr>
                    <w:pStyle w:val="103"/>
                    <w:keepNext w:val="0"/>
                    <w:keepLines w:val="0"/>
                    <w:suppressLineNumbers w:val="0"/>
                    <w:spacing w:before="0" w:beforeLines="0" w:beforeAutospacing="0" w:after="0" w:afterLines="0" w:afterAutospacing="0"/>
                    <w:ind w:left="0" w:leftChars="0" w:right="0" w:rightChars="0" w:firstLine="0" w:firstLineChars="0"/>
                    <w:rPr>
                      <w:rFonts w:hint="default" w:ascii="Times New Roman" w:hAnsi="Times New Roman" w:eastAsia="宋体" w:cs="Times New Roman"/>
                      <w:color w:val="auto"/>
                      <w:kern w:val="0"/>
                      <w:sz w:val="21"/>
                      <w:szCs w:val="24"/>
                      <w:u w:val="none"/>
                      <w:lang w:val="en-US" w:eastAsia="zh-CN" w:bidi="ar-SA"/>
                    </w:rPr>
                  </w:pPr>
                  <w:r>
                    <w:rPr>
                      <w:rFonts w:hint="eastAsia" w:cs="Times New Roman"/>
                      <w:color w:val="auto"/>
                      <w:sz w:val="21"/>
                      <w:szCs w:val="24"/>
                      <w:u w:val="none"/>
                      <w:lang w:val="en-US" w:eastAsia="zh-CN"/>
                    </w:rPr>
                    <w:t>20</w:t>
                  </w:r>
                </w:p>
              </w:tc>
              <w:tc>
                <w:tcPr>
                  <w:tcW w:w="66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669FFB9">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lang w:val="en-US" w:eastAsia="zh-CN" w:bidi="ar-SA"/>
                    </w:rPr>
                  </w:pPr>
                  <w:r>
                    <w:rPr>
                      <w:rFonts w:hint="eastAsia" w:ascii="Times New Roman" w:hAnsi="Times New Roman" w:eastAsia="宋体" w:cs="Times New Roman"/>
                      <w:color w:val="auto"/>
                      <w:kern w:val="2"/>
                      <w:sz w:val="21"/>
                      <w:szCs w:val="24"/>
                      <w:u w:val="none"/>
                      <w:lang w:val="en-US" w:eastAsia="zh-CN" w:bidi="ar-SA"/>
                    </w:rPr>
                    <w:t>3.28</w:t>
                  </w:r>
                </w:p>
              </w:tc>
              <w:tc>
                <w:tcPr>
                  <w:tcW w:w="94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09CB57B7">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lang w:val="en-US" w:eastAsia="zh-CN" w:bidi="ar-SA"/>
                    </w:rPr>
                  </w:pPr>
                  <w:r>
                    <w:rPr>
                      <w:rFonts w:hint="eastAsia" w:cs="Times New Roman"/>
                      <w:color w:val="auto"/>
                      <w:kern w:val="2"/>
                      <w:sz w:val="21"/>
                      <w:szCs w:val="24"/>
                      <w:u w:val="none"/>
                      <w:lang w:val="en-US" w:eastAsia="zh-CN" w:bidi="ar-SA"/>
                    </w:rPr>
                    <w:t>0.015</w:t>
                  </w:r>
                </w:p>
              </w:tc>
              <w:tc>
                <w:tcPr>
                  <w:tcW w:w="780" w:type="pct"/>
                  <w:vMerge w:val="continue"/>
                  <w:tcBorders>
                    <w:left w:val="single" w:color="auto" w:sz="4" w:space="0"/>
                    <w:tl2br w:val="nil"/>
                    <w:tr2bl w:val="nil"/>
                  </w:tcBorders>
                  <w:noWrap w:val="0"/>
                  <w:vAlign w:val="center"/>
                </w:tcPr>
                <w:p w14:paraId="0062EF70">
                  <w:pPr>
                    <w:keepNext w:val="0"/>
                    <w:keepLines w:val="0"/>
                    <w:widowControl w:val="0"/>
                    <w:suppressLineNumbers w:val="0"/>
                    <w:bidi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kern w:val="2"/>
                      <w:sz w:val="21"/>
                      <w:szCs w:val="24"/>
                      <w:u w:val="none"/>
                      <w:lang w:val="en-US" w:eastAsia="zh-CN" w:bidi="ar-SA"/>
                    </w:rPr>
                  </w:pPr>
                </w:p>
              </w:tc>
            </w:tr>
            <w:tr w14:paraId="41E2D8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465" w:type="pct"/>
                  <w:vMerge w:val="continue"/>
                  <w:tcBorders>
                    <w:right w:val="single" w:color="auto" w:sz="4" w:space="0"/>
                    <w:tl2br w:val="nil"/>
                    <w:tr2bl w:val="nil"/>
                  </w:tcBorders>
                  <w:noWrap w:val="0"/>
                  <w:vAlign w:val="center"/>
                </w:tcPr>
                <w:p w14:paraId="10B8AEAE">
                  <w:pPr>
                    <w:keepNext w:val="0"/>
                    <w:keepLines w:val="0"/>
                    <w:widowControl w:val="0"/>
                    <w:suppressLineNumbers w:val="0"/>
                    <w:bidi w:val="0"/>
                    <w:spacing w:before="0" w:beforeLines="0" w:beforeAutospacing="0" w:after="0" w:afterLines="0" w:afterAutospacing="0" w:line="240" w:lineRule="auto"/>
                    <w:ind w:left="0" w:right="0" w:firstLine="0" w:firstLineChars="0"/>
                    <w:jc w:val="center"/>
                    <w:rPr>
                      <w:rFonts w:hint="eastAsia" w:ascii="Times New Roman" w:hAnsi="Times New Roman" w:eastAsia="宋体" w:cs="Times New Roman"/>
                      <w:color w:val="auto"/>
                      <w:kern w:val="2"/>
                      <w:sz w:val="21"/>
                      <w:szCs w:val="24"/>
                      <w:u w:val="none"/>
                      <w:lang w:val="en-US" w:eastAsia="zh-CN" w:bidi="ar-SA"/>
                    </w:rPr>
                  </w:pPr>
                </w:p>
              </w:tc>
              <w:tc>
                <w:tcPr>
                  <w:tcW w:w="584"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399B71EC">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4"/>
                      <w:u w:val="none"/>
                      <w:lang w:val="en-US" w:eastAsia="zh-CN" w:bidi="ar-SA"/>
                    </w:rPr>
                  </w:pPr>
                  <w:r>
                    <w:rPr>
                      <w:rFonts w:hint="eastAsia" w:ascii="Times New Roman" w:hAnsi="Times New Roman" w:eastAsia="宋体" w:cs="Times New Roman"/>
                      <w:color w:val="auto"/>
                      <w:kern w:val="2"/>
                      <w:sz w:val="21"/>
                      <w:szCs w:val="24"/>
                      <w:u w:val="none"/>
                      <w:lang w:val="en-US" w:eastAsia="zh-CN" w:bidi="ar-SA"/>
                    </w:rPr>
                    <w:t>BOD</w:t>
                  </w:r>
                  <w:r>
                    <w:rPr>
                      <w:rFonts w:hint="eastAsia" w:ascii="Times New Roman" w:hAnsi="Times New Roman" w:eastAsia="宋体" w:cs="Times New Roman"/>
                      <w:color w:val="auto"/>
                      <w:kern w:val="2"/>
                      <w:sz w:val="21"/>
                      <w:szCs w:val="24"/>
                      <w:u w:val="none"/>
                      <w:vertAlign w:val="subscript"/>
                      <w:lang w:val="en-US" w:eastAsia="zh-CN" w:bidi="ar-SA"/>
                    </w:rPr>
                    <w:t>5</w:t>
                  </w:r>
                </w:p>
              </w:tc>
              <w:tc>
                <w:tcPr>
                  <w:tcW w:w="60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03BFA84F">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lang w:val="en-US" w:eastAsia="zh-CN" w:bidi="ar-SA"/>
                    </w:rPr>
                  </w:pPr>
                  <w:r>
                    <w:rPr>
                      <w:rFonts w:hint="eastAsia" w:ascii="Times New Roman" w:hAnsi="Times New Roman" w:eastAsia="宋体" w:cs="Times New Roman"/>
                      <w:color w:val="auto"/>
                      <w:kern w:val="2"/>
                      <w:sz w:val="21"/>
                      <w:szCs w:val="24"/>
                      <w:u w:val="none"/>
                      <w:lang w:val="en-US" w:eastAsia="zh-CN" w:bidi="ar-SA"/>
                    </w:rPr>
                    <w:t>150</w:t>
                  </w:r>
                </w:p>
              </w:tc>
              <w:tc>
                <w:tcPr>
                  <w:tcW w:w="111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7B69B54">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lang w:val="en-US" w:eastAsia="zh-CN" w:bidi="ar-SA"/>
                    </w:rPr>
                  </w:pPr>
                  <w:r>
                    <w:rPr>
                      <w:rFonts w:hint="eastAsia" w:cs="Times New Roman"/>
                      <w:color w:val="auto"/>
                      <w:kern w:val="2"/>
                      <w:sz w:val="21"/>
                      <w:szCs w:val="24"/>
                      <w:u w:val="none"/>
                      <w:lang w:val="en-US" w:eastAsia="zh-CN" w:bidi="ar-SA"/>
                    </w:rPr>
                    <w:t>0.703</w:t>
                  </w:r>
                </w:p>
              </w:tc>
              <w:tc>
                <w:tcPr>
                  <w:tcW w:w="583"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7324448E">
                  <w:pPr>
                    <w:pStyle w:val="103"/>
                    <w:keepNext w:val="0"/>
                    <w:keepLines w:val="0"/>
                    <w:suppressLineNumbers w:val="0"/>
                    <w:spacing w:before="0" w:beforeLines="0" w:beforeAutospacing="0" w:after="0" w:afterLines="0" w:afterAutospacing="0"/>
                    <w:ind w:left="0" w:leftChars="0" w:right="0" w:rightChars="0" w:firstLine="0" w:firstLineChars="0"/>
                    <w:rPr>
                      <w:rFonts w:hint="default" w:ascii="Times New Roman" w:hAnsi="Times New Roman" w:eastAsia="宋体" w:cs="Times New Roman"/>
                      <w:color w:val="auto"/>
                      <w:kern w:val="0"/>
                      <w:sz w:val="21"/>
                      <w:szCs w:val="24"/>
                      <w:u w:val="none"/>
                      <w:lang w:val="en-US" w:eastAsia="zh-CN" w:bidi="ar-SA"/>
                    </w:rPr>
                  </w:pPr>
                  <w:r>
                    <w:rPr>
                      <w:rFonts w:hint="eastAsia" w:cs="Times New Roman"/>
                      <w:color w:val="auto"/>
                      <w:sz w:val="21"/>
                      <w:szCs w:val="24"/>
                      <w:u w:val="none"/>
                      <w:lang w:val="en-US" w:eastAsia="zh-CN"/>
                    </w:rPr>
                    <w:t>30</w:t>
                  </w:r>
                </w:p>
              </w:tc>
              <w:tc>
                <w:tcPr>
                  <w:tcW w:w="66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4A2EDCF6">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lang w:val="en-US" w:eastAsia="zh-CN" w:bidi="ar-SA"/>
                    </w:rPr>
                  </w:pPr>
                  <w:r>
                    <w:rPr>
                      <w:rFonts w:hint="eastAsia" w:ascii="Times New Roman" w:hAnsi="Times New Roman" w:eastAsia="宋体" w:cs="Times New Roman"/>
                      <w:color w:val="auto"/>
                      <w:kern w:val="2"/>
                      <w:sz w:val="21"/>
                      <w:szCs w:val="24"/>
                      <w:u w:val="none"/>
                      <w:lang w:val="en-US" w:eastAsia="zh-CN" w:bidi="ar-SA"/>
                    </w:rPr>
                    <w:t>105</w:t>
                  </w:r>
                </w:p>
              </w:tc>
              <w:tc>
                <w:tcPr>
                  <w:tcW w:w="94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3262A6D">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lang w:val="en-US" w:eastAsia="zh-CN" w:bidi="ar-SA"/>
                    </w:rPr>
                  </w:pPr>
                  <w:r>
                    <w:rPr>
                      <w:rFonts w:hint="eastAsia" w:cs="Times New Roman"/>
                      <w:color w:val="auto"/>
                      <w:kern w:val="2"/>
                      <w:sz w:val="21"/>
                      <w:szCs w:val="24"/>
                      <w:u w:val="none"/>
                      <w:lang w:val="en-US" w:eastAsia="zh-CN" w:bidi="ar-SA"/>
                    </w:rPr>
                    <w:t>0.492</w:t>
                  </w:r>
                </w:p>
              </w:tc>
              <w:tc>
                <w:tcPr>
                  <w:tcW w:w="780" w:type="pct"/>
                  <w:vMerge w:val="continue"/>
                  <w:tcBorders>
                    <w:left w:val="single" w:color="auto" w:sz="4" w:space="0"/>
                    <w:tl2br w:val="nil"/>
                    <w:tr2bl w:val="nil"/>
                  </w:tcBorders>
                  <w:noWrap w:val="0"/>
                  <w:vAlign w:val="center"/>
                </w:tcPr>
                <w:p w14:paraId="467A635D">
                  <w:pPr>
                    <w:keepNext w:val="0"/>
                    <w:keepLines w:val="0"/>
                    <w:widowControl w:val="0"/>
                    <w:suppressLineNumbers w:val="0"/>
                    <w:bidi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kern w:val="2"/>
                      <w:sz w:val="21"/>
                      <w:szCs w:val="24"/>
                      <w:u w:val="none"/>
                      <w:lang w:val="en-US" w:eastAsia="zh-CN" w:bidi="ar-SA"/>
                    </w:rPr>
                  </w:pPr>
                </w:p>
              </w:tc>
            </w:tr>
            <w:tr w14:paraId="3808874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465" w:type="pct"/>
                  <w:vMerge w:val="continue"/>
                  <w:tcBorders>
                    <w:right w:val="single" w:color="auto" w:sz="4" w:space="0"/>
                    <w:tl2br w:val="nil"/>
                    <w:tr2bl w:val="nil"/>
                  </w:tcBorders>
                  <w:noWrap w:val="0"/>
                  <w:vAlign w:val="center"/>
                </w:tcPr>
                <w:p w14:paraId="635BEE89">
                  <w:pPr>
                    <w:keepNext w:val="0"/>
                    <w:keepLines w:val="0"/>
                    <w:widowControl w:val="0"/>
                    <w:suppressLineNumbers w:val="0"/>
                    <w:bidi w:val="0"/>
                    <w:spacing w:before="0" w:beforeLines="0" w:beforeAutospacing="0" w:after="0" w:afterLines="0" w:afterAutospacing="0" w:line="240" w:lineRule="auto"/>
                    <w:ind w:left="0" w:right="0" w:firstLine="0" w:firstLineChars="0"/>
                    <w:jc w:val="center"/>
                    <w:rPr>
                      <w:rFonts w:hint="eastAsia" w:ascii="Times New Roman" w:hAnsi="Times New Roman" w:eastAsia="宋体" w:cs="Times New Roman"/>
                      <w:color w:val="auto"/>
                      <w:kern w:val="2"/>
                      <w:sz w:val="21"/>
                      <w:szCs w:val="24"/>
                      <w:u w:val="none"/>
                      <w:lang w:val="en-US" w:eastAsia="zh-CN" w:bidi="ar-SA"/>
                    </w:rPr>
                  </w:pPr>
                </w:p>
              </w:tc>
              <w:tc>
                <w:tcPr>
                  <w:tcW w:w="584"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26B02BF1">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4"/>
                      <w:u w:val="none"/>
                      <w:lang w:val="en-US" w:eastAsia="zh-CN" w:bidi="ar-SA"/>
                    </w:rPr>
                  </w:pPr>
                  <w:r>
                    <w:rPr>
                      <w:rFonts w:hint="eastAsia" w:ascii="Times New Roman" w:hAnsi="Times New Roman" w:eastAsia="宋体" w:cs="Times New Roman"/>
                      <w:color w:val="auto"/>
                      <w:kern w:val="2"/>
                      <w:sz w:val="21"/>
                      <w:szCs w:val="24"/>
                      <w:u w:val="none"/>
                      <w:lang w:val="en-US" w:eastAsia="zh-CN" w:bidi="ar-SA"/>
                    </w:rPr>
                    <w:t>SS</w:t>
                  </w:r>
                </w:p>
              </w:tc>
              <w:tc>
                <w:tcPr>
                  <w:tcW w:w="603" w:type="pct"/>
                  <w:tcBorders>
                    <w:top w:val="single" w:color="auto" w:sz="4" w:space="0"/>
                    <w:left w:val="single" w:color="auto" w:sz="4" w:space="0"/>
                    <w:bottom w:val="single" w:color="auto" w:sz="4" w:space="0"/>
                    <w:right w:val="single" w:color="auto" w:sz="4" w:space="0"/>
                    <w:tl2br w:val="nil"/>
                    <w:tr2bl w:val="nil"/>
                  </w:tcBorders>
                  <w:noWrap w:val="0"/>
                  <w:vAlign w:val="center"/>
                </w:tcPr>
                <w:p w14:paraId="5BB8284B">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lang w:val="en-US" w:eastAsia="zh-CN" w:bidi="ar-SA"/>
                    </w:rPr>
                  </w:pPr>
                  <w:r>
                    <w:rPr>
                      <w:rFonts w:hint="eastAsia" w:ascii="Times New Roman" w:hAnsi="Times New Roman" w:eastAsia="宋体" w:cs="Times New Roman"/>
                      <w:color w:val="auto"/>
                      <w:kern w:val="2"/>
                      <w:sz w:val="21"/>
                      <w:szCs w:val="24"/>
                      <w:u w:val="none"/>
                      <w:lang w:val="en-US" w:eastAsia="zh-CN" w:bidi="ar-SA"/>
                    </w:rPr>
                    <w:t>150</w:t>
                  </w:r>
                </w:p>
              </w:tc>
              <w:tc>
                <w:tcPr>
                  <w:tcW w:w="1115" w:type="dxa"/>
                  <w:tcBorders>
                    <w:top w:val="single" w:color="auto" w:sz="4" w:space="0"/>
                    <w:left w:val="single" w:color="auto" w:sz="4" w:space="0"/>
                    <w:bottom w:val="single" w:color="auto" w:sz="4" w:space="0"/>
                    <w:right w:val="single" w:color="auto" w:sz="4" w:space="0"/>
                    <w:tl2br w:val="nil"/>
                    <w:tr2bl w:val="nil"/>
                  </w:tcBorders>
                  <w:noWrap w:val="0"/>
                  <w:vAlign w:val="center"/>
                </w:tcPr>
                <w:p w14:paraId="405F9735">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lang w:val="en-US" w:eastAsia="zh-CN" w:bidi="ar-SA"/>
                    </w:rPr>
                  </w:pPr>
                  <w:r>
                    <w:rPr>
                      <w:rFonts w:hint="eastAsia" w:cs="Times New Roman"/>
                      <w:color w:val="auto"/>
                      <w:kern w:val="2"/>
                      <w:sz w:val="21"/>
                      <w:szCs w:val="24"/>
                      <w:u w:val="none"/>
                      <w:lang w:val="en-US" w:eastAsia="zh-CN" w:bidi="ar-SA"/>
                    </w:rPr>
                    <w:t>0.703</w:t>
                  </w:r>
                </w:p>
              </w:tc>
              <w:tc>
                <w:tcPr>
                  <w:tcW w:w="583" w:type="pct"/>
                  <w:tcBorders>
                    <w:top w:val="single" w:color="auto" w:sz="4" w:space="0"/>
                    <w:left w:val="single" w:color="auto" w:sz="4" w:space="0"/>
                    <w:bottom w:val="single" w:color="auto" w:sz="4" w:space="0"/>
                    <w:right w:val="single" w:color="auto" w:sz="4" w:space="0"/>
                    <w:tl2br w:val="nil"/>
                    <w:tr2bl w:val="nil"/>
                  </w:tcBorders>
                  <w:shd w:val="clear" w:color="auto" w:fill="auto"/>
                  <w:noWrap w:val="0"/>
                  <w:vAlign w:val="center"/>
                </w:tcPr>
                <w:p w14:paraId="69A86E3D">
                  <w:pPr>
                    <w:pStyle w:val="103"/>
                    <w:keepNext w:val="0"/>
                    <w:keepLines w:val="0"/>
                    <w:suppressLineNumbers w:val="0"/>
                    <w:spacing w:before="0" w:beforeLines="0" w:beforeAutospacing="0" w:after="0" w:afterLines="0" w:afterAutospacing="0"/>
                    <w:ind w:left="0" w:leftChars="0" w:right="0" w:rightChars="0" w:firstLine="0" w:firstLineChars="0"/>
                    <w:rPr>
                      <w:rFonts w:hint="default" w:ascii="Times New Roman" w:hAnsi="Times New Roman" w:eastAsia="宋体" w:cs="Times New Roman"/>
                      <w:color w:val="auto"/>
                      <w:kern w:val="0"/>
                      <w:sz w:val="21"/>
                      <w:szCs w:val="24"/>
                      <w:u w:val="none"/>
                      <w:lang w:val="en-US" w:eastAsia="zh-CN" w:bidi="ar-SA"/>
                    </w:rPr>
                  </w:pPr>
                  <w:r>
                    <w:rPr>
                      <w:rFonts w:hint="eastAsia" w:cs="Times New Roman"/>
                      <w:color w:val="auto"/>
                      <w:sz w:val="21"/>
                      <w:szCs w:val="24"/>
                      <w:u w:val="none"/>
                      <w:lang w:val="en-US" w:eastAsia="zh-CN"/>
                    </w:rPr>
                    <w:t>60</w:t>
                  </w:r>
                </w:p>
              </w:tc>
              <w:tc>
                <w:tcPr>
                  <w:tcW w:w="667" w:type="pct"/>
                  <w:tcBorders>
                    <w:top w:val="single" w:color="auto" w:sz="4" w:space="0"/>
                    <w:left w:val="single" w:color="auto" w:sz="4" w:space="0"/>
                    <w:bottom w:val="single" w:color="auto" w:sz="4" w:space="0"/>
                    <w:right w:val="single" w:color="auto" w:sz="4" w:space="0"/>
                    <w:tl2br w:val="nil"/>
                    <w:tr2bl w:val="nil"/>
                  </w:tcBorders>
                  <w:noWrap w:val="0"/>
                  <w:vAlign w:val="center"/>
                </w:tcPr>
                <w:p w14:paraId="64E90B9E">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lang w:val="en-US" w:eastAsia="zh-CN" w:bidi="ar-SA"/>
                    </w:rPr>
                  </w:pPr>
                  <w:r>
                    <w:rPr>
                      <w:rFonts w:hint="eastAsia" w:ascii="Times New Roman" w:hAnsi="Times New Roman" w:eastAsia="宋体" w:cs="Times New Roman"/>
                      <w:color w:val="auto"/>
                      <w:kern w:val="2"/>
                      <w:sz w:val="21"/>
                      <w:szCs w:val="24"/>
                      <w:u w:val="none"/>
                      <w:lang w:val="en-US" w:eastAsia="zh-CN" w:bidi="ar-SA"/>
                    </w:rPr>
                    <w:t>60</w:t>
                  </w:r>
                </w:p>
              </w:tc>
              <w:tc>
                <w:tcPr>
                  <w:tcW w:w="944" w:type="dxa"/>
                  <w:tcBorders>
                    <w:top w:val="single" w:color="auto" w:sz="4" w:space="0"/>
                    <w:left w:val="single" w:color="auto" w:sz="4" w:space="0"/>
                    <w:bottom w:val="single" w:color="auto" w:sz="4" w:space="0"/>
                    <w:right w:val="single" w:color="auto" w:sz="4" w:space="0"/>
                    <w:tl2br w:val="nil"/>
                    <w:tr2bl w:val="nil"/>
                  </w:tcBorders>
                  <w:noWrap w:val="0"/>
                  <w:vAlign w:val="center"/>
                </w:tcPr>
                <w:p w14:paraId="5E8C56EF">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lang w:val="en-US" w:eastAsia="zh-CN" w:bidi="ar-SA"/>
                    </w:rPr>
                  </w:pPr>
                  <w:r>
                    <w:rPr>
                      <w:rFonts w:hint="eastAsia" w:cs="Times New Roman"/>
                      <w:color w:val="auto"/>
                      <w:kern w:val="2"/>
                      <w:sz w:val="21"/>
                      <w:szCs w:val="24"/>
                      <w:u w:val="none"/>
                      <w:lang w:val="en-US" w:eastAsia="zh-CN" w:bidi="ar-SA"/>
                    </w:rPr>
                    <w:t>0.281</w:t>
                  </w:r>
                </w:p>
              </w:tc>
              <w:tc>
                <w:tcPr>
                  <w:tcW w:w="780" w:type="pct"/>
                  <w:vMerge w:val="continue"/>
                  <w:tcBorders>
                    <w:left w:val="single" w:color="auto" w:sz="4" w:space="0"/>
                    <w:tl2br w:val="nil"/>
                    <w:tr2bl w:val="nil"/>
                  </w:tcBorders>
                  <w:noWrap w:val="0"/>
                  <w:vAlign w:val="center"/>
                </w:tcPr>
                <w:p w14:paraId="69B0D404">
                  <w:pPr>
                    <w:keepNext w:val="0"/>
                    <w:keepLines w:val="0"/>
                    <w:widowControl w:val="0"/>
                    <w:suppressLineNumbers w:val="0"/>
                    <w:bidi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kern w:val="2"/>
                      <w:sz w:val="21"/>
                      <w:szCs w:val="24"/>
                      <w:u w:val="none"/>
                      <w:lang w:val="en-US" w:eastAsia="zh-CN" w:bidi="ar-SA"/>
                    </w:rPr>
                  </w:pPr>
                </w:p>
              </w:tc>
            </w:tr>
            <w:tr w14:paraId="01DC84E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58" w:hRule="atLeast"/>
                <w:jc w:val="center"/>
              </w:trPr>
              <w:tc>
                <w:tcPr>
                  <w:tcW w:w="465" w:type="pct"/>
                  <w:vMerge w:val="continue"/>
                  <w:tcBorders>
                    <w:right w:val="single" w:color="auto" w:sz="4" w:space="0"/>
                    <w:tl2br w:val="nil"/>
                    <w:tr2bl w:val="nil"/>
                  </w:tcBorders>
                  <w:noWrap w:val="0"/>
                  <w:vAlign w:val="center"/>
                </w:tcPr>
                <w:p w14:paraId="226B7C8A">
                  <w:pPr>
                    <w:keepNext w:val="0"/>
                    <w:keepLines w:val="0"/>
                    <w:widowControl w:val="0"/>
                    <w:suppressLineNumbers w:val="0"/>
                    <w:bidi w:val="0"/>
                    <w:spacing w:before="0" w:beforeLines="0" w:beforeAutospacing="0" w:after="0" w:afterLines="0" w:afterAutospacing="0" w:line="240" w:lineRule="auto"/>
                    <w:ind w:left="0" w:right="0" w:firstLine="0" w:firstLineChars="0"/>
                    <w:jc w:val="center"/>
                    <w:rPr>
                      <w:rFonts w:hint="eastAsia" w:ascii="Times New Roman" w:hAnsi="Times New Roman" w:eastAsia="宋体" w:cs="Times New Roman"/>
                      <w:color w:val="auto"/>
                      <w:kern w:val="2"/>
                      <w:sz w:val="21"/>
                      <w:szCs w:val="24"/>
                      <w:u w:val="none"/>
                      <w:lang w:val="en-US" w:eastAsia="zh-CN" w:bidi="ar-SA"/>
                    </w:rPr>
                  </w:pPr>
                </w:p>
              </w:tc>
              <w:tc>
                <w:tcPr>
                  <w:tcW w:w="584" w:type="pct"/>
                  <w:tcBorders>
                    <w:top w:val="single" w:color="auto" w:sz="4" w:space="0"/>
                    <w:left w:val="single" w:color="auto" w:sz="4" w:space="0"/>
                    <w:right w:val="single" w:color="auto" w:sz="4" w:space="0"/>
                    <w:tl2br w:val="nil"/>
                    <w:tr2bl w:val="nil"/>
                  </w:tcBorders>
                  <w:shd w:val="clear" w:color="auto" w:fill="auto"/>
                  <w:noWrap w:val="0"/>
                  <w:vAlign w:val="center"/>
                </w:tcPr>
                <w:p w14:paraId="661BC2A4">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eastAsia" w:ascii="Times New Roman" w:hAnsi="Times New Roman" w:eastAsia="宋体" w:cs="Times New Roman"/>
                      <w:color w:val="auto"/>
                      <w:kern w:val="2"/>
                      <w:sz w:val="21"/>
                      <w:szCs w:val="24"/>
                      <w:u w:val="none"/>
                      <w:lang w:val="en-US" w:eastAsia="zh-CN" w:bidi="ar-SA"/>
                    </w:rPr>
                  </w:pPr>
                  <w:r>
                    <w:rPr>
                      <w:rFonts w:hint="eastAsia" w:ascii="Times New Roman" w:hAnsi="Times New Roman" w:eastAsia="宋体" w:cs="Times New Roman"/>
                      <w:color w:val="auto"/>
                      <w:kern w:val="2"/>
                      <w:sz w:val="21"/>
                      <w:szCs w:val="24"/>
                      <w:u w:val="none"/>
                      <w:lang w:val="en-US" w:eastAsia="zh-CN" w:bidi="ar-SA"/>
                    </w:rPr>
                    <w:t>动植物油</w:t>
                  </w:r>
                </w:p>
              </w:tc>
              <w:tc>
                <w:tcPr>
                  <w:tcW w:w="603" w:type="pct"/>
                  <w:tcBorders>
                    <w:top w:val="single" w:color="auto" w:sz="4" w:space="0"/>
                    <w:left w:val="single" w:color="auto" w:sz="4" w:space="0"/>
                    <w:right w:val="single" w:color="auto" w:sz="4" w:space="0"/>
                    <w:tl2br w:val="nil"/>
                    <w:tr2bl w:val="nil"/>
                  </w:tcBorders>
                  <w:noWrap w:val="0"/>
                  <w:vAlign w:val="center"/>
                </w:tcPr>
                <w:p w14:paraId="7113945A">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lang w:val="en-US" w:eastAsia="zh-CN" w:bidi="ar-SA"/>
                    </w:rPr>
                  </w:pPr>
                  <w:r>
                    <w:rPr>
                      <w:rFonts w:hint="eastAsia" w:ascii="Times New Roman" w:hAnsi="Times New Roman" w:eastAsia="宋体" w:cs="Times New Roman"/>
                      <w:color w:val="auto"/>
                      <w:kern w:val="2"/>
                      <w:sz w:val="21"/>
                      <w:szCs w:val="24"/>
                      <w:u w:val="none"/>
                      <w:lang w:val="en-US" w:eastAsia="zh-CN" w:bidi="ar-SA"/>
                    </w:rPr>
                    <w:t>20</w:t>
                  </w:r>
                </w:p>
              </w:tc>
              <w:tc>
                <w:tcPr>
                  <w:tcW w:w="1115" w:type="dxa"/>
                  <w:tcBorders>
                    <w:top w:val="single" w:color="auto" w:sz="4" w:space="0"/>
                    <w:left w:val="single" w:color="auto" w:sz="4" w:space="0"/>
                    <w:right w:val="single" w:color="auto" w:sz="4" w:space="0"/>
                    <w:tl2br w:val="nil"/>
                    <w:tr2bl w:val="nil"/>
                  </w:tcBorders>
                  <w:noWrap w:val="0"/>
                  <w:vAlign w:val="center"/>
                </w:tcPr>
                <w:p w14:paraId="2BC2EF4D">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lang w:val="en-US" w:eastAsia="zh-CN" w:bidi="ar-SA"/>
                    </w:rPr>
                  </w:pPr>
                  <w:r>
                    <w:rPr>
                      <w:rFonts w:hint="eastAsia" w:cs="Times New Roman"/>
                      <w:color w:val="auto"/>
                      <w:kern w:val="2"/>
                      <w:sz w:val="21"/>
                      <w:szCs w:val="24"/>
                      <w:u w:val="none"/>
                      <w:lang w:val="en-US" w:eastAsia="zh-CN" w:bidi="ar-SA"/>
                    </w:rPr>
                    <w:t>0.094</w:t>
                  </w:r>
                </w:p>
              </w:tc>
              <w:tc>
                <w:tcPr>
                  <w:tcW w:w="583" w:type="pct"/>
                  <w:tcBorders>
                    <w:top w:val="single" w:color="auto" w:sz="4" w:space="0"/>
                    <w:left w:val="single" w:color="auto" w:sz="4" w:space="0"/>
                    <w:right w:val="single" w:color="auto" w:sz="4" w:space="0"/>
                    <w:tl2br w:val="nil"/>
                    <w:tr2bl w:val="nil"/>
                  </w:tcBorders>
                  <w:shd w:val="clear" w:color="auto" w:fill="auto"/>
                  <w:noWrap w:val="0"/>
                  <w:vAlign w:val="center"/>
                </w:tcPr>
                <w:p w14:paraId="62C961BB">
                  <w:pPr>
                    <w:pStyle w:val="103"/>
                    <w:keepNext w:val="0"/>
                    <w:keepLines w:val="0"/>
                    <w:suppressLineNumbers w:val="0"/>
                    <w:spacing w:before="0" w:beforeLines="0" w:beforeAutospacing="0" w:after="0" w:afterLines="0" w:afterAutospacing="0"/>
                    <w:ind w:left="0" w:leftChars="0" w:right="0" w:rightChars="0" w:firstLine="0" w:firstLineChars="0"/>
                    <w:rPr>
                      <w:rFonts w:hint="default" w:cs="Times New Roman"/>
                      <w:color w:val="auto"/>
                      <w:sz w:val="21"/>
                      <w:szCs w:val="24"/>
                      <w:u w:val="none"/>
                      <w:lang w:val="en-US" w:eastAsia="zh-CN"/>
                    </w:rPr>
                  </w:pPr>
                  <w:r>
                    <w:rPr>
                      <w:rFonts w:hint="eastAsia" w:cs="Times New Roman"/>
                      <w:color w:val="auto"/>
                      <w:sz w:val="21"/>
                      <w:szCs w:val="24"/>
                      <w:u w:val="none"/>
                      <w:lang w:val="en-US" w:eastAsia="zh-CN"/>
                    </w:rPr>
                    <w:t>25</w:t>
                  </w:r>
                </w:p>
              </w:tc>
              <w:tc>
                <w:tcPr>
                  <w:tcW w:w="667" w:type="pct"/>
                  <w:tcBorders>
                    <w:top w:val="single" w:color="auto" w:sz="4" w:space="0"/>
                    <w:left w:val="single" w:color="auto" w:sz="4" w:space="0"/>
                    <w:right w:val="single" w:color="auto" w:sz="4" w:space="0"/>
                    <w:tl2br w:val="nil"/>
                    <w:tr2bl w:val="nil"/>
                  </w:tcBorders>
                  <w:noWrap w:val="0"/>
                  <w:vAlign w:val="center"/>
                </w:tcPr>
                <w:p w14:paraId="3DAC9A15">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lang w:val="en-US" w:eastAsia="zh-CN" w:bidi="ar-SA"/>
                    </w:rPr>
                  </w:pPr>
                  <w:r>
                    <w:rPr>
                      <w:rFonts w:hint="eastAsia" w:ascii="Times New Roman" w:hAnsi="Times New Roman" w:eastAsia="宋体" w:cs="Times New Roman"/>
                      <w:color w:val="auto"/>
                      <w:kern w:val="2"/>
                      <w:sz w:val="21"/>
                      <w:szCs w:val="24"/>
                      <w:u w:val="none"/>
                      <w:lang w:val="en-US" w:eastAsia="zh-CN" w:bidi="ar-SA"/>
                    </w:rPr>
                    <w:t>15</w:t>
                  </w:r>
                </w:p>
              </w:tc>
              <w:tc>
                <w:tcPr>
                  <w:tcW w:w="944" w:type="dxa"/>
                  <w:tcBorders>
                    <w:top w:val="single" w:color="auto" w:sz="4" w:space="0"/>
                    <w:left w:val="single" w:color="auto" w:sz="4" w:space="0"/>
                    <w:right w:val="single" w:color="auto" w:sz="4" w:space="0"/>
                    <w:tl2br w:val="nil"/>
                    <w:tr2bl w:val="nil"/>
                  </w:tcBorders>
                  <w:noWrap w:val="0"/>
                  <w:vAlign w:val="center"/>
                </w:tcPr>
                <w:p w14:paraId="7784C233">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color w:val="auto"/>
                      <w:kern w:val="2"/>
                      <w:sz w:val="21"/>
                      <w:szCs w:val="24"/>
                      <w:u w:val="none"/>
                      <w:lang w:val="en-US" w:eastAsia="zh-CN" w:bidi="ar-SA"/>
                    </w:rPr>
                  </w:pPr>
                  <w:r>
                    <w:rPr>
                      <w:rFonts w:hint="eastAsia" w:cs="Times New Roman"/>
                      <w:color w:val="auto"/>
                      <w:kern w:val="2"/>
                      <w:sz w:val="21"/>
                      <w:szCs w:val="24"/>
                      <w:u w:val="none"/>
                      <w:lang w:val="en-US" w:eastAsia="zh-CN" w:bidi="ar-SA"/>
                    </w:rPr>
                    <w:t>0.07</w:t>
                  </w:r>
                </w:p>
              </w:tc>
              <w:tc>
                <w:tcPr>
                  <w:tcW w:w="780" w:type="pct"/>
                  <w:vMerge w:val="continue"/>
                  <w:tcBorders>
                    <w:left w:val="single" w:color="auto" w:sz="4" w:space="0"/>
                    <w:tl2br w:val="nil"/>
                    <w:tr2bl w:val="nil"/>
                  </w:tcBorders>
                  <w:noWrap w:val="0"/>
                  <w:vAlign w:val="center"/>
                </w:tcPr>
                <w:p w14:paraId="61531FCD">
                  <w:pPr>
                    <w:keepNext w:val="0"/>
                    <w:keepLines w:val="0"/>
                    <w:widowControl w:val="0"/>
                    <w:suppressLineNumbers w:val="0"/>
                    <w:bidi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kern w:val="2"/>
                      <w:sz w:val="21"/>
                      <w:szCs w:val="24"/>
                      <w:u w:val="none"/>
                      <w:lang w:val="en-US" w:eastAsia="zh-CN" w:bidi="ar-SA"/>
                    </w:rPr>
                  </w:pPr>
                </w:p>
              </w:tc>
            </w:tr>
          </w:tbl>
          <w:p w14:paraId="381DD23A">
            <w:pPr>
              <w:adjustRightInd w:val="0"/>
              <w:snapToGrid w:val="0"/>
              <w:spacing w:line="360" w:lineRule="auto"/>
              <w:ind w:firstLine="480" w:firstLineChars="200"/>
              <w:rPr>
                <w:rFonts w:hint="default" w:ascii="Times New Roman" w:hAnsi="Times New Roman" w:eastAsia="宋体" w:cs="Times New Roman"/>
                <w:color w:val="auto"/>
                <w:kern w:val="0"/>
                <w:highlight w:val="none"/>
                <w:u w:val="none" w:color="auto"/>
                <w:lang w:val="en-US" w:eastAsia="zh-CN"/>
              </w:rPr>
            </w:pPr>
            <w:r>
              <w:rPr>
                <w:rFonts w:hint="eastAsia" w:ascii="Times New Roman" w:hAnsi="Times New Roman" w:eastAsia="宋体" w:cs="Times New Roman"/>
                <w:color w:val="auto"/>
                <w:kern w:val="0"/>
                <w:highlight w:val="none"/>
                <w:u w:val="none" w:color="auto"/>
                <w:lang w:val="en-US" w:eastAsia="zh-CN"/>
              </w:rPr>
              <w:t>（2）生产废水</w:t>
            </w:r>
          </w:p>
          <w:p w14:paraId="7363A75B">
            <w:pPr>
              <w:adjustRightInd w:val="0"/>
              <w:snapToGrid w:val="0"/>
              <w:spacing w:line="360" w:lineRule="auto"/>
              <w:ind w:firstLine="480" w:firstLineChars="200"/>
              <w:rPr>
                <w:rFonts w:hint="default" w:ascii="Times New Roman" w:hAnsi="Times New Roman" w:eastAsia="宋体" w:cs="Times New Roman"/>
                <w:color w:val="auto"/>
                <w:kern w:val="0"/>
                <w:highlight w:val="none"/>
                <w:u w:val="none" w:color="auto"/>
                <w:lang w:val="en-US" w:eastAsia="zh-CN"/>
              </w:rPr>
            </w:pPr>
            <w:r>
              <w:rPr>
                <w:rFonts w:hint="eastAsia" w:ascii="Times New Roman" w:hAnsi="Times New Roman" w:eastAsia="宋体" w:cs="Times New Roman"/>
                <w:color w:val="auto"/>
                <w:kern w:val="0"/>
                <w:highlight w:val="none"/>
                <w:u w:val="none" w:color="auto"/>
                <w:lang w:val="en-US" w:eastAsia="zh-CN"/>
              </w:rPr>
              <w:t>1）豆制品生产废水</w:t>
            </w:r>
          </w:p>
          <w:p w14:paraId="79916C3D">
            <w:pPr>
              <w:adjustRightInd w:val="0"/>
              <w:snapToGrid w:val="0"/>
              <w:spacing w:line="360" w:lineRule="auto"/>
              <w:ind w:firstLine="480" w:firstLineChars="200"/>
              <w:rPr>
                <w:rFonts w:hint="eastAsia" w:ascii="Times New Roman" w:hAnsi="Times New Roman" w:eastAsia="宋体"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①浸泡废水</w:t>
            </w:r>
          </w:p>
          <w:p w14:paraId="0D3AD17F">
            <w:pPr>
              <w:adjustRightInd w:val="0"/>
              <w:snapToGrid w:val="0"/>
              <w:spacing w:line="360" w:lineRule="auto"/>
              <w:ind w:firstLine="480" w:firstLineChars="200"/>
              <w:rPr>
                <w:rFonts w:hint="default"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豆制品生产过程中浸泡过程会产生浸泡废水，根据前文水平衡分析，浸泡用水量为3500t/a（10t/d），废水产生量为1750t/a，5t/d。</w:t>
            </w:r>
          </w:p>
          <w:p w14:paraId="3F8D49A7">
            <w:pPr>
              <w:adjustRightInd w:val="0"/>
              <w:snapToGrid w:val="0"/>
              <w:spacing w:line="360" w:lineRule="auto"/>
              <w:ind w:firstLine="480" w:firstLineChars="200"/>
              <w:rPr>
                <w:rFonts w:hint="eastAsia" w:ascii="Times New Roman" w:hAnsi="Times New Roman" w:eastAsia="宋体"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②大豆清洗废水</w:t>
            </w:r>
          </w:p>
          <w:p w14:paraId="545D186B">
            <w:pPr>
              <w:adjustRightInd w:val="0"/>
              <w:snapToGrid w:val="0"/>
              <w:spacing w:line="360" w:lineRule="auto"/>
              <w:ind w:firstLine="480" w:firstLineChars="200"/>
              <w:rPr>
                <w:rFonts w:hint="default" w:ascii="Times New Roman" w:hAnsi="Times New Roman" w:eastAsia="宋体"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浸泡后的大豆需进行清洗，清洗废水产生量为4t/d，1400t/a。</w:t>
            </w:r>
          </w:p>
          <w:p w14:paraId="6BB6D53C">
            <w:pPr>
              <w:adjustRightInd w:val="0"/>
              <w:snapToGrid w:val="0"/>
              <w:spacing w:line="360" w:lineRule="auto"/>
              <w:ind w:firstLine="480" w:firstLineChars="200"/>
              <w:rPr>
                <w:rFonts w:hint="eastAsia" w:ascii="Times New Roman" w:hAnsi="Times New Roman" w:eastAsia="宋体"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③磨浆废水</w:t>
            </w:r>
          </w:p>
          <w:p w14:paraId="5DF55992">
            <w:pPr>
              <w:adjustRightInd w:val="0"/>
              <w:snapToGrid w:val="0"/>
              <w:spacing w:line="360" w:lineRule="auto"/>
              <w:ind w:firstLine="480" w:firstLineChars="200"/>
              <w:rPr>
                <w:rFonts w:hint="default"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磨浆加的水80%带入磨浆得到的豆浆中，20%在蒸煮过程中以水蒸气形式损耗，无废水外排。</w:t>
            </w:r>
          </w:p>
          <w:p w14:paraId="44686B6D">
            <w:pPr>
              <w:adjustRightInd w:val="0"/>
              <w:snapToGrid w:val="0"/>
              <w:spacing w:line="360" w:lineRule="auto"/>
              <w:ind w:firstLine="480" w:firstLineChars="200"/>
              <w:rPr>
                <w:rFonts w:hint="eastAsia" w:ascii="Times New Roman" w:hAnsi="Times New Roman" w:eastAsia="宋体"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④压制成型废水</w:t>
            </w:r>
          </w:p>
          <w:p w14:paraId="7A67BC51">
            <w:pPr>
              <w:adjustRightInd w:val="0"/>
              <w:snapToGrid w:val="0"/>
              <w:spacing w:line="360" w:lineRule="auto"/>
              <w:ind w:firstLine="480" w:firstLineChars="200"/>
              <w:rPr>
                <w:rFonts w:hint="default" w:ascii="Times New Roman" w:hAnsi="Times New Roman" w:eastAsia="宋体"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根据分析，黄豆浸泡后含水量为1750t/a，磨浆带入水为5579.636t/a，则磨浆工序后豆制品中总水量为7329.636t/a。本项目年产3000t虎皮豆腐，含水率约为65%，压制成型工序产品带出水量为1950t/a，则压制成型废水产生量为5379.636t/a，15.37t/d。</w:t>
            </w:r>
          </w:p>
          <w:p w14:paraId="676FB763">
            <w:pPr>
              <w:adjustRightInd w:val="0"/>
              <w:snapToGrid w:val="0"/>
              <w:spacing w:line="360" w:lineRule="auto"/>
              <w:ind w:firstLine="480" w:firstLineChars="200"/>
              <w:rPr>
                <w:rFonts w:hint="eastAsia" w:ascii="Times New Roman" w:hAnsi="Times New Roman" w:eastAsia="宋体"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⑤设备清洗废水</w:t>
            </w:r>
          </w:p>
          <w:p w14:paraId="00F0F106">
            <w:pPr>
              <w:adjustRightInd w:val="0"/>
              <w:snapToGrid w:val="0"/>
              <w:spacing w:line="360" w:lineRule="auto"/>
              <w:ind w:firstLine="480" w:firstLineChars="200"/>
              <w:rPr>
                <w:rFonts w:hint="default" w:ascii="Times New Roman" w:hAnsi="Times New Roman" w:eastAsia="宋体"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设备清洗废水产量约为1.6t/d，560t/a。</w:t>
            </w:r>
          </w:p>
          <w:p w14:paraId="0D5F17EF">
            <w:pPr>
              <w:adjustRightInd w:val="0"/>
              <w:snapToGrid w:val="0"/>
              <w:spacing w:line="360" w:lineRule="auto"/>
              <w:ind w:firstLine="480" w:firstLineChars="200"/>
              <w:rPr>
                <w:rFonts w:hint="eastAsia" w:ascii="Times New Roman" w:hAnsi="Times New Roman" w:eastAsia="宋体"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⑥地面清洗废水</w:t>
            </w:r>
          </w:p>
          <w:p w14:paraId="3078DACC">
            <w:pPr>
              <w:adjustRightInd w:val="0"/>
              <w:snapToGrid w:val="0"/>
              <w:spacing w:line="360" w:lineRule="auto"/>
              <w:ind w:firstLine="480" w:firstLineChars="200"/>
              <w:rPr>
                <w:rFonts w:hint="default"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地面清洗废水产生量为6.66t/d，2329.6t/a。</w:t>
            </w:r>
          </w:p>
          <w:p w14:paraId="6EDCD07E">
            <w:pPr>
              <w:adjustRightInd w:val="0"/>
              <w:snapToGrid w:val="0"/>
              <w:spacing w:line="360" w:lineRule="auto"/>
              <w:ind w:firstLine="480" w:firstLineChars="200"/>
              <w:rPr>
                <w:rFonts w:hint="eastAsia"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综上所述，本项目豆制品生产废水产生量为11419.236t/a，32.63t/d。</w:t>
            </w:r>
          </w:p>
          <w:p w14:paraId="15CD604D">
            <w:pPr>
              <w:adjustRightInd w:val="0"/>
              <w:snapToGrid w:val="0"/>
              <w:spacing w:line="360" w:lineRule="auto"/>
              <w:ind w:firstLine="480" w:firstLineChars="200"/>
              <w:rPr>
                <w:rFonts w:hint="default" w:ascii="Times New Roman" w:hAnsi="Times New Roman" w:eastAsia="宋体"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⑦废水水质情况</w:t>
            </w:r>
          </w:p>
          <w:p w14:paraId="349DC6DD">
            <w:pPr>
              <w:adjustRightInd w:val="0"/>
              <w:snapToGrid w:val="0"/>
              <w:spacing w:line="360" w:lineRule="auto"/>
              <w:ind w:firstLine="480" w:firstLineChars="200"/>
              <w:rPr>
                <w:rFonts w:hint="default" w:ascii="Times New Roman" w:hAnsi="Times New Roman" w:eastAsia="宋体"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根据豆制品生产企业废水水质情况，废水主要污染物为CODcr、BOD</w:t>
            </w:r>
            <w:r>
              <w:rPr>
                <w:rFonts w:hint="eastAsia" w:cs="Times New Roman"/>
                <w:color w:val="auto"/>
                <w:kern w:val="0"/>
                <w:highlight w:val="none"/>
                <w:u w:val="none" w:color="auto"/>
                <w:vertAlign w:val="subscript"/>
                <w:lang w:val="en-US" w:eastAsia="zh-CN"/>
              </w:rPr>
              <w:t>5</w:t>
            </w:r>
            <w:r>
              <w:rPr>
                <w:rFonts w:hint="eastAsia" w:cs="Times New Roman"/>
                <w:color w:val="auto"/>
                <w:kern w:val="0"/>
                <w:highlight w:val="none"/>
                <w:u w:val="none" w:color="auto"/>
                <w:lang w:val="en-US" w:eastAsia="zh-CN"/>
              </w:rPr>
              <w:t>、SS、氨氮、总氮、总磷和动植物油。</w:t>
            </w:r>
          </w:p>
          <w:p w14:paraId="3BF4D864">
            <w:pPr>
              <w:adjustRightInd w:val="0"/>
              <w:snapToGrid w:val="0"/>
              <w:spacing w:line="360" w:lineRule="auto"/>
              <w:ind w:firstLine="480" w:firstLineChars="200"/>
              <w:rPr>
                <w:rFonts w:hint="default" w:ascii="Times New Roman" w:hAnsi="Times New Roman" w:eastAsia="宋体"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其中CODcr、氨氮、总氮的产物系数参照</w:t>
            </w:r>
            <w:r>
              <w:rPr>
                <w:rFonts w:hint="eastAsia" w:ascii="Times New Roman" w:hAnsi="Times New Roman" w:eastAsia="宋体" w:cs="Times New Roman"/>
                <w:color w:val="auto"/>
                <w:kern w:val="0"/>
                <w:highlight w:val="none"/>
                <w:u w:val="none" w:color="auto"/>
                <w:lang w:val="en-US" w:eastAsia="zh-CN"/>
              </w:rPr>
              <w:t>参照《排放源统计调查产排污核算方法和系数手册》1392豆制品制造行业系数手册，</w:t>
            </w:r>
            <w:r>
              <w:rPr>
                <w:rFonts w:hint="eastAsia" w:cs="Times New Roman"/>
                <w:color w:val="auto"/>
                <w:kern w:val="0"/>
                <w:highlight w:val="none"/>
                <w:u w:val="none" w:color="auto"/>
                <w:lang w:val="en-US" w:eastAsia="zh-CN"/>
              </w:rPr>
              <w:t>具体</w:t>
            </w:r>
            <w:r>
              <w:rPr>
                <w:rFonts w:hint="eastAsia" w:ascii="Times New Roman" w:hAnsi="Times New Roman" w:eastAsia="宋体" w:cs="Times New Roman"/>
                <w:color w:val="auto"/>
                <w:kern w:val="0"/>
                <w:highlight w:val="none"/>
                <w:u w:val="none" w:color="auto"/>
                <w:lang w:val="en-US" w:eastAsia="zh-CN"/>
              </w:rPr>
              <w:t>如下。</w:t>
            </w:r>
          </w:p>
          <w:p w14:paraId="6A2CFAFD">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color w:val="auto"/>
                <w:kern w:val="0"/>
                <w:sz w:val="21"/>
                <w:szCs w:val="21"/>
                <w:highlight w:val="none"/>
                <w:u w:val="none" w:color="auto"/>
                <w:lang w:val="en-US" w:eastAsia="zh-CN"/>
              </w:rPr>
            </w:pPr>
            <w:r>
              <w:rPr>
                <w:rFonts w:hint="default" w:ascii="Times New Roman" w:hAnsi="Times New Roman" w:eastAsia="宋体" w:cs="Times New Roman"/>
                <w:b/>
                <w:bCs/>
                <w:color w:val="auto"/>
                <w:kern w:val="0"/>
                <w:sz w:val="21"/>
                <w:szCs w:val="21"/>
                <w:highlight w:val="none"/>
                <w:u w:val="none" w:color="auto"/>
                <w:lang w:val="en-US" w:eastAsia="zh-CN"/>
              </w:rPr>
              <w:t>表4-1</w:t>
            </w:r>
            <w:r>
              <w:rPr>
                <w:rFonts w:hint="eastAsia" w:ascii="Times New Roman" w:hAnsi="Times New Roman" w:eastAsia="宋体" w:cs="Times New Roman"/>
                <w:b/>
                <w:bCs/>
                <w:color w:val="auto"/>
                <w:kern w:val="0"/>
                <w:sz w:val="21"/>
                <w:szCs w:val="21"/>
                <w:highlight w:val="none"/>
                <w:u w:val="none" w:color="auto"/>
                <w:lang w:val="en-US" w:eastAsia="zh-CN"/>
              </w:rPr>
              <w:t>1</w:t>
            </w:r>
            <w:r>
              <w:rPr>
                <w:rFonts w:hint="default" w:ascii="Times New Roman" w:hAnsi="Times New Roman" w:eastAsia="宋体" w:cs="Times New Roman"/>
                <w:b/>
                <w:bCs/>
                <w:color w:val="auto"/>
                <w:kern w:val="0"/>
                <w:sz w:val="21"/>
                <w:szCs w:val="21"/>
                <w:highlight w:val="none"/>
                <w:u w:val="none" w:color="auto"/>
                <w:lang w:val="en-US" w:eastAsia="zh-CN"/>
              </w:rPr>
              <w:t xml:space="preserve"> </w:t>
            </w:r>
            <w:r>
              <w:rPr>
                <w:rFonts w:hint="eastAsia" w:ascii="Times New Roman" w:hAnsi="Times New Roman" w:eastAsia="宋体" w:cs="Times New Roman"/>
                <w:b/>
                <w:bCs/>
                <w:color w:val="auto"/>
                <w:kern w:val="0"/>
                <w:sz w:val="21"/>
                <w:szCs w:val="21"/>
                <w:highlight w:val="none"/>
                <w:u w:val="none" w:color="auto"/>
                <w:lang w:val="en-US" w:eastAsia="zh-CN"/>
              </w:rPr>
              <w:t>豆制品行业系数表</w:t>
            </w:r>
          </w:p>
          <w:tbl>
            <w:tblPr>
              <w:tblStyle w:val="43"/>
              <w:tblW w:w="80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735"/>
              <w:gridCol w:w="1155"/>
              <w:gridCol w:w="742"/>
              <w:gridCol w:w="1380"/>
              <w:gridCol w:w="1260"/>
              <w:gridCol w:w="1200"/>
              <w:gridCol w:w="843"/>
            </w:tblGrid>
            <w:tr w14:paraId="7B740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1" w:type="dxa"/>
                  <w:tcBorders>
                    <w:top w:val="single" w:color="auto" w:sz="12" w:space="0"/>
                    <w:right w:val="single" w:color="auto" w:sz="4" w:space="0"/>
                  </w:tcBorders>
                  <w:vAlign w:val="center"/>
                </w:tcPr>
                <w:p w14:paraId="429B502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产品名称</w:t>
                  </w:r>
                </w:p>
              </w:tc>
              <w:tc>
                <w:tcPr>
                  <w:tcW w:w="735" w:type="dxa"/>
                  <w:tcBorders>
                    <w:top w:val="single" w:color="auto" w:sz="12" w:space="0"/>
                    <w:left w:val="single" w:color="auto" w:sz="4" w:space="0"/>
                    <w:right w:val="single" w:color="auto" w:sz="4" w:space="0"/>
                  </w:tcBorders>
                  <w:vAlign w:val="center"/>
                </w:tcPr>
                <w:p w14:paraId="2CA0804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原料名称</w:t>
                  </w:r>
                </w:p>
              </w:tc>
              <w:tc>
                <w:tcPr>
                  <w:tcW w:w="1155" w:type="dxa"/>
                  <w:tcBorders>
                    <w:top w:val="single" w:color="auto" w:sz="12" w:space="0"/>
                    <w:left w:val="single" w:color="auto" w:sz="4" w:space="0"/>
                    <w:right w:val="single" w:color="auto" w:sz="4" w:space="0"/>
                  </w:tcBorders>
                  <w:vAlign w:val="center"/>
                </w:tcPr>
                <w:p w14:paraId="4FF9CEE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工艺名称</w:t>
                  </w:r>
                </w:p>
              </w:tc>
              <w:tc>
                <w:tcPr>
                  <w:tcW w:w="742" w:type="dxa"/>
                  <w:tcBorders>
                    <w:top w:val="single" w:color="auto" w:sz="12" w:space="0"/>
                    <w:left w:val="single" w:color="auto" w:sz="4" w:space="0"/>
                    <w:right w:val="single" w:color="auto" w:sz="4" w:space="0"/>
                  </w:tcBorders>
                  <w:vAlign w:val="center"/>
                </w:tcPr>
                <w:p w14:paraId="3B32840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规模等级</w:t>
                  </w:r>
                </w:p>
              </w:tc>
              <w:tc>
                <w:tcPr>
                  <w:tcW w:w="1380" w:type="dxa"/>
                  <w:tcBorders>
                    <w:top w:val="single" w:color="auto" w:sz="12" w:space="0"/>
                    <w:left w:val="single" w:color="auto" w:sz="4" w:space="0"/>
                    <w:right w:val="single" w:color="auto" w:sz="4" w:space="0"/>
                  </w:tcBorders>
                  <w:vAlign w:val="center"/>
                </w:tcPr>
                <w:p w14:paraId="79356E2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污染物指标</w:t>
                  </w:r>
                </w:p>
              </w:tc>
              <w:tc>
                <w:tcPr>
                  <w:tcW w:w="1260" w:type="dxa"/>
                  <w:tcBorders>
                    <w:top w:val="single" w:color="auto" w:sz="12" w:space="0"/>
                    <w:left w:val="single" w:color="auto" w:sz="4" w:space="0"/>
                    <w:right w:val="single" w:color="auto" w:sz="4" w:space="0"/>
                  </w:tcBorders>
                  <w:vAlign w:val="center"/>
                </w:tcPr>
                <w:p w14:paraId="2F620DC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单位</w:t>
                  </w:r>
                </w:p>
              </w:tc>
              <w:tc>
                <w:tcPr>
                  <w:tcW w:w="1200" w:type="dxa"/>
                  <w:tcBorders>
                    <w:top w:val="single" w:color="auto" w:sz="12" w:space="0"/>
                    <w:left w:val="single" w:color="auto" w:sz="4" w:space="0"/>
                    <w:right w:val="single" w:color="auto" w:sz="4" w:space="0"/>
                  </w:tcBorders>
                  <w:vAlign w:val="center"/>
                </w:tcPr>
                <w:p w14:paraId="7AA2223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产物系数</w:t>
                  </w:r>
                </w:p>
              </w:tc>
              <w:tc>
                <w:tcPr>
                  <w:tcW w:w="843" w:type="dxa"/>
                  <w:tcBorders>
                    <w:top w:val="single" w:color="auto" w:sz="12" w:space="0"/>
                    <w:left w:val="single" w:color="auto" w:sz="4" w:space="0"/>
                    <w:right w:val="single" w:color="auto" w:sz="12" w:space="0"/>
                  </w:tcBorders>
                  <w:vAlign w:val="center"/>
                </w:tcPr>
                <w:p w14:paraId="039116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调整系数</w:t>
                  </w:r>
                </w:p>
              </w:tc>
            </w:tr>
            <w:tr w14:paraId="34A7FE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1" w:type="dxa"/>
                  <w:vMerge w:val="restart"/>
                  <w:tcBorders>
                    <w:left w:val="single" w:color="auto" w:sz="4" w:space="0"/>
                    <w:right w:val="single" w:color="auto" w:sz="4" w:space="0"/>
                  </w:tcBorders>
                  <w:vAlign w:val="center"/>
                </w:tcPr>
                <w:p w14:paraId="2FF44E5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豆腐</w:t>
                  </w:r>
                </w:p>
              </w:tc>
              <w:tc>
                <w:tcPr>
                  <w:tcW w:w="735" w:type="dxa"/>
                  <w:vMerge w:val="restart"/>
                  <w:tcBorders>
                    <w:left w:val="single" w:color="auto" w:sz="4" w:space="0"/>
                    <w:right w:val="single" w:color="auto" w:sz="4" w:space="0"/>
                  </w:tcBorders>
                  <w:vAlign w:val="center"/>
                </w:tcPr>
                <w:p w14:paraId="7A961D7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大豆</w:t>
                  </w:r>
                </w:p>
              </w:tc>
              <w:tc>
                <w:tcPr>
                  <w:tcW w:w="1155" w:type="dxa"/>
                  <w:vMerge w:val="restart"/>
                  <w:tcBorders>
                    <w:left w:val="single" w:color="auto" w:sz="4" w:space="0"/>
                    <w:right w:val="single" w:color="auto" w:sz="4" w:space="0"/>
                  </w:tcBorders>
                  <w:vAlign w:val="center"/>
                </w:tcPr>
                <w:p w14:paraId="11921CC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预处理+制浆+凝固+压制+包装</w:t>
                  </w:r>
                </w:p>
              </w:tc>
              <w:tc>
                <w:tcPr>
                  <w:tcW w:w="742" w:type="dxa"/>
                  <w:vMerge w:val="restart"/>
                  <w:tcBorders>
                    <w:left w:val="single" w:color="auto" w:sz="4" w:space="0"/>
                    <w:right w:val="single" w:color="auto" w:sz="4" w:space="0"/>
                  </w:tcBorders>
                  <w:vAlign w:val="center"/>
                </w:tcPr>
                <w:p w14:paraId="44FB099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≥5吨-原料/天</w:t>
                  </w:r>
                </w:p>
              </w:tc>
              <w:tc>
                <w:tcPr>
                  <w:tcW w:w="1380" w:type="dxa"/>
                  <w:tcBorders>
                    <w:left w:val="single" w:color="auto" w:sz="4" w:space="0"/>
                    <w:right w:val="single" w:color="auto" w:sz="4" w:space="0"/>
                  </w:tcBorders>
                  <w:vAlign w:val="center"/>
                </w:tcPr>
                <w:p w14:paraId="02908E3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工业废水量</w:t>
                  </w:r>
                </w:p>
              </w:tc>
              <w:tc>
                <w:tcPr>
                  <w:tcW w:w="1260" w:type="dxa"/>
                  <w:tcBorders>
                    <w:left w:val="single" w:color="auto" w:sz="4" w:space="0"/>
                    <w:right w:val="single" w:color="auto" w:sz="4" w:space="0"/>
                  </w:tcBorders>
                  <w:vAlign w:val="center"/>
                </w:tcPr>
                <w:p w14:paraId="07E8E2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吨/吨-原料</w:t>
                  </w:r>
                </w:p>
              </w:tc>
              <w:tc>
                <w:tcPr>
                  <w:tcW w:w="1200" w:type="dxa"/>
                  <w:tcBorders>
                    <w:left w:val="single" w:color="auto" w:sz="4" w:space="0"/>
                    <w:right w:val="single" w:color="auto" w:sz="4" w:space="0"/>
                  </w:tcBorders>
                  <w:vAlign w:val="center"/>
                </w:tcPr>
                <w:p w14:paraId="6DA618F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26.7</w:t>
                  </w:r>
                </w:p>
              </w:tc>
              <w:tc>
                <w:tcPr>
                  <w:tcW w:w="843" w:type="dxa"/>
                  <w:tcBorders>
                    <w:left w:val="single" w:color="auto" w:sz="4" w:space="0"/>
                    <w:right w:val="single" w:color="auto" w:sz="12" w:space="0"/>
                  </w:tcBorders>
                  <w:vAlign w:val="center"/>
                </w:tcPr>
                <w:p w14:paraId="5E68A40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1.0</w:t>
                  </w:r>
                </w:p>
              </w:tc>
            </w:tr>
            <w:tr w14:paraId="091B0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1" w:type="dxa"/>
                  <w:vMerge w:val="continue"/>
                  <w:tcBorders>
                    <w:left w:val="single" w:color="auto" w:sz="4" w:space="0"/>
                    <w:right w:val="single" w:color="auto" w:sz="4" w:space="0"/>
                  </w:tcBorders>
                  <w:vAlign w:val="center"/>
                </w:tcPr>
                <w:p w14:paraId="55EC19C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highlight w:val="none"/>
                      <w:u w:val="none" w:color="auto"/>
                      <w:vertAlign w:val="baseline"/>
                      <w:lang w:val="en-US" w:eastAsia="zh-CN"/>
                    </w:rPr>
                  </w:pPr>
                </w:p>
              </w:tc>
              <w:tc>
                <w:tcPr>
                  <w:tcW w:w="735" w:type="dxa"/>
                  <w:vMerge w:val="continue"/>
                  <w:tcBorders>
                    <w:left w:val="single" w:color="auto" w:sz="4" w:space="0"/>
                    <w:right w:val="single" w:color="auto" w:sz="4" w:space="0"/>
                  </w:tcBorders>
                  <w:vAlign w:val="center"/>
                </w:tcPr>
                <w:p w14:paraId="00C21EC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highlight w:val="none"/>
                      <w:u w:val="none" w:color="auto"/>
                      <w:vertAlign w:val="baseline"/>
                      <w:lang w:val="en-US" w:eastAsia="zh-CN"/>
                    </w:rPr>
                  </w:pPr>
                </w:p>
              </w:tc>
              <w:tc>
                <w:tcPr>
                  <w:tcW w:w="1155" w:type="dxa"/>
                  <w:vMerge w:val="continue"/>
                  <w:tcBorders>
                    <w:left w:val="single" w:color="auto" w:sz="4" w:space="0"/>
                    <w:right w:val="single" w:color="auto" w:sz="4" w:space="0"/>
                  </w:tcBorders>
                  <w:vAlign w:val="center"/>
                </w:tcPr>
                <w:p w14:paraId="15632F9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highlight w:val="none"/>
                      <w:u w:val="none" w:color="auto"/>
                      <w:vertAlign w:val="baseline"/>
                      <w:lang w:val="en-US" w:eastAsia="zh-CN"/>
                    </w:rPr>
                  </w:pPr>
                </w:p>
              </w:tc>
              <w:tc>
                <w:tcPr>
                  <w:tcW w:w="742" w:type="dxa"/>
                  <w:vMerge w:val="continue"/>
                  <w:tcBorders>
                    <w:left w:val="single" w:color="auto" w:sz="4" w:space="0"/>
                    <w:right w:val="single" w:color="auto" w:sz="4" w:space="0"/>
                  </w:tcBorders>
                  <w:vAlign w:val="center"/>
                </w:tcPr>
                <w:p w14:paraId="098F120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highlight w:val="none"/>
                      <w:u w:val="none" w:color="auto"/>
                      <w:vertAlign w:val="baseline"/>
                      <w:lang w:val="en-US" w:eastAsia="zh-CN"/>
                    </w:rPr>
                  </w:pPr>
                </w:p>
              </w:tc>
              <w:tc>
                <w:tcPr>
                  <w:tcW w:w="1380" w:type="dxa"/>
                  <w:tcBorders>
                    <w:left w:val="single" w:color="auto" w:sz="4" w:space="0"/>
                    <w:right w:val="single" w:color="auto" w:sz="4" w:space="0"/>
                  </w:tcBorders>
                  <w:vAlign w:val="center"/>
                </w:tcPr>
                <w:p w14:paraId="67DE769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化学需氧量</w:t>
                  </w:r>
                </w:p>
              </w:tc>
              <w:tc>
                <w:tcPr>
                  <w:tcW w:w="1260" w:type="dxa"/>
                  <w:tcBorders>
                    <w:left w:val="single" w:color="auto" w:sz="4" w:space="0"/>
                    <w:right w:val="single" w:color="auto" w:sz="4" w:space="0"/>
                  </w:tcBorders>
                  <w:vAlign w:val="center"/>
                </w:tcPr>
                <w:p w14:paraId="7BDA843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克/吨-原料</w:t>
                  </w:r>
                </w:p>
              </w:tc>
              <w:tc>
                <w:tcPr>
                  <w:tcW w:w="1200" w:type="dxa"/>
                  <w:tcBorders>
                    <w:left w:val="single" w:color="auto" w:sz="4" w:space="0"/>
                    <w:right w:val="single" w:color="auto" w:sz="4" w:space="0"/>
                  </w:tcBorders>
                  <w:vAlign w:val="center"/>
                </w:tcPr>
                <w:p w14:paraId="1B0AC4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1.30×10</w:t>
                  </w:r>
                  <w:r>
                    <w:rPr>
                      <w:rFonts w:hint="eastAsia" w:ascii="Times New Roman" w:hAnsi="Times New Roman" w:eastAsia="宋体" w:cs="Times New Roman"/>
                      <w:color w:val="auto"/>
                      <w:kern w:val="0"/>
                      <w:sz w:val="21"/>
                      <w:szCs w:val="21"/>
                      <w:highlight w:val="none"/>
                      <w:u w:val="none" w:color="auto"/>
                      <w:vertAlign w:val="superscript"/>
                      <w:lang w:val="en-US" w:eastAsia="zh-CN"/>
                    </w:rPr>
                    <w:t>5</w:t>
                  </w:r>
                </w:p>
              </w:tc>
              <w:tc>
                <w:tcPr>
                  <w:tcW w:w="843" w:type="dxa"/>
                  <w:tcBorders>
                    <w:left w:val="single" w:color="auto" w:sz="4" w:space="0"/>
                    <w:right w:val="single" w:color="auto" w:sz="12" w:space="0"/>
                  </w:tcBorders>
                  <w:vAlign w:val="center"/>
                </w:tcPr>
                <w:p w14:paraId="75B4019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1.0</w:t>
                  </w:r>
                </w:p>
              </w:tc>
            </w:tr>
            <w:tr w14:paraId="12DC1E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1" w:type="dxa"/>
                  <w:vMerge w:val="continue"/>
                  <w:tcBorders>
                    <w:left w:val="single" w:color="auto" w:sz="4" w:space="0"/>
                    <w:right w:val="single" w:color="auto" w:sz="4" w:space="0"/>
                  </w:tcBorders>
                  <w:vAlign w:val="center"/>
                </w:tcPr>
                <w:p w14:paraId="6ECC6E1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highlight w:val="none"/>
                      <w:u w:val="none" w:color="auto"/>
                      <w:vertAlign w:val="baseline"/>
                      <w:lang w:val="en-US" w:eastAsia="zh-CN"/>
                    </w:rPr>
                  </w:pPr>
                </w:p>
              </w:tc>
              <w:tc>
                <w:tcPr>
                  <w:tcW w:w="735" w:type="dxa"/>
                  <w:vMerge w:val="continue"/>
                  <w:tcBorders>
                    <w:left w:val="single" w:color="auto" w:sz="4" w:space="0"/>
                    <w:right w:val="single" w:color="auto" w:sz="4" w:space="0"/>
                  </w:tcBorders>
                  <w:vAlign w:val="center"/>
                </w:tcPr>
                <w:p w14:paraId="09FB12B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highlight w:val="none"/>
                      <w:u w:val="none" w:color="auto"/>
                      <w:vertAlign w:val="baseline"/>
                      <w:lang w:val="en-US" w:eastAsia="zh-CN"/>
                    </w:rPr>
                  </w:pPr>
                </w:p>
              </w:tc>
              <w:tc>
                <w:tcPr>
                  <w:tcW w:w="1155" w:type="dxa"/>
                  <w:vMerge w:val="continue"/>
                  <w:tcBorders>
                    <w:left w:val="single" w:color="auto" w:sz="4" w:space="0"/>
                    <w:right w:val="single" w:color="auto" w:sz="4" w:space="0"/>
                  </w:tcBorders>
                  <w:vAlign w:val="center"/>
                </w:tcPr>
                <w:p w14:paraId="70C8636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highlight w:val="none"/>
                      <w:u w:val="none" w:color="auto"/>
                      <w:vertAlign w:val="baseline"/>
                      <w:lang w:val="en-US" w:eastAsia="zh-CN"/>
                    </w:rPr>
                  </w:pPr>
                </w:p>
              </w:tc>
              <w:tc>
                <w:tcPr>
                  <w:tcW w:w="742" w:type="dxa"/>
                  <w:vMerge w:val="continue"/>
                  <w:tcBorders>
                    <w:left w:val="single" w:color="auto" w:sz="4" w:space="0"/>
                    <w:right w:val="single" w:color="auto" w:sz="4" w:space="0"/>
                  </w:tcBorders>
                  <w:vAlign w:val="center"/>
                </w:tcPr>
                <w:p w14:paraId="38CEB4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highlight w:val="none"/>
                      <w:u w:val="none" w:color="auto"/>
                      <w:vertAlign w:val="baseline"/>
                      <w:lang w:val="en-US" w:eastAsia="zh-CN"/>
                    </w:rPr>
                  </w:pPr>
                </w:p>
              </w:tc>
              <w:tc>
                <w:tcPr>
                  <w:tcW w:w="1380" w:type="dxa"/>
                  <w:tcBorders>
                    <w:left w:val="single" w:color="auto" w:sz="4" w:space="0"/>
                    <w:right w:val="single" w:color="auto" w:sz="4" w:space="0"/>
                  </w:tcBorders>
                  <w:vAlign w:val="center"/>
                </w:tcPr>
                <w:p w14:paraId="1982E8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氨氮</w:t>
                  </w:r>
                </w:p>
              </w:tc>
              <w:tc>
                <w:tcPr>
                  <w:tcW w:w="1260" w:type="dxa"/>
                  <w:tcBorders>
                    <w:left w:val="single" w:color="auto" w:sz="4" w:space="0"/>
                    <w:right w:val="single" w:color="auto" w:sz="4" w:space="0"/>
                  </w:tcBorders>
                  <w:vAlign w:val="center"/>
                </w:tcPr>
                <w:p w14:paraId="7D3E7EB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克/吨-原料</w:t>
                  </w:r>
                </w:p>
              </w:tc>
              <w:tc>
                <w:tcPr>
                  <w:tcW w:w="1200" w:type="dxa"/>
                  <w:tcBorders>
                    <w:left w:val="single" w:color="auto" w:sz="4" w:space="0"/>
                    <w:right w:val="single" w:color="auto" w:sz="4" w:space="0"/>
                  </w:tcBorders>
                  <w:vAlign w:val="center"/>
                </w:tcPr>
                <w:p w14:paraId="4D6AF44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2.07×10</w:t>
                  </w:r>
                  <w:r>
                    <w:rPr>
                      <w:rFonts w:hint="eastAsia" w:ascii="Times New Roman" w:hAnsi="Times New Roman" w:eastAsia="宋体" w:cs="Times New Roman"/>
                      <w:color w:val="auto"/>
                      <w:kern w:val="0"/>
                      <w:sz w:val="21"/>
                      <w:szCs w:val="21"/>
                      <w:highlight w:val="none"/>
                      <w:u w:val="none" w:color="auto"/>
                      <w:vertAlign w:val="superscript"/>
                      <w:lang w:val="en-US" w:eastAsia="zh-CN"/>
                    </w:rPr>
                    <w:t>3</w:t>
                  </w:r>
                </w:p>
              </w:tc>
              <w:tc>
                <w:tcPr>
                  <w:tcW w:w="843" w:type="dxa"/>
                  <w:tcBorders>
                    <w:left w:val="single" w:color="auto" w:sz="4" w:space="0"/>
                    <w:right w:val="single" w:color="auto" w:sz="12" w:space="0"/>
                  </w:tcBorders>
                  <w:vAlign w:val="center"/>
                </w:tcPr>
                <w:p w14:paraId="56A8B4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1.0</w:t>
                  </w:r>
                </w:p>
              </w:tc>
            </w:tr>
            <w:tr w14:paraId="10FEEE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1" w:type="dxa"/>
                  <w:vMerge w:val="continue"/>
                  <w:tcBorders>
                    <w:left w:val="single" w:color="auto" w:sz="4" w:space="0"/>
                    <w:bottom w:val="single" w:color="auto" w:sz="12" w:space="0"/>
                    <w:right w:val="single" w:color="auto" w:sz="4" w:space="0"/>
                  </w:tcBorders>
                  <w:vAlign w:val="center"/>
                </w:tcPr>
                <w:p w14:paraId="358D80E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highlight w:val="none"/>
                      <w:u w:val="none" w:color="auto"/>
                      <w:vertAlign w:val="baseline"/>
                      <w:lang w:val="en-US" w:eastAsia="zh-CN"/>
                    </w:rPr>
                  </w:pPr>
                </w:p>
              </w:tc>
              <w:tc>
                <w:tcPr>
                  <w:tcW w:w="735" w:type="dxa"/>
                  <w:vMerge w:val="continue"/>
                  <w:tcBorders>
                    <w:left w:val="single" w:color="auto" w:sz="4" w:space="0"/>
                    <w:bottom w:val="single" w:color="auto" w:sz="12" w:space="0"/>
                    <w:right w:val="single" w:color="auto" w:sz="4" w:space="0"/>
                  </w:tcBorders>
                  <w:vAlign w:val="center"/>
                </w:tcPr>
                <w:p w14:paraId="1ABB63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highlight w:val="none"/>
                      <w:u w:val="none" w:color="auto"/>
                      <w:vertAlign w:val="baseline"/>
                      <w:lang w:val="en-US" w:eastAsia="zh-CN"/>
                    </w:rPr>
                  </w:pPr>
                </w:p>
              </w:tc>
              <w:tc>
                <w:tcPr>
                  <w:tcW w:w="1155" w:type="dxa"/>
                  <w:vMerge w:val="continue"/>
                  <w:tcBorders>
                    <w:left w:val="single" w:color="auto" w:sz="4" w:space="0"/>
                    <w:bottom w:val="single" w:color="auto" w:sz="12" w:space="0"/>
                    <w:right w:val="single" w:color="auto" w:sz="4" w:space="0"/>
                  </w:tcBorders>
                  <w:vAlign w:val="center"/>
                </w:tcPr>
                <w:p w14:paraId="031F754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highlight w:val="none"/>
                      <w:u w:val="none" w:color="auto"/>
                      <w:vertAlign w:val="baseline"/>
                      <w:lang w:val="en-US" w:eastAsia="zh-CN"/>
                    </w:rPr>
                  </w:pPr>
                </w:p>
              </w:tc>
              <w:tc>
                <w:tcPr>
                  <w:tcW w:w="742" w:type="dxa"/>
                  <w:vMerge w:val="continue"/>
                  <w:tcBorders>
                    <w:left w:val="single" w:color="auto" w:sz="4" w:space="0"/>
                    <w:bottom w:val="single" w:color="auto" w:sz="12" w:space="0"/>
                    <w:right w:val="single" w:color="auto" w:sz="4" w:space="0"/>
                  </w:tcBorders>
                  <w:vAlign w:val="center"/>
                </w:tcPr>
                <w:p w14:paraId="37CB2D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highlight w:val="none"/>
                      <w:u w:val="none" w:color="auto"/>
                      <w:vertAlign w:val="baseline"/>
                      <w:lang w:val="en-US" w:eastAsia="zh-CN"/>
                    </w:rPr>
                  </w:pPr>
                </w:p>
              </w:tc>
              <w:tc>
                <w:tcPr>
                  <w:tcW w:w="1380" w:type="dxa"/>
                  <w:tcBorders>
                    <w:left w:val="single" w:color="auto" w:sz="4" w:space="0"/>
                    <w:bottom w:val="single" w:color="auto" w:sz="12" w:space="0"/>
                    <w:right w:val="single" w:color="auto" w:sz="4" w:space="0"/>
                  </w:tcBorders>
                  <w:vAlign w:val="center"/>
                </w:tcPr>
                <w:p w14:paraId="0FD5F07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总氮</w:t>
                  </w:r>
                </w:p>
              </w:tc>
              <w:tc>
                <w:tcPr>
                  <w:tcW w:w="1260" w:type="dxa"/>
                  <w:tcBorders>
                    <w:left w:val="single" w:color="auto" w:sz="4" w:space="0"/>
                    <w:bottom w:val="single" w:color="auto" w:sz="12" w:space="0"/>
                    <w:right w:val="single" w:color="auto" w:sz="4" w:space="0"/>
                  </w:tcBorders>
                  <w:vAlign w:val="center"/>
                </w:tcPr>
                <w:p w14:paraId="66954CF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克/吨-原料</w:t>
                  </w:r>
                </w:p>
              </w:tc>
              <w:tc>
                <w:tcPr>
                  <w:tcW w:w="1200" w:type="dxa"/>
                  <w:tcBorders>
                    <w:left w:val="single" w:color="auto" w:sz="4" w:space="0"/>
                    <w:bottom w:val="single" w:color="auto" w:sz="12" w:space="0"/>
                    <w:right w:val="single" w:color="auto" w:sz="4" w:space="0"/>
                  </w:tcBorders>
                  <w:vAlign w:val="center"/>
                </w:tcPr>
                <w:p w14:paraId="289C94B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4.31×10</w:t>
                  </w:r>
                  <w:r>
                    <w:rPr>
                      <w:rFonts w:hint="eastAsia" w:ascii="Times New Roman" w:hAnsi="Times New Roman" w:eastAsia="宋体" w:cs="Times New Roman"/>
                      <w:color w:val="auto"/>
                      <w:kern w:val="0"/>
                      <w:sz w:val="21"/>
                      <w:szCs w:val="21"/>
                      <w:highlight w:val="none"/>
                      <w:u w:val="none" w:color="auto"/>
                      <w:vertAlign w:val="superscript"/>
                      <w:lang w:val="en-US" w:eastAsia="zh-CN"/>
                    </w:rPr>
                    <w:t>3</w:t>
                  </w:r>
                </w:p>
              </w:tc>
              <w:tc>
                <w:tcPr>
                  <w:tcW w:w="843" w:type="dxa"/>
                  <w:tcBorders>
                    <w:left w:val="single" w:color="auto" w:sz="4" w:space="0"/>
                    <w:bottom w:val="single" w:color="auto" w:sz="12" w:space="0"/>
                    <w:right w:val="single" w:color="auto" w:sz="12" w:space="0"/>
                  </w:tcBorders>
                  <w:vAlign w:val="center"/>
                </w:tcPr>
                <w:p w14:paraId="5D32209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1.0</w:t>
                  </w:r>
                </w:p>
              </w:tc>
            </w:tr>
          </w:tbl>
          <w:p w14:paraId="7FECB929">
            <w:pPr>
              <w:adjustRightInd w:val="0"/>
              <w:snapToGrid w:val="0"/>
              <w:spacing w:line="360" w:lineRule="auto"/>
              <w:ind w:firstLine="480" w:firstLineChars="200"/>
              <w:rPr>
                <w:rFonts w:hint="default" w:ascii="Times New Roman" w:hAnsi="Times New Roman" w:eastAsia="宋体"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由上表折算出豆制品生产肺水肿COD产生浓度约为4868.9mg/L，氨氮产生浓度为77.5mg/L，总氮产生浓度为161.4mg/L。</w:t>
            </w:r>
          </w:p>
          <w:p w14:paraId="3A7C209C">
            <w:pPr>
              <w:adjustRightInd w:val="0"/>
              <w:snapToGrid w:val="0"/>
              <w:spacing w:line="360" w:lineRule="auto"/>
              <w:ind w:firstLine="480" w:firstLineChars="200"/>
              <w:rPr>
                <w:rFonts w:hint="default" w:ascii="Times New Roman" w:hAnsi="Times New Roman" w:eastAsia="宋体" w:cs="Times New Roman"/>
                <w:color w:val="auto"/>
                <w:kern w:val="0"/>
                <w:highlight w:val="none"/>
                <w:u w:val="none" w:color="auto"/>
                <w:lang w:val="en-US" w:eastAsia="zh-CN"/>
              </w:rPr>
            </w:pPr>
            <w:r>
              <w:rPr>
                <w:rFonts w:hint="default" w:ascii="Times New Roman" w:hAnsi="Times New Roman" w:eastAsia="宋体" w:cs="Times New Roman"/>
                <w:color w:val="auto"/>
                <w:kern w:val="0"/>
                <w:highlight w:val="none"/>
                <w:u w:val="none" w:color="auto"/>
                <w:lang w:val="en-US" w:eastAsia="zh-CN"/>
              </w:rPr>
              <w:t>根据《食品工业生产废水处理工艺及工程实例》（左金龙主编）可知，一般的食品废水的BOD</w:t>
            </w:r>
            <w:r>
              <w:rPr>
                <w:rFonts w:hint="default" w:ascii="Times New Roman" w:hAnsi="Times New Roman" w:eastAsia="宋体" w:cs="Times New Roman"/>
                <w:color w:val="auto"/>
                <w:kern w:val="0"/>
                <w:highlight w:val="none"/>
                <w:u w:val="none" w:color="auto"/>
                <w:vertAlign w:val="subscript"/>
                <w:lang w:val="en-US" w:eastAsia="zh-CN"/>
              </w:rPr>
              <w:t>5</w:t>
            </w:r>
            <w:r>
              <w:rPr>
                <w:rFonts w:hint="default" w:ascii="Times New Roman" w:hAnsi="Times New Roman" w:eastAsia="宋体" w:cs="Times New Roman"/>
                <w:color w:val="auto"/>
                <w:kern w:val="0"/>
                <w:highlight w:val="none"/>
                <w:u w:val="none" w:color="auto"/>
                <w:lang w:val="en-US" w:eastAsia="zh-CN"/>
              </w:rPr>
              <w:t>/COD</w:t>
            </w:r>
            <w:r>
              <w:rPr>
                <w:rFonts w:hint="default" w:ascii="Times New Roman" w:hAnsi="Times New Roman" w:eastAsia="宋体" w:cs="Times New Roman"/>
                <w:color w:val="auto"/>
                <w:kern w:val="0"/>
                <w:highlight w:val="none"/>
                <w:u w:val="none" w:color="auto"/>
                <w:vertAlign w:val="subscript"/>
                <w:lang w:val="en-US" w:eastAsia="zh-CN"/>
              </w:rPr>
              <w:t>Cr</w:t>
            </w:r>
            <w:r>
              <w:rPr>
                <w:rFonts w:hint="default" w:ascii="Times New Roman" w:hAnsi="Times New Roman" w:eastAsia="宋体" w:cs="Times New Roman"/>
                <w:color w:val="auto"/>
                <w:kern w:val="0"/>
                <w:highlight w:val="none"/>
                <w:u w:val="none" w:color="auto"/>
                <w:lang w:val="en-US" w:eastAsia="zh-CN"/>
              </w:rPr>
              <w:t>大于0.4，项目取0.4，则BOD</w:t>
            </w:r>
            <w:r>
              <w:rPr>
                <w:rFonts w:hint="default" w:ascii="Times New Roman" w:hAnsi="Times New Roman" w:eastAsia="宋体" w:cs="Times New Roman"/>
                <w:color w:val="auto"/>
                <w:kern w:val="0"/>
                <w:highlight w:val="none"/>
                <w:u w:val="none" w:color="auto"/>
                <w:vertAlign w:val="subscript"/>
                <w:lang w:val="en-US" w:eastAsia="zh-CN"/>
              </w:rPr>
              <w:t>5</w:t>
            </w:r>
            <w:r>
              <w:rPr>
                <w:rFonts w:hint="default" w:ascii="Times New Roman" w:hAnsi="Times New Roman" w:eastAsia="宋体" w:cs="Times New Roman"/>
                <w:color w:val="auto"/>
                <w:kern w:val="0"/>
                <w:highlight w:val="none"/>
                <w:u w:val="none" w:color="auto"/>
                <w:lang w:val="en-US" w:eastAsia="zh-CN"/>
              </w:rPr>
              <w:t>的浓度约为1947.6mg/L。</w:t>
            </w:r>
          </w:p>
          <w:p w14:paraId="0B0C4C39">
            <w:pPr>
              <w:adjustRightInd w:val="0"/>
              <w:snapToGrid w:val="0"/>
              <w:spacing w:line="360" w:lineRule="auto"/>
              <w:ind w:firstLine="480" w:firstLineChars="200"/>
              <w:rPr>
                <w:rFonts w:hint="default" w:ascii="Times New Roman" w:hAnsi="Times New Roman" w:eastAsia="宋体" w:cs="Times New Roman"/>
                <w:color w:val="auto"/>
                <w:kern w:val="0"/>
                <w:highlight w:val="none"/>
                <w:u w:val="none" w:color="auto"/>
                <w:lang w:val="en-US" w:eastAsia="zh-CN"/>
              </w:rPr>
            </w:pPr>
            <w:r>
              <w:rPr>
                <w:rFonts w:hint="eastAsia" w:ascii="Times New Roman" w:hAnsi="Times New Roman" w:eastAsia="宋体" w:cs="Times New Roman"/>
                <w:color w:val="auto"/>
                <w:kern w:val="0"/>
                <w:highlight w:val="none"/>
                <w:u w:val="none" w:color="auto"/>
                <w:lang w:val="en-US" w:eastAsia="zh-CN"/>
              </w:rPr>
              <w:t>《广州泉润食品有限公司年产 5500 吨豆制品迁建项目》（穗南审批环评[2021]104 号），该项目与本项目均生产豆制品，原料为黄豆、黑豆、食用油、食用石膏等，生产工艺为清洗—浸泡—磨浆—浆渣分离—煮浆—破脑、打花/调味、杀菌—放花—压制成型—包装，其生产工艺、原材料和废水来源相似，具有可类比性，该项目委托广东海能检测有限公司于2021年7月6日和7月7日连续两天对满负荷生产工况下生产废水的产排情况进行检测（检测报告编号：HN20210712011），悬浮物、总磷、动植物油检测的结果最大值分别为 312mg/L、19mg/L和0.8mg/L。本项目涉及炸豆腐，动植物油按20mg/L计。</w:t>
            </w:r>
          </w:p>
          <w:p w14:paraId="732C8831">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color w:val="auto"/>
                <w:kern w:val="0"/>
                <w:highlight w:val="none"/>
                <w:u w:val="none" w:color="auto"/>
                <w:lang w:val="en-US" w:eastAsia="zh-CN"/>
              </w:rPr>
            </w:pPr>
            <w:r>
              <w:rPr>
                <w:rFonts w:hint="eastAsia" w:ascii="Times New Roman" w:hAnsi="Times New Roman" w:eastAsia="宋体" w:cs="Times New Roman"/>
                <w:b/>
                <w:bCs/>
                <w:color w:val="auto"/>
                <w:kern w:val="0"/>
                <w:sz w:val="21"/>
                <w:szCs w:val="21"/>
                <w:highlight w:val="none"/>
                <w:u w:val="none" w:color="auto"/>
                <w:lang w:val="en-US" w:eastAsia="zh-CN"/>
              </w:rPr>
              <w:t>表4-11 本项目豆制品生产废水产生情况一览表</w:t>
            </w:r>
          </w:p>
          <w:tbl>
            <w:tblPr>
              <w:tblStyle w:val="43"/>
              <w:tblW w:w="80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
              <w:gridCol w:w="889"/>
              <w:gridCol w:w="889"/>
              <w:gridCol w:w="889"/>
              <w:gridCol w:w="890"/>
              <w:gridCol w:w="890"/>
              <w:gridCol w:w="890"/>
              <w:gridCol w:w="890"/>
              <w:gridCol w:w="890"/>
            </w:tblGrid>
            <w:tr w14:paraId="54C4C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tcBorders>
                    <w:top w:val="single" w:color="auto" w:sz="12" w:space="0"/>
                  </w:tcBorders>
                  <w:vAlign w:val="center"/>
                </w:tcPr>
                <w:p w14:paraId="30CB55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废水类型</w:t>
                  </w:r>
                </w:p>
              </w:tc>
              <w:tc>
                <w:tcPr>
                  <w:tcW w:w="889" w:type="dxa"/>
                  <w:tcBorders>
                    <w:top w:val="single" w:color="auto" w:sz="12" w:space="0"/>
                  </w:tcBorders>
                  <w:vAlign w:val="center"/>
                </w:tcPr>
                <w:p w14:paraId="1A3A049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污染物</w:t>
                  </w:r>
                </w:p>
              </w:tc>
              <w:tc>
                <w:tcPr>
                  <w:tcW w:w="889" w:type="dxa"/>
                  <w:tcBorders>
                    <w:top w:val="single" w:color="auto" w:sz="12" w:space="0"/>
                  </w:tcBorders>
                  <w:vAlign w:val="center"/>
                </w:tcPr>
                <w:p w14:paraId="4EB2AD2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CODcr</w:t>
                  </w:r>
                </w:p>
              </w:tc>
              <w:tc>
                <w:tcPr>
                  <w:tcW w:w="889" w:type="dxa"/>
                  <w:tcBorders>
                    <w:top w:val="single" w:color="auto" w:sz="12" w:space="0"/>
                  </w:tcBorders>
                  <w:vAlign w:val="center"/>
                </w:tcPr>
                <w:p w14:paraId="43F7909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BOD</w:t>
                  </w:r>
                  <w:r>
                    <w:rPr>
                      <w:rFonts w:hint="eastAsia" w:ascii="Times New Roman" w:hAnsi="Times New Roman" w:eastAsia="宋体" w:cs="Times New Roman"/>
                      <w:color w:val="auto"/>
                      <w:kern w:val="0"/>
                      <w:sz w:val="21"/>
                      <w:szCs w:val="21"/>
                      <w:highlight w:val="none"/>
                      <w:u w:val="none" w:color="auto"/>
                      <w:vertAlign w:val="subscript"/>
                      <w:lang w:val="en-US" w:eastAsia="zh-CN"/>
                    </w:rPr>
                    <w:t>5</w:t>
                  </w:r>
                </w:p>
              </w:tc>
              <w:tc>
                <w:tcPr>
                  <w:tcW w:w="890" w:type="dxa"/>
                  <w:tcBorders>
                    <w:top w:val="single" w:color="auto" w:sz="12" w:space="0"/>
                  </w:tcBorders>
                  <w:vAlign w:val="center"/>
                </w:tcPr>
                <w:p w14:paraId="1B72880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氨氮</w:t>
                  </w:r>
                </w:p>
              </w:tc>
              <w:tc>
                <w:tcPr>
                  <w:tcW w:w="890" w:type="dxa"/>
                  <w:tcBorders>
                    <w:top w:val="single" w:color="auto" w:sz="12" w:space="0"/>
                  </w:tcBorders>
                  <w:vAlign w:val="center"/>
                </w:tcPr>
                <w:p w14:paraId="318E473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总氮</w:t>
                  </w:r>
                </w:p>
              </w:tc>
              <w:tc>
                <w:tcPr>
                  <w:tcW w:w="890" w:type="dxa"/>
                  <w:tcBorders>
                    <w:top w:val="single" w:color="auto" w:sz="12" w:space="0"/>
                  </w:tcBorders>
                  <w:vAlign w:val="center"/>
                </w:tcPr>
                <w:p w14:paraId="65C1F08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SS</w:t>
                  </w:r>
                </w:p>
              </w:tc>
              <w:tc>
                <w:tcPr>
                  <w:tcW w:w="890" w:type="dxa"/>
                  <w:tcBorders>
                    <w:top w:val="single" w:color="auto" w:sz="12" w:space="0"/>
                  </w:tcBorders>
                  <w:vAlign w:val="center"/>
                </w:tcPr>
                <w:p w14:paraId="50F6EA5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总磷</w:t>
                  </w:r>
                </w:p>
              </w:tc>
              <w:tc>
                <w:tcPr>
                  <w:tcW w:w="890" w:type="dxa"/>
                  <w:tcBorders>
                    <w:top w:val="single" w:color="auto" w:sz="12" w:space="0"/>
                    <w:right w:val="single" w:color="auto" w:sz="12" w:space="0"/>
                  </w:tcBorders>
                  <w:vAlign w:val="center"/>
                </w:tcPr>
                <w:p w14:paraId="7374F6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动植物油</w:t>
                  </w:r>
                </w:p>
              </w:tc>
            </w:tr>
            <w:tr w14:paraId="3E10D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Merge w:val="restart"/>
                  <w:tcBorders>
                    <w:left w:val="single" w:color="auto" w:sz="4" w:space="0"/>
                  </w:tcBorders>
                  <w:vAlign w:val="center"/>
                </w:tcPr>
                <w:p w14:paraId="1601D08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生产废水</w:t>
                  </w:r>
                  <w:r>
                    <w:rPr>
                      <w:rFonts w:hint="eastAsia" w:cs="Times New Roman"/>
                      <w:color w:val="auto"/>
                      <w:kern w:val="0"/>
                      <w:sz w:val="21"/>
                      <w:szCs w:val="21"/>
                      <w:highlight w:val="none"/>
                      <w:u w:val="none" w:color="auto"/>
                      <w:vertAlign w:val="baseline"/>
                      <w:lang w:val="en-US" w:eastAsia="zh-CN"/>
                    </w:rPr>
                    <w:t>11419.236</w:t>
                  </w:r>
                  <w:r>
                    <w:rPr>
                      <w:rFonts w:hint="eastAsia" w:ascii="Times New Roman" w:hAnsi="Times New Roman" w:eastAsia="宋体" w:cs="Times New Roman"/>
                      <w:color w:val="auto"/>
                      <w:kern w:val="0"/>
                      <w:sz w:val="21"/>
                      <w:szCs w:val="21"/>
                      <w:highlight w:val="none"/>
                      <w:u w:val="none" w:color="auto"/>
                      <w:vertAlign w:val="baseline"/>
                      <w:lang w:val="en-US" w:eastAsia="zh-CN"/>
                    </w:rPr>
                    <w:t>t/a</w:t>
                  </w:r>
                </w:p>
              </w:tc>
              <w:tc>
                <w:tcPr>
                  <w:tcW w:w="889" w:type="dxa"/>
                  <w:vAlign w:val="center"/>
                </w:tcPr>
                <w:p w14:paraId="00F3F2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产生浓度（mg/L）</w:t>
                  </w:r>
                </w:p>
              </w:tc>
              <w:tc>
                <w:tcPr>
                  <w:tcW w:w="889" w:type="dxa"/>
                  <w:vAlign w:val="center"/>
                </w:tcPr>
                <w:p w14:paraId="55E4633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4868.9</w:t>
                  </w:r>
                </w:p>
              </w:tc>
              <w:tc>
                <w:tcPr>
                  <w:tcW w:w="889" w:type="dxa"/>
                  <w:vAlign w:val="center"/>
                </w:tcPr>
                <w:p w14:paraId="2AD0907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1947.6</w:t>
                  </w:r>
                </w:p>
              </w:tc>
              <w:tc>
                <w:tcPr>
                  <w:tcW w:w="890" w:type="dxa"/>
                  <w:vAlign w:val="center"/>
                </w:tcPr>
                <w:p w14:paraId="36BA6F7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77.5</w:t>
                  </w:r>
                </w:p>
              </w:tc>
              <w:tc>
                <w:tcPr>
                  <w:tcW w:w="890" w:type="dxa"/>
                  <w:vAlign w:val="center"/>
                </w:tcPr>
                <w:p w14:paraId="07079BB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161.4</w:t>
                  </w:r>
                </w:p>
              </w:tc>
              <w:tc>
                <w:tcPr>
                  <w:tcW w:w="890" w:type="dxa"/>
                  <w:vAlign w:val="center"/>
                </w:tcPr>
                <w:p w14:paraId="2FC5AC6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312</w:t>
                  </w:r>
                </w:p>
              </w:tc>
              <w:tc>
                <w:tcPr>
                  <w:tcW w:w="890" w:type="dxa"/>
                  <w:vAlign w:val="center"/>
                </w:tcPr>
                <w:p w14:paraId="5E0EBCF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19</w:t>
                  </w:r>
                </w:p>
              </w:tc>
              <w:tc>
                <w:tcPr>
                  <w:tcW w:w="890" w:type="dxa"/>
                  <w:tcBorders>
                    <w:right w:val="single" w:color="auto" w:sz="12" w:space="0"/>
                  </w:tcBorders>
                  <w:vAlign w:val="center"/>
                </w:tcPr>
                <w:p w14:paraId="1E1F277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20</w:t>
                  </w:r>
                </w:p>
              </w:tc>
            </w:tr>
            <w:tr w14:paraId="3D125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Merge w:val="continue"/>
                  <w:tcBorders>
                    <w:left w:val="single" w:color="auto" w:sz="4" w:space="0"/>
                    <w:bottom w:val="single" w:color="auto" w:sz="12" w:space="0"/>
                  </w:tcBorders>
                  <w:vAlign w:val="center"/>
                </w:tcPr>
                <w:p w14:paraId="2B4ACD2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p>
              </w:tc>
              <w:tc>
                <w:tcPr>
                  <w:tcW w:w="889" w:type="dxa"/>
                  <w:tcBorders>
                    <w:bottom w:val="single" w:color="auto" w:sz="12" w:space="0"/>
                  </w:tcBorders>
                  <w:vAlign w:val="center"/>
                </w:tcPr>
                <w:p w14:paraId="086FCBC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产生量（t/a）</w:t>
                  </w:r>
                </w:p>
              </w:tc>
              <w:tc>
                <w:tcPr>
                  <w:tcW w:w="889" w:type="dxa"/>
                  <w:tcBorders>
                    <w:bottom w:val="single" w:color="auto" w:sz="12" w:space="0"/>
                  </w:tcBorders>
                  <w:vAlign w:val="center"/>
                </w:tcPr>
                <w:p w14:paraId="60AC37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55.599</w:t>
                  </w:r>
                </w:p>
              </w:tc>
              <w:tc>
                <w:tcPr>
                  <w:tcW w:w="889" w:type="dxa"/>
                  <w:tcBorders>
                    <w:bottom w:val="single" w:color="auto" w:sz="12" w:space="0"/>
                  </w:tcBorders>
                  <w:vAlign w:val="center"/>
                </w:tcPr>
                <w:p w14:paraId="4E3CC5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22.240</w:t>
                  </w:r>
                </w:p>
              </w:tc>
              <w:tc>
                <w:tcPr>
                  <w:tcW w:w="890" w:type="dxa"/>
                  <w:tcBorders>
                    <w:bottom w:val="single" w:color="auto" w:sz="12" w:space="0"/>
                  </w:tcBorders>
                  <w:vAlign w:val="center"/>
                </w:tcPr>
                <w:p w14:paraId="06B3805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0.885</w:t>
                  </w:r>
                </w:p>
              </w:tc>
              <w:tc>
                <w:tcPr>
                  <w:tcW w:w="890" w:type="dxa"/>
                  <w:tcBorders>
                    <w:bottom w:val="single" w:color="auto" w:sz="12" w:space="0"/>
                  </w:tcBorders>
                  <w:vAlign w:val="center"/>
                </w:tcPr>
                <w:p w14:paraId="064BC6F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1.843</w:t>
                  </w:r>
                </w:p>
              </w:tc>
              <w:tc>
                <w:tcPr>
                  <w:tcW w:w="890" w:type="dxa"/>
                  <w:tcBorders>
                    <w:bottom w:val="single" w:color="auto" w:sz="12" w:space="0"/>
                  </w:tcBorders>
                  <w:vAlign w:val="center"/>
                </w:tcPr>
                <w:p w14:paraId="1488D3C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3.563</w:t>
                  </w:r>
                </w:p>
              </w:tc>
              <w:tc>
                <w:tcPr>
                  <w:tcW w:w="890" w:type="dxa"/>
                  <w:tcBorders>
                    <w:bottom w:val="single" w:color="auto" w:sz="12" w:space="0"/>
                  </w:tcBorders>
                  <w:vAlign w:val="center"/>
                </w:tcPr>
                <w:p w14:paraId="573E7AF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0.217</w:t>
                  </w:r>
                </w:p>
              </w:tc>
              <w:tc>
                <w:tcPr>
                  <w:tcW w:w="890" w:type="dxa"/>
                  <w:tcBorders>
                    <w:bottom w:val="single" w:color="auto" w:sz="12" w:space="0"/>
                    <w:right w:val="single" w:color="auto" w:sz="12" w:space="0"/>
                  </w:tcBorders>
                  <w:vAlign w:val="center"/>
                </w:tcPr>
                <w:p w14:paraId="4A57B3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0.228</w:t>
                  </w:r>
                </w:p>
              </w:tc>
            </w:tr>
          </w:tbl>
          <w:p w14:paraId="206327CA">
            <w:pPr>
              <w:adjustRightInd w:val="0"/>
              <w:snapToGrid w:val="0"/>
              <w:spacing w:line="360" w:lineRule="auto"/>
              <w:ind w:firstLine="480" w:firstLineChars="200"/>
              <w:rPr>
                <w:rFonts w:hint="default" w:ascii="Times New Roman" w:hAnsi="Times New Roman" w:eastAsia="宋体" w:cs="Times New Roman"/>
                <w:color w:val="auto"/>
                <w:kern w:val="0"/>
                <w:highlight w:val="none"/>
                <w:u w:val="none" w:color="auto"/>
                <w:lang w:val="en-US" w:eastAsia="zh-CN"/>
              </w:rPr>
            </w:pPr>
            <w:r>
              <w:rPr>
                <w:rFonts w:hint="eastAsia" w:ascii="Times New Roman" w:hAnsi="Times New Roman" w:eastAsia="宋体" w:cs="Times New Roman"/>
                <w:color w:val="auto"/>
                <w:kern w:val="0"/>
                <w:highlight w:val="none"/>
                <w:u w:val="none" w:color="auto"/>
                <w:lang w:val="en-US" w:eastAsia="zh-CN"/>
              </w:rPr>
              <w:t>2）肉制品生产废水</w:t>
            </w:r>
          </w:p>
          <w:p w14:paraId="43920881">
            <w:pPr>
              <w:adjustRightInd w:val="0"/>
              <w:snapToGrid w:val="0"/>
              <w:spacing w:line="360" w:lineRule="auto"/>
              <w:ind w:firstLine="480" w:firstLineChars="200"/>
              <w:rPr>
                <w:rFonts w:hint="default" w:ascii="Times New Roman" w:hAnsi="Times New Roman" w:eastAsia="宋体"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①肉类解冻废水</w:t>
            </w:r>
          </w:p>
          <w:p w14:paraId="3C949A46">
            <w:pPr>
              <w:adjustRightInd w:val="0"/>
              <w:snapToGrid w:val="0"/>
              <w:spacing w:line="360" w:lineRule="auto"/>
              <w:ind w:firstLine="480" w:firstLineChars="200"/>
              <w:rPr>
                <w:rFonts w:hint="default" w:ascii="Times New Roman" w:hAnsi="Times New Roman" w:eastAsia="宋体"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项目产生的解冻废水量为31.5t/a，0.11t/d。</w:t>
            </w:r>
          </w:p>
          <w:p w14:paraId="3587B056">
            <w:pPr>
              <w:adjustRightInd w:val="0"/>
              <w:snapToGrid w:val="0"/>
              <w:spacing w:line="360" w:lineRule="auto"/>
              <w:ind w:firstLine="480" w:firstLineChars="200"/>
              <w:rPr>
                <w:rFonts w:hint="default" w:ascii="Times New Roman" w:hAnsi="Times New Roman" w:eastAsia="宋体"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②原料清洗废水</w:t>
            </w:r>
          </w:p>
          <w:p w14:paraId="66665B8D">
            <w:pPr>
              <w:adjustRightInd w:val="0"/>
              <w:snapToGrid w:val="0"/>
              <w:spacing w:line="360" w:lineRule="auto"/>
              <w:ind w:firstLine="480" w:firstLineChars="200"/>
              <w:rPr>
                <w:rFonts w:hint="default" w:ascii="Times New Roman" w:hAnsi="Times New Roman" w:eastAsia="宋体"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肉类制品解冻后进行清洗，清洗废水产生量为2520t/a，9t/d。</w:t>
            </w:r>
          </w:p>
          <w:p w14:paraId="4737A3B9">
            <w:pPr>
              <w:adjustRightInd w:val="0"/>
              <w:snapToGrid w:val="0"/>
              <w:spacing w:line="360" w:lineRule="auto"/>
              <w:ind w:firstLine="480" w:firstLineChars="200"/>
              <w:rPr>
                <w:rFonts w:hint="default" w:ascii="Times New Roman" w:hAnsi="Times New Roman" w:eastAsia="宋体"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③产品添加用水</w:t>
            </w:r>
          </w:p>
          <w:p w14:paraId="1775FA95">
            <w:pPr>
              <w:adjustRightInd w:val="0"/>
              <w:snapToGrid w:val="0"/>
              <w:spacing w:line="360" w:lineRule="auto"/>
              <w:ind w:firstLine="480" w:firstLineChars="200"/>
              <w:rPr>
                <w:rFonts w:hint="default"/>
                <w:color w:val="auto"/>
                <w:lang w:val="en-US" w:eastAsia="zh-CN"/>
              </w:rPr>
            </w:pPr>
            <w:r>
              <w:rPr>
                <w:rFonts w:hint="eastAsia" w:cs="Times New Roman"/>
                <w:color w:val="auto"/>
                <w:kern w:val="0"/>
                <w:highlight w:val="none"/>
                <w:u w:val="none" w:color="auto"/>
                <w:lang w:val="en-US" w:eastAsia="zh-CN"/>
              </w:rPr>
              <w:t>本项目斩拌及配料腌制过程需添加水，该部分水直接进入产品，无废水产生。</w:t>
            </w:r>
          </w:p>
          <w:p w14:paraId="148FCF1F">
            <w:pPr>
              <w:adjustRightInd w:val="0"/>
              <w:snapToGrid w:val="0"/>
              <w:spacing w:line="360" w:lineRule="auto"/>
              <w:ind w:firstLine="480" w:firstLineChars="200"/>
              <w:rPr>
                <w:rFonts w:hint="default" w:ascii="Times New Roman" w:hAnsi="Times New Roman" w:eastAsia="宋体"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④设备清洗废水</w:t>
            </w:r>
          </w:p>
          <w:p w14:paraId="184F2DDF">
            <w:pPr>
              <w:adjustRightInd w:val="0"/>
              <w:snapToGrid w:val="0"/>
              <w:spacing w:line="360" w:lineRule="auto"/>
              <w:ind w:firstLine="480" w:firstLineChars="200"/>
              <w:rPr>
                <w:rFonts w:hint="default" w:ascii="Times New Roman" w:hAnsi="Times New Roman" w:eastAsia="宋体"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设备清洗废水产生量为672t/a，2.4t/d。</w:t>
            </w:r>
          </w:p>
          <w:p w14:paraId="0A8A1C0F">
            <w:pPr>
              <w:adjustRightInd w:val="0"/>
              <w:snapToGrid w:val="0"/>
              <w:spacing w:line="360" w:lineRule="auto"/>
              <w:ind w:firstLine="480" w:firstLineChars="200"/>
              <w:rPr>
                <w:rFonts w:hint="default" w:ascii="Times New Roman" w:hAnsi="Times New Roman" w:eastAsia="宋体"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⑤车间地面清洗废水</w:t>
            </w:r>
          </w:p>
          <w:p w14:paraId="11961C8D">
            <w:pPr>
              <w:adjustRightInd w:val="0"/>
              <w:snapToGrid w:val="0"/>
              <w:spacing w:line="360" w:lineRule="auto"/>
              <w:ind w:firstLine="480" w:firstLineChars="200"/>
              <w:rPr>
                <w:rFonts w:hint="default" w:ascii="Times New Roman" w:hAnsi="Times New Roman" w:eastAsia="宋体"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肉制品生产车间地面需每天清洗，清洗废水产生量为655.2t/a，2.34t/d。</w:t>
            </w:r>
          </w:p>
          <w:p w14:paraId="28393CD2">
            <w:pPr>
              <w:adjustRightInd w:val="0"/>
              <w:snapToGrid w:val="0"/>
              <w:spacing w:line="360" w:lineRule="auto"/>
              <w:ind w:firstLine="480" w:firstLineChars="200"/>
              <w:rPr>
                <w:rFonts w:hint="default" w:ascii="Times New Roman" w:hAnsi="Times New Roman" w:eastAsia="宋体"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综上所述，本项目肉制品生产废水产生量为3878.7t/a，13.85t/d。</w:t>
            </w:r>
          </w:p>
          <w:p w14:paraId="797D356F">
            <w:pPr>
              <w:adjustRightInd w:val="0"/>
              <w:snapToGrid w:val="0"/>
              <w:spacing w:line="360" w:lineRule="auto"/>
              <w:ind w:firstLine="480" w:firstLineChars="200"/>
              <w:rPr>
                <w:rFonts w:hint="default" w:ascii="Times New Roman" w:hAnsi="Times New Roman" w:eastAsia="宋体"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⑥废水水质情况</w:t>
            </w:r>
          </w:p>
          <w:p w14:paraId="6445296B">
            <w:pPr>
              <w:adjustRightInd w:val="0"/>
              <w:snapToGrid w:val="0"/>
              <w:spacing w:line="360" w:lineRule="auto"/>
              <w:ind w:firstLine="480" w:firstLineChars="200"/>
              <w:rPr>
                <w:rFonts w:hint="default" w:ascii="Times New Roman" w:hAnsi="Times New Roman" w:eastAsia="宋体"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肉制品生产废水主要污染物为CODcr、BOD5、SS、氨氮、总氮、总磷和动植物油。</w:t>
            </w:r>
          </w:p>
          <w:p w14:paraId="269A2E04">
            <w:pPr>
              <w:adjustRightInd w:val="0"/>
              <w:snapToGrid w:val="0"/>
              <w:spacing w:line="360" w:lineRule="auto"/>
              <w:ind w:firstLine="480" w:firstLineChars="200"/>
              <w:rPr>
                <w:rFonts w:hint="default" w:ascii="Times New Roman" w:hAnsi="Times New Roman" w:eastAsia="宋体" w:cs="Times New Roman"/>
                <w:color w:val="auto"/>
                <w:kern w:val="0"/>
                <w:highlight w:val="none"/>
                <w:u w:val="none" w:color="auto"/>
                <w:lang w:val="en-US" w:eastAsia="zh-CN"/>
              </w:rPr>
            </w:pPr>
            <w:r>
              <w:rPr>
                <w:rFonts w:hint="default" w:ascii="Times New Roman" w:hAnsi="Times New Roman" w:eastAsia="宋体" w:cs="Times New Roman"/>
                <w:color w:val="auto"/>
                <w:kern w:val="0"/>
                <w:highlight w:val="none"/>
                <w:u w:val="none" w:color="auto"/>
                <w:lang w:val="en-US" w:eastAsia="zh-CN"/>
              </w:rPr>
              <w:t>CODcr、</w:t>
            </w:r>
            <w:r>
              <w:rPr>
                <w:rFonts w:hint="eastAsia" w:cs="Times New Roman"/>
                <w:color w:val="auto"/>
                <w:kern w:val="0"/>
                <w:highlight w:val="none"/>
                <w:u w:val="none" w:color="auto"/>
                <w:lang w:val="en-US" w:eastAsia="zh-CN"/>
              </w:rPr>
              <w:t>氨氮、总氮、总磷排放浓度参照</w:t>
            </w:r>
            <w:r>
              <w:rPr>
                <w:rFonts w:hint="default" w:ascii="Times New Roman" w:hAnsi="Times New Roman" w:eastAsia="宋体" w:cs="Times New Roman"/>
                <w:color w:val="auto"/>
                <w:kern w:val="0"/>
                <w:highlight w:val="none"/>
                <w:u w:val="none" w:color="auto"/>
                <w:lang w:val="en-US" w:eastAsia="zh-CN"/>
              </w:rPr>
              <w:t>《排放源统计调查产排污核算方法和系数手册》</w:t>
            </w:r>
            <w:r>
              <w:rPr>
                <w:rFonts w:hint="eastAsia" w:ascii="Times New Roman" w:hAnsi="Times New Roman" w:eastAsia="宋体" w:cs="Times New Roman"/>
                <w:color w:val="auto"/>
                <w:kern w:val="0"/>
                <w:highlight w:val="none"/>
                <w:u w:val="none" w:color="auto"/>
                <w:lang w:val="en-US" w:eastAsia="zh-CN"/>
              </w:rPr>
              <w:t>135屠宰及肉类加工行业</w:t>
            </w:r>
            <w:r>
              <w:rPr>
                <w:rFonts w:hint="default" w:ascii="Times New Roman" w:hAnsi="Times New Roman" w:eastAsia="宋体" w:cs="Times New Roman"/>
                <w:color w:val="auto"/>
                <w:kern w:val="0"/>
                <w:highlight w:val="none"/>
                <w:u w:val="none" w:color="auto"/>
                <w:lang w:val="en-US" w:eastAsia="zh-CN"/>
              </w:rPr>
              <w:t>系数手册</w:t>
            </w:r>
            <w:r>
              <w:rPr>
                <w:rFonts w:hint="eastAsia" w:cs="Times New Roman"/>
                <w:color w:val="auto"/>
                <w:kern w:val="0"/>
                <w:highlight w:val="none"/>
                <w:u w:val="none" w:color="auto"/>
                <w:lang w:val="en-US" w:eastAsia="zh-CN"/>
              </w:rPr>
              <w:t>，具体</w:t>
            </w:r>
            <w:r>
              <w:rPr>
                <w:rFonts w:hint="default" w:ascii="Times New Roman" w:hAnsi="Times New Roman" w:eastAsia="宋体" w:cs="Times New Roman"/>
                <w:color w:val="auto"/>
                <w:kern w:val="0"/>
                <w:highlight w:val="none"/>
                <w:u w:val="none" w:color="auto"/>
                <w:lang w:val="en-US" w:eastAsia="zh-CN"/>
              </w:rPr>
              <w:t>如下。</w:t>
            </w:r>
          </w:p>
          <w:p w14:paraId="76316EA0">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auto"/>
                <w:kern w:val="0"/>
                <w:highlight w:val="none"/>
                <w:u w:val="none" w:color="auto"/>
                <w:lang w:val="en-US" w:eastAsia="zh-CN"/>
              </w:rPr>
            </w:pPr>
            <w:r>
              <w:rPr>
                <w:rFonts w:hint="default" w:ascii="Times New Roman" w:hAnsi="Times New Roman" w:eastAsia="宋体" w:cs="Times New Roman"/>
                <w:b/>
                <w:bCs/>
                <w:color w:val="auto"/>
                <w:kern w:val="0"/>
                <w:sz w:val="21"/>
                <w:szCs w:val="21"/>
                <w:highlight w:val="none"/>
                <w:u w:val="none" w:color="auto"/>
                <w:lang w:val="en-US" w:eastAsia="zh-CN"/>
              </w:rPr>
              <w:t>表4-1</w:t>
            </w:r>
            <w:r>
              <w:rPr>
                <w:rFonts w:hint="eastAsia" w:ascii="Times New Roman" w:hAnsi="Times New Roman" w:eastAsia="宋体" w:cs="Times New Roman"/>
                <w:b/>
                <w:bCs/>
                <w:color w:val="auto"/>
                <w:kern w:val="0"/>
                <w:sz w:val="21"/>
                <w:szCs w:val="21"/>
                <w:highlight w:val="none"/>
                <w:u w:val="none" w:color="auto"/>
                <w:lang w:val="en-US" w:eastAsia="zh-CN"/>
              </w:rPr>
              <w:t>2</w:t>
            </w:r>
            <w:r>
              <w:rPr>
                <w:rFonts w:hint="default" w:ascii="Times New Roman" w:hAnsi="Times New Roman" w:eastAsia="宋体" w:cs="Times New Roman"/>
                <w:b/>
                <w:bCs/>
                <w:color w:val="auto"/>
                <w:kern w:val="0"/>
                <w:sz w:val="21"/>
                <w:szCs w:val="21"/>
                <w:highlight w:val="none"/>
                <w:u w:val="none" w:color="auto"/>
                <w:lang w:val="en-US" w:eastAsia="zh-CN"/>
              </w:rPr>
              <w:t xml:space="preserve"> </w:t>
            </w:r>
            <w:r>
              <w:rPr>
                <w:rFonts w:hint="eastAsia" w:ascii="Times New Roman" w:hAnsi="Times New Roman" w:eastAsia="宋体" w:cs="Times New Roman"/>
                <w:b/>
                <w:bCs/>
                <w:color w:val="auto"/>
                <w:kern w:val="0"/>
                <w:sz w:val="21"/>
                <w:szCs w:val="21"/>
                <w:highlight w:val="none"/>
                <w:u w:val="none" w:color="auto"/>
                <w:lang w:val="en-US" w:eastAsia="zh-CN"/>
              </w:rPr>
              <w:t>肉制品及副产品加工行业产物系数表</w:t>
            </w:r>
          </w:p>
          <w:tbl>
            <w:tblPr>
              <w:tblStyle w:val="43"/>
              <w:tblW w:w="796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945"/>
              <w:gridCol w:w="1065"/>
              <w:gridCol w:w="1065"/>
              <w:gridCol w:w="1530"/>
              <w:gridCol w:w="1455"/>
              <w:gridCol w:w="1215"/>
            </w:tblGrid>
            <w:tr w14:paraId="4DE3C7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1" w:type="dxa"/>
                  <w:tcBorders>
                    <w:top w:val="single" w:color="auto" w:sz="12" w:space="0"/>
                    <w:right w:val="single" w:color="auto" w:sz="4" w:space="0"/>
                  </w:tcBorders>
                  <w:vAlign w:val="center"/>
                </w:tcPr>
                <w:p w14:paraId="3B5EB15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产品名称</w:t>
                  </w:r>
                </w:p>
              </w:tc>
              <w:tc>
                <w:tcPr>
                  <w:tcW w:w="945" w:type="dxa"/>
                  <w:tcBorders>
                    <w:top w:val="single" w:color="auto" w:sz="12" w:space="0"/>
                    <w:left w:val="single" w:color="auto" w:sz="4" w:space="0"/>
                    <w:right w:val="single" w:color="auto" w:sz="4" w:space="0"/>
                  </w:tcBorders>
                  <w:vAlign w:val="center"/>
                </w:tcPr>
                <w:p w14:paraId="269B35F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原料名称</w:t>
                  </w:r>
                </w:p>
              </w:tc>
              <w:tc>
                <w:tcPr>
                  <w:tcW w:w="1065" w:type="dxa"/>
                  <w:tcBorders>
                    <w:top w:val="single" w:color="auto" w:sz="12" w:space="0"/>
                    <w:left w:val="single" w:color="auto" w:sz="4" w:space="0"/>
                    <w:right w:val="single" w:color="auto" w:sz="4" w:space="0"/>
                  </w:tcBorders>
                  <w:vAlign w:val="center"/>
                </w:tcPr>
                <w:p w14:paraId="6688D9F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工艺名称</w:t>
                  </w:r>
                </w:p>
              </w:tc>
              <w:tc>
                <w:tcPr>
                  <w:tcW w:w="1065" w:type="dxa"/>
                  <w:tcBorders>
                    <w:top w:val="single" w:color="auto" w:sz="12" w:space="0"/>
                    <w:left w:val="single" w:color="auto" w:sz="4" w:space="0"/>
                    <w:right w:val="single" w:color="auto" w:sz="4" w:space="0"/>
                  </w:tcBorders>
                  <w:vAlign w:val="center"/>
                </w:tcPr>
                <w:p w14:paraId="5E0828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规模等级</w:t>
                  </w:r>
                </w:p>
              </w:tc>
              <w:tc>
                <w:tcPr>
                  <w:tcW w:w="1530" w:type="dxa"/>
                  <w:tcBorders>
                    <w:top w:val="single" w:color="auto" w:sz="12" w:space="0"/>
                    <w:left w:val="single" w:color="auto" w:sz="4" w:space="0"/>
                    <w:right w:val="single" w:color="auto" w:sz="4" w:space="0"/>
                  </w:tcBorders>
                  <w:vAlign w:val="center"/>
                </w:tcPr>
                <w:p w14:paraId="4E96AA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污染物指标</w:t>
                  </w:r>
                </w:p>
              </w:tc>
              <w:tc>
                <w:tcPr>
                  <w:tcW w:w="1455" w:type="dxa"/>
                  <w:tcBorders>
                    <w:top w:val="single" w:color="auto" w:sz="12" w:space="0"/>
                    <w:left w:val="single" w:color="auto" w:sz="4" w:space="0"/>
                    <w:right w:val="single" w:color="auto" w:sz="4" w:space="0"/>
                  </w:tcBorders>
                  <w:vAlign w:val="center"/>
                </w:tcPr>
                <w:p w14:paraId="44E6B66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单位</w:t>
                  </w:r>
                </w:p>
              </w:tc>
              <w:tc>
                <w:tcPr>
                  <w:tcW w:w="1215" w:type="dxa"/>
                  <w:tcBorders>
                    <w:top w:val="single" w:color="auto" w:sz="12" w:space="0"/>
                    <w:left w:val="single" w:color="auto" w:sz="4" w:space="0"/>
                    <w:right w:val="single" w:color="auto" w:sz="4" w:space="0"/>
                  </w:tcBorders>
                  <w:vAlign w:val="center"/>
                </w:tcPr>
                <w:p w14:paraId="09124D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产物系数</w:t>
                  </w:r>
                </w:p>
              </w:tc>
            </w:tr>
            <w:tr w14:paraId="68297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1" w:type="dxa"/>
                  <w:vMerge w:val="restart"/>
                  <w:tcBorders>
                    <w:left w:val="single" w:color="auto" w:sz="4" w:space="0"/>
                    <w:right w:val="single" w:color="auto" w:sz="4" w:space="0"/>
                  </w:tcBorders>
                  <w:vAlign w:val="center"/>
                </w:tcPr>
                <w:p w14:paraId="749C7E6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肉灌肠</w:t>
                  </w:r>
                </w:p>
              </w:tc>
              <w:tc>
                <w:tcPr>
                  <w:tcW w:w="945" w:type="dxa"/>
                  <w:vMerge w:val="restart"/>
                  <w:tcBorders>
                    <w:left w:val="single" w:color="auto" w:sz="4" w:space="0"/>
                    <w:right w:val="single" w:color="auto" w:sz="4" w:space="0"/>
                  </w:tcBorders>
                  <w:vAlign w:val="center"/>
                </w:tcPr>
                <w:p w14:paraId="58B3F55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原料肉</w:t>
                  </w:r>
                </w:p>
              </w:tc>
              <w:tc>
                <w:tcPr>
                  <w:tcW w:w="1065" w:type="dxa"/>
                  <w:vMerge w:val="restart"/>
                  <w:tcBorders>
                    <w:left w:val="single" w:color="auto" w:sz="4" w:space="0"/>
                    <w:right w:val="single" w:color="auto" w:sz="4" w:space="0"/>
                  </w:tcBorders>
                  <w:vAlign w:val="center"/>
                </w:tcPr>
                <w:p w14:paraId="2CDAE27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西式肠加工</w:t>
                  </w:r>
                </w:p>
              </w:tc>
              <w:tc>
                <w:tcPr>
                  <w:tcW w:w="1065" w:type="dxa"/>
                  <w:vMerge w:val="restart"/>
                  <w:tcBorders>
                    <w:left w:val="single" w:color="auto" w:sz="4" w:space="0"/>
                    <w:right w:val="single" w:color="auto" w:sz="4" w:space="0"/>
                  </w:tcBorders>
                  <w:vAlign w:val="center"/>
                </w:tcPr>
                <w:p w14:paraId="262BDCD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所有规模</w:t>
                  </w:r>
                </w:p>
              </w:tc>
              <w:tc>
                <w:tcPr>
                  <w:tcW w:w="1530" w:type="dxa"/>
                  <w:tcBorders>
                    <w:left w:val="single" w:color="auto" w:sz="4" w:space="0"/>
                    <w:right w:val="single" w:color="auto" w:sz="4" w:space="0"/>
                  </w:tcBorders>
                  <w:vAlign w:val="center"/>
                </w:tcPr>
                <w:p w14:paraId="5A046B1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工业废水量</w:t>
                  </w:r>
                </w:p>
              </w:tc>
              <w:tc>
                <w:tcPr>
                  <w:tcW w:w="1455" w:type="dxa"/>
                  <w:tcBorders>
                    <w:left w:val="single" w:color="auto" w:sz="4" w:space="0"/>
                    <w:right w:val="single" w:color="auto" w:sz="4" w:space="0"/>
                  </w:tcBorders>
                  <w:vAlign w:val="center"/>
                </w:tcPr>
                <w:p w14:paraId="19B11CF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吨/吨-产品</w:t>
                  </w:r>
                </w:p>
              </w:tc>
              <w:tc>
                <w:tcPr>
                  <w:tcW w:w="1215" w:type="dxa"/>
                  <w:tcBorders>
                    <w:left w:val="single" w:color="auto" w:sz="4" w:space="0"/>
                    <w:right w:val="single" w:color="auto" w:sz="4" w:space="0"/>
                  </w:tcBorders>
                  <w:vAlign w:val="center"/>
                </w:tcPr>
                <w:p w14:paraId="0D9E396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12.2</w:t>
                  </w:r>
                </w:p>
              </w:tc>
            </w:tr>
            <w:tr w14:paraId="723D17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1" w:type="dxa"/>
                  <w:vMerge w:val="continue"/>
                  <w:tcBorders>
                    <w:left w:val="single" w:color="auto" w:sz="4" w:space="0"/>
                    <w:right w:val="single" w:color="auto" w:sz="4" w:space="0"/>
                  </w:tcBorders>
                  <w:vAlign w:val="center"/>
                </w:tcPr>
                <w:p w14:paraId="0AC8978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highlight w:val="none"/>
                      <w:u w:val="none" w:color="auto"/>
                      <w:vertAlign w:val="baseline"/>
                      <w:lang w:val="en-US" w:eastAsia="zh-CN"/>
                    </w:rPr>
                  </w:pPr>
                </w:p>
              </w:tc>
              <w:tc>
                <w:tcPr>
                  <w:tcW w:w="945" w:type="dxa"/>
                  <w:vMerge w:val="continue"/>
                  <w:tcBorders>
                    <w:left w:val="single" w:color="auto" w:sz="4" w:space="0"/>
                    <w:right w:val="single" w:color="auto" w:sz="4" w:space="0"/>
                  </w:tcBorders>
                  <w:vAlign w:val="center"/>
                </w:tcPr>
                <w:p w14:paraId="40A7D40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highlight w:val="none"/>
                      <w:u w:val="none" w:color="auto"/>
                      <w:vertAlign w:val="baseline"/>
                      <w:lang w:val="en-US" w:eastAsia="zh-CN"/>
                    </w:rPr>
                  </w:pPr>
                </w:p>
              </w:tc>
              <w:tc>
                <w:tcPr>
                  <w:tcW w:w="1065" w:type="dxa"/>
                  <w:vMerge w:val="continue"/>
                  <w:tcBorders>
                    <w:left w:val="single" w:color="auto" w:sz="4" w:space="0"/>
                    <w:right w:val="single" w:color="auto" w:sz="4" w:space="0"/>
                  </w:tcBorders>
                  <w:vAlign w:val="center"/>
                </w:tcPr>
                <w:p w14:paraId="3EB90E4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highlight w:val="none"/>
                      <w:u w:val="none" w:color="auto"/>
                      <w:vertAlign w:val="baseline"/>
                      <w:lang w:val="en-US" w:eastAsia="zh-CN"/>
                    </w:rPr>
                  </w:pPr>
                </w:p>
              </w:tc>
              <w:tc>
                <w:tcPr>
                  <w:tcW w:w="1065" w:type="dxa"/>
                  <w:vMerge w:val="continue"/>
                  <w:tcBorders>
                    <w:left w:val="single" w:color="auto" w:sz="4" w:space="0"/>
                    <w:right w:val="single" w:color="auto" w:sz="4" w:space="0"/>
                  </w:tcBorders>
                  <w:vAlign w:val="center"/>
                </w:tcPr>
                <w:p w14:paraId="196A3F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highlight w:val="none"/>
                      <w:u w:val="none" w:color="auto"/>
                      <w:vertAlign w:val="baseline"/>
                      <w:lang w:val="en-US" w:eastAsia="zh-CN"/>
                    </w:rPr>
                  </w:pPr>
                </w:p>
              </w:tc>
              <w:tc>
                <w:tcPr>
                  <w:tcW w:w="1530" w:type="dxa"/>
                  <w:tcBorders>
                    <w:left w:val="single" w:color="auto" w:sz="4" w:space="0"/>
                    <w:right w:val="single" w:color="auto" w:sz="4" w:space="0"/>
                  </w:tcBorders>
                  <w:vAlign w:val="center"/>
                </w:tcPr>
                <w:p w14:paraId="11CED1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化学需氧量</w:t>
                  </w:r>
                </w:p>
              </w:tc>
              <w:tc>
                <w:tcPr>
                  <w:tcW w:w="1455" w:type="dxa"/>
                  <w:tcBorders>
                    <w:left w:val="single" w:color="auto" w:sz="4" w:space="0"/>
                    <w:right w:val="single" w:color="auto" w:sz="4" w:space="0"/>
                  </w:tcBorders>
                  <w:vAlign w:val="center"/>
                </w:tcPr>
                <w:p w14:paraId="42B8A06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克/吨-产品</w:t>
                  </w:r>
                </w:p>
              </w:tc>
              <w:tc>
                <w:tcPr>
                  <w:tcW w:w="1215" w:type="dxa"/>
                  <w:tcBorders>
                    <w:left w:val="single" w:color="auto" w:sz="4" w:space="0"/>
                    <w:right w:val="single" w:color="auto" w:sz="4" w:space="0"/>
                  </w:tcBorders>
                  <w:vAlign w:val="center"/>
                </w:tcPr>
                <w:p w14:paraId="3C01F79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9.41×10</w:t>
                  </w:r>
                  <w:r>
                    <w:rPr>
                      <w:rFonts w:hint="eastAsia" w:ascii="Times New Roman" w:hAnsi="Times New Roman" w:eastAsia="宋体" w:cs="Times New Roman"/>
                      <w:color w:val="auto"/>
                      <w:kern w:val="0"/>
                      <w:sz w:val="21"/>
                      <w:szCs w:val="21"/>
                      <w:highlight w:val="none"/>
                      <w:u w:val="none" w:color="auto"/>
                      <w:vertAlign w:val="superscript"/>
                      <w:lang w:val="en-US" w:eastAsia="zh-CN"/>
                    </w:rPr>
                    <w:t>3</w:t>
                  </w:r>
                </w:p>
              </w:tc>
            </w:tr>
            <w:tr w14:paraId="68679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1" w:type="dxa"/>
                  <w:vMerge w:val="continue"/>
                  <w:tcBorders>
                    <w:left w:val="single" w:color="auto" w:sz="4" w:space="0"/>
                    <w:right w:val="single" w:color="auto" w:sz="4" w:space="0"/>
                  </w:tcBorders>
                  <w:vAlign w:val="center"/>
                </w:tcPr>
                <w:p w14:paraId="22BD6E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highlight w:val="none"/>
                      <w:u w:val="none" w:color="auto"/>
                      <w:vertAlign w:val="baseline"/>
                      <w:lang w:val="en-US" w:eastAsia="zh-CN"/>
                    </w:rPr>
                  </w:pPr>
                </w:p>
              </w:tc>
              <w:tc>
                <w:tcPr>
                  <w:tcW w:w="945" w:type="dxa"/>
                  <w:vMerge w:val="continue"/>
                  <w:tcBorders>
                    <w:left w:val="single" w:color="auto" w:sz="4" w:space="0"/>
                    <w:right w:val="single" w:color="auto" w:sz="4" w:space="0"/>
                  </w:tcBorders>
                  <w:vAlign w:val="center"/>
                </w:tcPr>
                <w:p w14:paraId="222B88C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highlight w:val="none"/>
                      <w:u w:val="none" w:color="auto"/>
                      <w:vertAlign w:val="baseline"/>
                      <w:lang w:val="en-US" w:eastAsia="zh-CN"/>
                    </w:rPr>
                  </w:pPr>
                </w:p>
              </w:tc>
              <w:tc>
                <w:tcPr>
                  <w:tcW w:w="1065" w:type="dxa"/>
                  <w:vMerge w:val="continue"/>
                  <w:tcBorders>
                    <w:left w:val="single" w:color="auto" w:sz="4" w:space="0"/>
                    <w:right w:val="single" w:color="auto" w:sz="4" w:space="0"/>
                  </w:tcBorders>
                  <w:vAlign w:val="center"/>
                </w:tcPr>
                <w:p w14:paraId="339E92F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highlight w:val="none"/>
                      <w:u w:val="none" w:color="auto"/>
                      <w:vertAlign w:val="baseline"/>
                      <w:lang w:val="en-US" w:eastAsia="zh-CN"/>
                    </w:rPr>
                  </w:pPr>
                </w:p>
              </w:tc>
              <w:tc>
                <w:tcPr>
                  <w:tcW w:w="1065" w:type="dxa"/>
                  <w:vMerge w:val="continue"/>
                  <w:tcBorders>
                    <w:left w:val="single" w:color="auto" w:sz="4" w:space="0"/>
                    <w:right w:val="single" w:color="auto" w:sz="4" w:space="0"/>
                  </w:tcBorders>
                  <w:vAlign w:val="center"/>
                </w:tcPr>
                <w:p w14:paraId="40BA3E0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highlight w:val="none"/>
                      <w:u w:val="none" w:color="auto"/>
                      <w:vertAlign w:val="baseline"/>
                      <w:lang w:val="en-US" w:eastAsia="zh-CN"/>
                    </w:rPr>
                  </w:pPr>
                </w:p>
              </w:tc>
              <w:tc>
                <w:tcPr>
                  <w:tcW w:w="1530" w:type="dxa"/>
                  <w:tcBorders>
                    <w:left w:val="single" w:color="auto" w:sz="4" w:space="0"/>
                    <w:right w:val="single" w:color="auto" w:sz="4" w:space="0"/>
                  </w:tcBorders>
                  <w:vAlign w:val="center"/>
                </w:tcPr>
                <w:p w14:paraId="4D6F888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氨氮</w:t>
                  </w:r>
                </w:p>
              </w:tc>
              <w:tc>
                <w:tcPr>
                  <w:tcW w:w="1455" w:type="dxa"/>
                  <w:tcBorders>
                    <w:left w:val="single" w:color="auto" w:sz="4" w:space="0"/>
                    <w:right w:val="single" w:color="auto" w:sz="4" w:space="0"/>
                  </w:tcBorders>
                  <w:vAlign w:val="center"/>
                </w:tcPr>
                <w:p w14:paraId="2D334A0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克/吨-产品</w:t>
                  </w:r>
                </w:p>
              </w:tc>
              <w:tc>
                <w:tcPr>
                  <w:tcW w:w="1215" w:type="dxa"/>
                  <w:tcBorders>
                    <w:left w:val="single" w:color="auto" w:sz="4" w:space="0"/>
                    <w:right w:val="single" w:color="auto" w:sz="4" w:space="0"/>
                  </w:tcBorders>
                  <w:vAlign w:val="center"/>
                </w:tcPr>
                <w:p w14:paraId="5FC1B52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85</w:t>
                  </w:r>
                </w:p>
              </w:tc>
            </w:tr>
            <w:tr w14:paraId="4B260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1" w:type="dxa"/>
                  <w:vMerge w:val="continue"/>
                  <w:tcBorders>
                    <w:left w:val="single" w:color="auto" w:sz="4" w:space="0"/>
                    <w:right w:val="single" w:color="auto" w:sz="4" w:space="0"/>
                  </w:tcBorders>
                  <w:vAlign w:val="center"/>
                </w:tcPr>
                <w:p w14:paraId="79F5A1C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highlight w:val="none"/>
                      <w:u w:val="none" w:color="auto"/>
                      <w:vertAlign w:val="baseline"/>
                      <w:lang w:val="en-US" w:eastAsia="zh-CN"/>
                    </w:rPr>
                  </w:pPr>
                </w:p>
              </w:tc>
              <w:tc>
                <w:tcPr>
                  <w:tcW w:w="945" w:type="dxa"/>
                  <w:vMerge w:val="continue"/>
                  <w:tcBorders>
                    <w:left w:val="single" w:color="auto" w:sz="4" w:space="0"/>
                    <w:right w:val="single" w:color="auto" w:sz="4" w:space="0"/>
                  </w:tcBorders>
                  <w:vAlign w:val="center"/>
                </w:tcPr>
                <w:p w14:paraId="2CBBB13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highlight w:val="none"/>
                      <w:u w:val="none" w:color="auto"/>
                      <w:vertAlign w:val="baseline"/>
                      <w:lang w:val="en-US" w:eastAsia="zh-CN"/>
                    </w:rPr>
                  </w:pPr>
                </w:p>
              </w:tc>
              <w:tc>
                <w:tcPr>
                  <w:tcW w:w="1065" w:type="dxa"/>
                  <w:vMerge w:val="continue"/>
                  <w:tcBorders>
                    <w:left w:val="single" w:color="auto" w:sz="4" w:space="0"/>
                    <w:right w:val="single" w:color="auto" w:sz="4" w:space="0"/>
                  </w:tcBorders>
                  <w:vAlign w:val="center"/>
                </w:tcPr>
                <w:p w14:paraId="0C969D2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highlight w:val="none"/>
                      <w:u w:val="none" w:color="auto"/>
                      <w:vertAlign w:val="baseline"/>
                      <w:lang w:val="en-US" w:eastAsia="zh-CN"/>
                    </w:rPr>
                  </w:pPr>
                </w:p>
              </w:tc>
              <w:tc>
                <w:tcPr>
                  <w:tcW w:w="1065" w:type="dxa"/>
                  <w:vMerge w:val="continue"/>
                  <w:tcBorders>
                    <w:left w:val="single" w:color="auto" w:sz="4" w:space="0"/>
                    <w:right w:val="single" w:color="auto" w:sz="4" w:space="0"/>
                  </w:tcBorders>
                  <w:vAlign w:val="center"/>
                </w:tcPr>
                <w:p w14:paraId="16F4B62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highlight w:val="none"/>
                      <w:u w:val="none" w:color="auto"/>
                      <w:vertAlign w:val="baseline"/>
                      <w:lang w:val="en-US" w:eastAsia="zh-CN"/>
                    </w:rPr>
                  </w:pPr>
                </w:p>
              </w:tc>
              <w:tc>
                <w:tcPr>
                  <w:tcW w:w="1530" w:type="dxa"/>
                  <w:tcBorders>
                    <w:left w:val="single" w:color="auto" w:sz="4" w:space="0"/>
                    <w:right w:val="single" w:color="auto" w:sz="4" w:space="0"/>
                  </w:tcBorders>
                  <w:vAlign w:val="center"/>
                </w:tcPr>
                <w:p w14:paraId="0613CA4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总氮</w:t>
                  </w:r>
                </w:p>
              </w:tc>
              <w:tc>
                <w:tcPr>
                  <w:tcW w:w="1455" w:type="dxa"/>
                  <w:tcBorders>
                    <w:left w:val="single" w:color="auto" w:sz="4" w:space="0"/>
                    <w:right w:val="single" w:color="auto" w:sz="4" w:space="0"/>
                  </w:tcBorders>
                  <w:vAlign w:val="center"/>
                </w:tcPr>
                <w:p w14:paraId="30C16A4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克/吨-产品</w:t>
                  </w:r>
                </w:p>
              </w:tc>
              <w:tc>
                <w:tcPr>
                  <w:tcW w:w="1215" w:type="dxa"/>
                  <w:tcBorders>
                    <w:left w:val="single" w:color="auto" w:sz="4" w:space="0"/>
                    <w:right w:val="single" w:color="auto" w:sz="4" w:space="0"/>
                  </w:tcBorders>
                  <w:vAlign w:val="center"/>
                </w:tcPr>
                <w:p w14:paraId="43017A9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308</w:t>
                  </w:r>
                </w:p>
              </w:tc>
            </w:tr>
            <w:tr w14:paraId="08867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1" w:type="dxa"/>
                  <w:vMerge w:val="continue"/>
                  <w:tcBorders>
                    <w:left w:val="single" w:color="auto" w:sz="4" w:space="0"/>
                    <w:bottom w:val="single" w:color="auto" w:sz="12" w:space="0"/>
                    <w:right w:val="single" w:color="auto" w:sz="4" w:space="0"/>
                  </w:tcBorders>
                  <w:vAlign w:val="center"/>
                </w:tcPr>
                <w:p w14:paraId="2D6231A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highlight w:val="none"/>
                      <w:u w:val="none" w:color="auto"/>
                      <w:vertAlign w:val="baseline"/>
                      <w:lang w:val="en-US" w:eastAsia="zh-CN"/>
                    </w:rPr>
                  </w:pPr>
                </w:p>
              </w:tc>
              <w:tc>
                <w:tcPr>
                  <w:tcW w:w="945" w:type="dxa"/>
                  <w:vMerge w:val="continue"/>
                  <w:tcBorders>
                    <w:left w:val="single" w:color="auto" w:sz="4" w:space="0"/>
                    <w:bottom w:val="single" w:color="auto" w:sz="12" w:space="0"/>
                    <w:right w:val="single" w:color="auto" w:sz="4" w:space="0"/>
                  </w:tcBorders>
                  <w:vAlign w:val="center"/>
                </w:tcPr>
                <w:p w14:paraId="124B547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highlight w:val="none"/>
                      <w:u w:val="none" w:color="auto"/>
                      <w:vertAlign w:val="baseline"/>
                      <w:lang w:val="en-US" w:eastAsia="zh-CN"/>
                    </w:rPr>
                  </w:pPr>
                </w:p>
              </w:tc>
              <w:tc>
                <w:tcPr>
                  <w:tcW w:w="1065" w:type="dxa"/>
                  <w:vMerge w:val="continue"/>
                  <w:tcBorders>
                    <w:left w:val="single" w:color="auto" w:sz="4" w:space="0"/>
                    <w:bottom w:val="single" w:color="auto" w:sz="12" w:space="0"/>
                    <w:right w:val="single" w:color="auto" w:sz="4" w:space="0"/>
                  </w:tcBorders>
                  <w:vAlign w:val="center"/>
                </w:tcPr>
                <w:p w14:paraId="32E422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highlight w:val="none"/>
                      <w:u w:val="none" w:color="auto"/>
                      <w:vertAlign w:val="baseline"/>
                      <w:lang w:val="en-US" w:eastAsia="zh-CN"/>
                    </w:rPr>
                  </w:pPr>
                </w:p>
              </w:tc>
              <w:tc>
                <w:tcPr>
                  <w:tcW w:w="1065" w:type="dxa"/>
                  <w:vMerge w:val="continue"/>
                  <w:tcBorders>
                    <w:left w:val="single" w:color="auto" w:sz="4" w:space="0"/>
                    <w:bottom w:val="single" w:color="auto" w:sz="12" w:space="0"/>
                    <w:right w:val="single" w:color="auto" w:sz="4" w:space="0"/>
                  </w:tcBorders>
                  <w:vAlign w:val="center"/>
                </w:tcPr>
                <w:p w14:paraId="3B65940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highlight w:val="none"/>
                      <w:u w:val="none" w:color="auto"/>
                      <w:vertAlign w:val="baseline"/>
                      <w:lang w:val="en-US" w:eastAsia="zh-CN"/>
                    </w:rPr>
                  </w:pPr>
                </w:p>
              </w:tc>
              <w:tc>
                <w:tcPr>
                  <w:tcW w:w="1530" w:type="dxa"/>
                  <w:tcBorders>
                    <w:left w:val="single" w:color="auto" w:sz="4" w:space="0"/>
                    <w:bottom w:val="single" w:color="auto" w:sz="12" w:space="0"/>
                    <w:right w:val="single" w:color="auto" w:sz="4" w:space="0"/>
                  </w:tcBorders>
                  <w:vAlign w:val="center"/>
                </w:tcPr>
                <w:p w14:paraId="39121A3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总磷</w:t>
                  </w:r>
                </w:p>
              </w:tc>
              <w:tc>
                <w:tcPr>
                  <w:tcW w:w="1455" w:type="dxa"/>
                  <w:tcBorders>
                    <w:left w:val="single" w:color="auto" w:sz="4" w:space="0"/>
                    <w:bottom w:val="single" w:color="auto" w:sz="12" w:space="0"/>
                    <w:right w:val="single" w:color="auto" w:sz="4" w:space="0"/>
                  </w:tcBorders>
                  <w:vAlign w:val="center"/>
                </w:tcPr>
                <w:p w14:paraId="1AA6889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克/吨-产品</w:t>
                  </w:r>
                </w:p>
              </w:tc>
              <w:tc>
                <w:tcPr>
                  <w:tcW w:w="1215" w:type="dxa"/>
                  <w:tcBorders>
                    <w:left w:val="single" w:color="auto" w:sz="4" w:space="0"/>
                    <w:bottom w:val="single" w:color="auto" w:sz="12" w:space="0"/>
                    <w:right w:val="single" w:color="auto" w:sz="4" w:space="0"/>
                  </w:tcBorders>
                  <w:vAlign w:val="center"/>
                </w:tcPr>
                <w:p w14:paraId="204C06D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56</w:t>
                  </w:r>
                </w:p>
              </w:tc>
            </w:tr>
          </w:tbl>
          <w:p w14:paraId="4BB9916F">
            <w:pPr>
              <w:adjustRightInd w:val="0"/>
              <w:snapToGrid w:val="0"/>
              <w:spacing w:line="360" w:lineRule="auto"/>
              <w:ind w:firstLine="480" w:firstLineChars="200"/>
              <w:rPr>
                <w:rFonts w:hint="eastAsia" w:ascii="Times New Roman" w:hAnsi="Times New Roman" w:eastAsia="宋体"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由上表核算可知，化学需氧量产生浓度为771.5mg/L，氨氮产生浓度为7mg/L，总氮产生浓度为25.2mg/L，总磷产生浓度为4.6mg/L。</w:t>
            </w:r>
          </w:p>
          <w:p w14:paraId="284201BD">
            <w:pPr>
              <w:adjustRightInd w:val="0"/>
              <w:snapToGrid w:val="0"/>
              <w:spacing w:line="360" w:lineRule="auto"/>
              <w:ind w:firstLine="480" w:firstLineChars="200"/>
              <w:rPr>
                <w:rFonts w:hint="default" w:ascii="Times New Roman" w:hAnsi="Times New Roman" w:eastAsia="宋体" w:cs="Times New Roman"/>
                <w:color w:val="auto"/>
                <w:kern w:val="0"/>
                <w:highlight w:val="none"/>
                <w:u w:val="none" w:color="auto"/>
                <w:lang w:val="en-US" w:eastAsia="zh-CN"/>
              </w:rPr>
            </w:pPr>
            <w:r>
              <w:rPr>
                <w:rFonts w:hint="default" w:ascii="Times New Roman" w:hAnsi="Times New Roman" w:eastAsia="宋体" w:cs="Times New Roman"/>
                <w:color w:val="auto"/>
                <w:kern w:val="0"/>
                <w:highlight w:val="none"/>
                <w:u w:val="none" w:color="auto"/>
                <w:lang w:val="en-US" w:eastAsia="zh-CN"/>
              </w:rPr>
              <w:t>根据《食品工业生产废水处理工艺及工程实例》（左金龙主编）可知，一般的食品废水的 BOD</w:t>
            </w:r>
            <w:r>
              <w:rPr>
                <w:rFonts w:hint="default" w:ascii="Times New Roman" w:hAnsi="Times New Roman" w:eastAsia="宋体" w:cs="Times New Roman"/>
                <w:color w:val="auto"/>
                <w:kern w:val="0"/>
                <w:highlight w:val="none"/>
                <w:u w:val="none" w:color="auto"/>
                <w:vertAlign w:val="subscript"/>
                <w:lang w:val="en-US" w:eastAsia="zh-CN"/>
              </w:rPr>
              <w:t>5</w:t>
            </w:r>
            <w:r>
              <w:rPr>
                <w:rFonts w:hint="default" w:ascii="Times New Roman" w:hAnsi="Times New Roman" w:eastAsia="宋体" w:cs="Times New Roman"/>
                <w:color w:val="auto"/>
                <w:kern w:val="0"/>
                <w:highlight w:val="none"/>
                <w:u w:val="none" w:color="auto"/>
                <w:lang w:val="en-US" w:eastAsia="zh-CN"/>
              </w:rPr>
              <w:t>/CODCr大于0.4，项目取0.4，则BOD</w:t>
            </w:r>
            <w:r>
              <w:rPr>
                <w:rFonts w:hint="default" w:ascii="Times New Roman" w:hAnsi="Times New Roman" w:eastAsia="宋体" w:cs="Times New Roman"/>
                <w:color w:val="auto"/>
                <w:kern w:val="0"/>
                <w:highlight w:val="none"/>
                <w:u w:val="none" w:color="auto"/>
                <w:vertAlign w:val="subscript"/>
                <w:lang w:val="en-US" w:eastAsia="zh-CN"/>
              </w:rPr>
              <w:t>5</w:t>
            </w:r>
            <w:r>
              <w:rPr>
                <w:rFonts w:hint="default" w:ascii="Times New Roman" w:hAnsi="Times New Roman" w:eastAsia="宋体" w:cs="Times New Roman"/>
                <w:color w:val="auto"/>
                <w:kern w:val="0"/>
                <w:highlight w:val="none"/>
                <w:u w:val="none" w:color="auto"/>
                <w:lang w:val="en-US" w:eastAsia="zh-CN"/>
              </w:rPr>
              <w:t>的浓度约为</w:t>
            </w:r>
            <w:r>
              <w:rPr>
                <w:rFonts w:hint="eastAsia" w:ascii="Times New Roman" w:hAnsi="Times New Roman" w:eastAsia="宋体" w:cs="Times New Roman"/>
                <w:color w:val="auto"/>
                <w:kern w:val="0"/>
                <w:highlight w:val="none"/>
                <w:u w:val="none" w:color="auto"/>
                <w:lang w:val="en-US" w:eastAsia="zh-CN"/>
              </w:rPr>
              <w:t>308.6mg/L。悬浮物、动植物油参照《屠宰与肉类加工废水治理工程极速规范》（HJ2004-2010）表4肉类加工废水水质设计取值分别为500~1000mg/L、30~100mg/L，本项目悬浮物、动植物油按1000mg/L、100mg/L计。</w:t>
            </w:r>
          </w:p>
          <w:p w14:paraId="0E6A0305">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color w:val="auto"/>
                <w:kern w:val="0"/>
                <w:highlight w:val="none"/>
                <w:u w:val="none" w:color="auto"/>
                <w:lang w:val="en-US" w:eastAsia="zh-CN"/>
              </w:rPr>
            </w:pPr>
            <w:r>
              <w:rPr>
                <w:rFonts w:hint="eastAsia" w:ascii="Times New Roman" w:hAnsi="Times New Roman" w:eastAsia="宋体" w:cs="Times New Roman"/>
                <w:b/>
                <w:bCs/>
                <w:color w:val="auto"/>
                <w:kern w:val="0"/>
                <w:sz w:val="21"/>
                <w:szCs w:val="21"/>
                <w:highlight w:val="none"/>
                <w:u w:val="none" w:color="auto"/>
                <w:lang w:val="en-US" w:eastAsia="zh-CN"/>
              </w:rPr>
              <w:t>表4-11 本项目肉制品生产废水产生情况一览表</w:t>
            </w:r>
          </w:p>
          <w:tbl>
            <w:tblPr>
              <w:tblStyle w:val="43"/>
              <w:tblW w:w="80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
              <w:gridCol w:w="889"/>
              <w:gridCol w:w="889"/>
              <w:gridCol w:w="889"/>
              <w:gridCol w:w="890"/>
              <w:gridCol w:w="890"/>
              <w:gridCol w:w="890"/>
              <w:gridCol w:w="890"/>
              <w:gridCol w:w="890"/>
            </w:tblGrid>
            <w:tr w14:paraId="5610E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tcBorders>
                    <w:top w:val="single" w:color="auto" w:sz="12" w:space="0"/>
                  </w:tcBorders>
                  <w:vAlign w:val="center"/>
                </w:tcPr>
                <w:p w14:paraId="49DE0C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废水类型</w:t>
                  </w:r>
                </w:p>
              </w:tc>
              <w:tc>
                <w:tcPr>
                  <w:tcW w:w="889" w:type="dxa"/>
                  <w:tcBorders>
                    <w:top w:val="single" w:color="auto" w:sz="12" w:space="0"/>
                  </w:tcBorders>
                  <w:vAlign w:val="center"/>
                </w:tcPr>
                <w:p w14:paraId="700172B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污染物</w:t>
                  </w:r>
                </w:p>
              </w:tc>
              <w:tc>
                <w:tcPr>
                  <w:tcW w:w="889" w:type="dxa"/>
                  <w:tcBorders>
                    <w:top w:val="single" w:color="auto" w:sz="12" w:space="0"/>
                  </w:tcBorders>
                  <w:vAlign w:val="center"/>
                </w:tcPr>
                <w:p w14:paraId="22F19A7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CODcr</w:t>
                  </w:r>
                </w:p>
              </w:tc>
              <w:tc>
                <w:tcPr>
                  <w:tcW w:w="889" w:type="dxa"/>
                  <w:tcBorders>
                    <w:top w:val="single" w:color="auto" w:sz="12" w:space="0"/>
                  </w:tcBorders>
                  <w:vAlign w:val="center"/>
                </w:tcPr>
                <w:p w14:paraId="3669A10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BOD</w:t>
                  </w:r>
                  <w:r>
                    <w:rPr>
                      <w:rFonts w:hint="eastAsia" w:ascii="Times New Roman" w:hAnsi="Times New Roman" w:eastAsia="宋体" w:cs="Times New Roman"/>
                      <w:color w:val="auto"/>
                      <w:kern w:val="0"/>
                      <w:sz w:val="21"/>
                      <w:szCs w:val="21"/>
                      <w:highlight w:val="none"/>
                      <w:u w:val="none" w:color="auto"/>
                      <w:vertAlign w:val="subscript"/>
                      <w:lang w:val="en-US" w:eastAsia="zh-CN"/>
                    </w:rPr>
                    <w:t>5</w:t>
                  </w:r>
                </w:p>
              </w:tc>
              <w:tc>
                <w:tcPr>
                  <w:tcW w:w="890" w:type="dxa"/>
                  <w:tcBorders>
                    <w:top w:val="single" w:color="auto" w:sz="12" w:space="0"/>
                  </w:tcBorders>
                  <w:vAlign w:val="center"/>
                </w:tcPr>
                <w:p w14:paraId="1556D33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氨氮</w:t>
                  </w:r>
                </w:p>
              </w:tc>
              <w:tc>
                <w:tcPr>
                  <w:tcW w:w="890" w:type="dxa"/>
                  <w:tcBorders>
                    <w:top w:val="single" w:color="auto" w:sz="12" w:space="0"/>
                  </w:tcBorders>
                  <w:vAlign w:val="center"/>
                </w:tcPr>
                <w:p w14:paraId="6271D47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总氮</w:t>
                  </w:r>
                </w:p>
              </w:tc>
              <w:tc>
                <w:tcPr>
                  <w:tcW w:w="890" w:type="dxa"/>
                  <w:tcBorders>
                    <w:top w:val="single" w:color="auto" w:sz="12" w:space="0"/>
                  </w:tcBorders>
                  <w:vAlign w:val="center"/>
                </w:tcPr>
                <w:p w14:paraId="2649F0C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SS</w:t>
                  </w:r>
                </w:p>
              </w:tc>
              <w:tc>
                <w:tcPr>
                  <w:tcW w:w="890" w:type="dxa"/>
                  <w:tcBorders>
                    <w:top w:val="single" w:color="auto" w:sz="12" w:space="0"/>
                  </w:tcBorders>
                  <w:vAlign w:val="center"/>
                </w:tcPr>
                <w:p w14:paraId="1D0EF66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总磷</w:t>
                  </w:r>
                </w:p>
              </w:tc>
              <w:tc>
                <w:tcPr>
                  <w:tcW w:w="890" w:type="dxa"/>
                  <w:tcBorders>
                    <w:top w:val="single" w:color="auto" w:sz="12" w:space="0"/>
                    <w:right w:val="single" w:color="auto" w:sz="12" w:space="0"/>
                  </w:tcBorders>
                  <w:vAlign w:val="center"/>
                </w:tcPr>
                <w:p w14:paraId="3E4A351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动植物油</w:t>
                  </w:r>
                </w:p>
              </w:tc>
            </w:tr>
            <w:tr w14:paraId="716C7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Merge w:val="restart"/>
                  <w:tcBorders>
                    <w:left w:val="single" w:color="auto" w:sz="4" w:space="0"/>
                  </w:tcBorders>
                  <w:vAlign w:val="center"/>
                </w:tcPr>
                <w:p w14:paraId="345B5F9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生产废水</w:t>
                  </w:r>
                  <w:r>
                    <w:rPr>
                      <w:rFonts w:hint="eastAsia" w:cs="Times New Roman"/>
                      <w:color w:val="auto"/>
                      <w:kern w:val="0"/>
                      <w:sz w:val="21"/>
                      <w:szCs w:val="21"/>
                      <w:highlight w:val="none"/>
                      <w:u w:val="none" w:color="auto"/>
                      <w:vertAlign w:val="baseline"/>
                      <w:lang w:val="en-US" w:eastAsia="zh-CN"/>
                    </w:rPr>
                    <w:t>3878.7</w:t>
                  </w:r>
                  <w:r>
                    <w:rPr>
                      <w:rFonts w:hint="eastAsia" w:ascii="Times New Roman" w:hAnsi="Times New Roman" w:eastAsia="宋体" w:cs="Times New Roman"/>
                      <w:color w:val="auto"/>
                      <w:kern w:val="0"/>
                      <w:sz w:val="21"/>
                      <w:szCs w:val="21"/>
                      <w:highlight w:val="none"/>
                      <w:u w:val="none" w:color="auto"/>
                      <w:vertAlign w:val="baseline"/>
                      <w:lang w:val="en-US" w:eastAsia="zh-CN"/>
                    </w:rPr>
                    <w:t>t/a</w:t>
                  </w:r>
                </w:p>
              </w:tc>
              <w:tc>
                <w:tcPr>
                  <w:tcW w:w="889" w:type="dxa"/>
                  <w:vAlign w:val="center"/>
                </w:tcPr>
                <w:p w14:paraId="7718063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产生浓度（mg/L）</w:t>
                  </w:r>
                </w:p>
              </w:tc>
              <w:tc>
                <w:tcPr>
                  <w:tcW w:w="889" w:type="dxa"/>
                  <w:vAlign w:val="center"/>
                </w:tcPr>
                <w:p w14:paraId="665A8AD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771.5</w:t>
                  </w:r>
                </w:p>
              </w:tc>
              <w:tc>
                <w:tcPr>
                  <w:tcW w:w="889" w:type="dxa"/>
                  <w:vAlign w:val="center"/>
                </w:tcPr>
                <w:p w14:paraId="4012AEA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308.6</w:t>
                  </w:r>
                </w:p>
              </w:tc>
              <w:tc>
                <w:tcPr>
                  <w:tcW w:w="890" w:type="dxa"/>
                  <w:vAlign w:val="center"/>
                </w:tcPr>
                <w:p w14:paraId="0A4BF94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7</w:t>
                  </w:r>
                </w:p>
              </w:tc>
              <w:tc>
                <w:tcPr>
                  <w:tcW w:w="890" w:type="dxa"/>
                  <w:vAlign w:val="center"/>
                </w:tcPr>
                <w:p w14:paraId="4ED3C65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25.2</w:t>
                  </w:r>
                </w:p>
              </w:tc>
              <w:tc>
                <w:tcPr>
                  <w:tcW w:w="890" w:type="dxa"/>
                  <w:vAlign w:val="center"/>
                </w:tcPr>
                <w:p w14:paraId="07D0127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1000</w:t>
                  </w:r>
                </w:p>
              </w:tc>
              <w:tc>
                <w:tcPr>
                  <w:tcW w:w="890" w:type="dxa"/>
                  <w:vAlign w:val="center"/>
                </w:tcPr>
                <w:p w14:paraId="29E1AC4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4.6</w:t>
                  </w:r>
                </w:p>
              </w:tc>
              <w:tc>
                <w:tcPr>
                  <w:tcW w:w="890" w:type="dxa"/>
                  <w:tcBorders>
                    <w:right w:val="single" w:color="auto" w:sz="12" w:space="0"/>
                  </w:tcBorders>
                  <w:vAlign w:val="center"/>
                </w:tcPr>
                <w:p w14:paraId="74CAD4B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100</w:t>
                  </w:r>
                </w:p>
              </w:tc>
            </w:tr>
            <w:tr w14:paraId="5A16E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Merge w:val="continue"/>
                  <w:tcBorders>
                    <w:left w:val="single" w:color="auto" w:sz="4" w:space="0"/>
                    <w:bottom w:val="single" w:color="auto" w:sz="12" w:space="0"/>
                  </w:tcBorders>
                  <w:vAlign w:val="center"/>
                </w:tcPr>
                <w:p w14:paraId="219DB24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p>
              </w:tc>
              <w:tc>
                <w:tcPr>
                  <w:tcW w:w="889" w:type="dxa"/>
                  <w:tcBorders>
                    <w:bottom w:val="single" w:color="auto" w:sz="12" w:space="0"/>
                  </w:tcBorders>
                  <w:vAlign w:val="center"/>
                </w:tcPr>
                <w:p w14:paraId="3F7608F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产生量（t/a）</w:t>
                  </w:r>
                </w:p>
              </w:tc>
              <w:tc>
                <w:tcPr>
                  <w:tcW w:w="889" w:type="dxa"/>
                  <w:tcBorders>
                    <w:bottom w:val="single" w:color="auto" w:sz="12" w:space="0"/>
                  </w:tcBorders>
                  <w:vAlign w:val="center"/>
                </w:tcPr>
                <w:p w14:paraId="10C9EE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2.992</w:t>
                  </w:r>
                </w:p>
              </w:tc>
              <w:tc>
                <w:tcPr>
                  <w:tcW w:w="889" w:type="dxa"/>
                  <w:tcBorders>
                    <w:bottom w:val="single" w:color="auto" w:sz="12" w:space="0"/>
                  </w:tcBorders>
                  <w:vAlign w:val="center"/>
                </w:tcPr>
                <w:p w14:paraId="404A6F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1.197</w:t>
                  </w:r>
                </w:p>
              </w:tc>
              <w:tc>
                <w:tcPr>
                  <w:tcW w:w="890" w:type="dxa"/>
                  <w:tcBorders>
                    <w:bottom w:val="single" w:color="auto" w:sz="12" w:space="0"/>
                  </w:tcBorders>
                  <w:vAlign w:val="center"/>
                </w:tcPr>
                <w:p w14:paraId="515DD98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0.027</w:t>
                  </w:r>
                </w:p>
              </w:tc>
              <w:tc>
                <w:tcPr>
                  <w:tcW w:w="890" w:type="dxa"/>
                  <w:tcBorders>
                    <w:bottom w:val="single" w:color="auto" w:sz="12" w:space="0"/>
                  </w:tcBorders>
                  <w:vAlign w:val="center"/>
                </w:tcPr>
                <w:p w14:paraId="3B58DDA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0.098</w:t>
                  </w:r>
                </w:p>
              </w:tc>
              <w:tc>
                <w:tcPr>
                  <w:tcW w:w="890" w:type="dxa"/>
                  <w:tcBorders>
                    <w:bottom w:val="single" w:color="auto" w:sz="12" w:space="0"/>
                  </w:tcBorders>
                  <w:vAlign w:val="center"/>
                </w:tcPr>
                <w:p w14:paraId="4C86C80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3.879</w:t>
                  </w:r>
                </w:p>
              </w:tc>
              <w:tc>
                <w:tcPr>
                  <w:tcW w:w="890" w:type="dxa"/>
                  <w:tcBorders>
                    <w:bottom w:val="single" w:color="auto" w:sz="12" w:space="0"/>
                  </w:tcBorders>
                  <w:vAlign w:val="center"/>
                </w:tcPr>
                <w:p w14:paraId="1AE75E3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0.018</w:t>
                  </w:r>
                </w:p>
              </w:tc>
              <w:tc>
                <w:tcPr>
                  <w:tcW w:w="890" w:type="dxa"/>
                  <w:tcBorders>
                    <w:bottom w:val="single" w:color="auto" w:sz="12" w:space="0"/>
                    <w:right w:val="single" w:color="auto" w:sz="12" w:space="0"/>
                  </w:tcBorders>
                  <w:vAlign w:val="center"/>
                </w:tcPr>
                <w:p w14:paraId="1E0D85A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0.388</w:t>
                  </w:r>
                </w:p>
              </w:tc>
            </w:tr>
          </w:tbl>
          <w:p w14:paraId="6B818A30">
            <w:pPr>
              <w:adjustRightInd w:val="0"/>
              <w:snapToGrid w:val="0"/>
              <w:spacing w:line="360" w:lineRule="auto"/>
              <w:ind w:firstLine="480" w:firstLineChars="200"/>
              <w:rPr>
                <w:rFonts w:hint="default" w:ascii="Times New Roman" w:hAnsi="Times New Roman" w:eastAsia="宋体" w:cs="Times New Roman"/>
                <w:color w:val="auto"/>
                <w:kern w:val="0"/>
                <w:highlight w:val="none"/>
                <w:u w:val="none" w:color="auto"/>
                <w:lang w:val="en-US" w:eastAsia="zh-CN"/>
              </w:rPr>
            </w:pPr>
            <w:r>
              <w:rPr>
                <w:rFonts w:hint="eastAsia" w:ascii="Times New Roman" w:hAnsi="Times New Roman" w:eastAsia="宋体" w:cs="Times New Roman"/>
                <w:color w:val="auto"/>
                <w:kern w:val="0"/>
                <w:highlight w:val="none"/>
                <w:u w:val="none" w:color="auto"/>
                <w:lang w:val="en-US" w:eastAsia="zh-CN"/>
              </w:rPr>
              <w:t>3）生物质蒸汽发生器</w:t>
            </w:r>
          </w:p>
          <w:p w14:paraId="4972AE75">
            <w:pPr>
              <w:adjustRightInd w:val="0"/>
              <w:snapToGrid w:val="0"/>
              <w:spacing w:line="360" w:lineRule="auto"/>
              <w:ind w:firstLine="480" w:firstLineChars="200"/>
              <w:rPr>
                <w:rFonts w:hint="eastAsia" w:ascii="Times New Roman" w:hAnsi="Times New Roman" w:eastAsia="宋体" w:cs="Times New Roman"/>
                <w:color w:val="auto"/>
                <w:kern w:val="0"/>
                <w:highlight w:val="none"/>
                <w:u w:val="none" w:color="auto"/>
                <w:lang w:val="en-US" w:eastAsia="zh-CN"/>
              </w:rPr>
            </w:pPr>
            <w:r>
              <w:rPr>
                <w:rFonts w:hint="eastAsia" w:ascii="Times New Roman" w:hAnsi="Times New Roman" w:eastAsia="宋体" w:cs="Times New Roman"/>
                <w:color w:val="auto"/>
                <w:kern w:val="0"/>
                <w:highlight w:val="none"/>
                <w:u w:val="none" w:color="auto"/>
                <w:lang w:val="en-US" w:eastAsia="zh-CN"/>
              </w:rPr>
              <w:t>本项目设置一台2.2t/h生物质蒸汽发生器（1#），年工作280天，每天运行时长按9h计，设置一台2.5t/h生物质蒸汽发生器（2#），年工作350天，每天运行时长按9h计。用水主要是软化水设备用水（用于锅炉补水），软化水设备制备效率约70%，锅炉蒸汽经管道冷凝后大部分回收，损耗率约10%，2.2t/h生物质蒸汽发生器补充水1.98t/d，554.4t/a，2.5t/h生物质蒸汽发生器补充水2.25t/d，787.5t/a，则2.2t/h生物质蒸汽发生器新鲜用水量为2.83t/d，792.4t/a，2.5t/h生物质蒸汽发生器新鲜用水量为3.21t/d，1123.5t/a。</w:t>
            </w:r>
          </w:p>
          <w:p w14:paraId="743F8C0E">
            <w:pPr>
              <w:adjustRightInd w:val="0"/>
              <w:snapToGrid w:val="0"/>
              <w:spacing w:line="360" w:lineRule="auto"/>
              <w:ind w:firstLine="480" w:firstLineChars="200"/>
              <w:rPr>
                <w:rFonts w:hint="default" w:ascii="Times New Roman" w:hAnsi="Times New Roman" w:eastAsia="宋体" w:cs="Times New Roman"/>
                <w:color w:val="auto"/>
                <w:kern w:val="0"/>
                <w:highlight w:val="none"/>
                <w:u w:val="none" w:color="auto"/>
                <w:lang w:val="en-US" w:eastAsia="zh-CN"/>
              </w:rPr>
            </w:pPr>
            <w:r>
              <w:rPr>
                <w:rFonts w:hint="eastAsia" w:ascii="Times New Roman" w:hAnsi="Times New Roman" w:eastAsia="宋体" w:cs="Times New Roman"/>
                <w:color w:val="auto"/>
                <w:kern w:val="0"/>
                <w:highlight w:val="none"/>
                <w:u w:val="none" w:color="auto"/>
                <w:lang w:val="en-US" w:eastAsia="zh-CN"/>
              </w:rPr>
              <w:t>2.2t/h生物质蒸汽发生器软化水制备浓水产生量为</w:t>
            </w:r>
            <w:r>
              <w:rPr>
                <w:rFonts w:hint="eastAsia" w:cs="Times New Roman"/>
                <w:color w:val="auto"/>
                <w:kern w:val="0"/>
                <w:highlight w:val="none"/>
                <w:u w:val="none" w:color="auto"/>
                <w:lang w:val="en-US" w:eastAsia="zh-CN"/>
              </w:rPr>
              <w:t>0.85</w:t>
            </w:r>
            <w:r>
              <w:rPr>
                <w:rFonts w:hint="eastAsia" w:ascii="Times New Roman" w:hAnsi="Times New Roman" w:eastAsia="宋体" w:cs="Times New Roman"/>
                <w:color w:val="auto"/>
                <w:kern w:val="0"/>
                <w:highlight w:val="none"/>
                <w:u w:val="none" w:color="auto"/>
                <w:lang w:val="en-US" w:eastAsia="zh-CN"/>
              </w:rPr>
              <w:t>t/d，</w:t>
            </w:r>
            <w:r>
              <w:rPr>
                <w:rFonts w:hint="eastAsia" w:cs="Times New Roman"/>
                <w:color w:val="auto"/>
                <w:kern w:val="0"/>
                <w:highlight w:val="none"/>
                <w:u w:val="none" w:color="auto"/>
                <w:lang w:val="en-US" w:eastAsia="zh-CN"/>
              </w:rPr>
              <w:t>238</w:t>
            </w:r>
            <w:r>
              <w:rPr>
                <w:rFonts w:hint="eastAsia" w:ascii="Times New Roman" w:hAnsi="Times New Roman" w:eastAsia="宋体" w:cs="Times New Roman"/>
                <w:color w:val="auto"/>
                <w:kern w:val="0"/>
                <w:highlight w:val="none"/>
                <w:u w:val="none" w:color="auto"/>
                <w:lang w:val="en-US" w:eastAsia="zh-CN"/>
              </w:rPr>
              <w:t>t/a，2.5t/h生物质蒸汽发生器软化水制备浓水产生量为</w:t>
            </w:r>
            <w:r>
              <w:rPr>
                <w:rFonts w:hint="eastAsia" w:cs="Times New Roman"/>
                <w:color w:val="auto"/>
                <w:kern w:val="0"/>
                <w:highlight w:val="none"/>
                <w:u w:val="none" w:color="auto"/>
                <w:lang w:val="en-US" w:eastAsia="zh-CN"/>
              </w:rPr>
              <w:t>0.96</w:t>
            </w:r>
            <w:r>
              <w:rPr>
                <w:rFonts w:hint="eastAsia" w:ascii="Times New Roman" w:hAnsi="Times New Roman" w:eastAsia="宋体" w:cs="Times New Roman"/>
                <w:color w:val="auto"/>
                <w:kern w:val="0"/>
                <w:highlight w:val="none"/>
                <w:u w:val="none" w:color="auto"/>
                <w:lang w:val="en-US" w:eastAsia="zh-CN"/>
              </w:rPr>
              <w:t>t/d，</w:t>
            </w:r>
            <w:r>
              <w:rPr>
                <w:rFonts w:hint="eastAsia" w:cs="Times New Roman"/>
                <w:color w:val="auto"/>
                <w:kern w:val="0"/>
                <w:highlight w:val="none"/>
                <w:u w:val="none" w:color="auto"/>
                <w:lang w:val="en-US" w:eastAsia="zh-CN"/>
              </w:rPr>
              <w:t>336</w:t>
            </w:r>
            <w:r>
              <w:rPr>
                <w:rFonts w:hint="eastAsia" w:ascii="Times New Roman" w:hAnsi="Times New Roman" w:eastAsia="宋体" w:cs="Times New Roman"/>
                <w:color w:val="auto"/>
                <w:kern w:val="0"/>
                <w:highlight w:val="none"/>
                <w:u w:val="none" w:color="auto"/>
                <w:lang w:val="en-US" w:eastAsia="zh-CN"/>
              </w:rPr>
              <w:t>t/a。</w:t>
            </w:r>
          </w:p>
          <w:p w14:paraId="2313E94D">
            <w:pPr>
              <w:adjustRightInd w:val="0"/>
              <w:snapToGrid w:val="0"/>
              <w:spacing w:line="360" w:lineRule="auto"/>
              <w:ind w:firstLine="480" w:firstLineChars="200"/>
              <w:rPr>
                <w:rFonts w:hint="default" w:ascii="Times New Roman" w:hAnsi="Times New Roman" w:eastAsia="宋体"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参照《排放源统计调查产排污核算方法和系数手册》中“4430工业锅炉（热力生产和供应行业）产污系数表”中“化学需氧量产生量与废水产生量”的比值可知，COD产生浓度约84.27mg/L。根据《离子交换树脂再生废水中有机物组成与可生化性研究》（张伟明  李芳），COD/BOD</w:t>
            </w:r>
            <w:r>
              <w:rPr>
                <w:rFonts w:hint="eastAsia" w:cs="Times New Roman"/>
                <w:color w:val="auto"/>
                <w:kern w:val="0"/>
                <w:highlight w:val="none"/>
                <w:u w:val="none" w:color="auto"/>
                <w:vertAlign w:val="subscript"/>
                <w:lang w:val="en-US" w:eastAsia="zh-CN"/>
              </w:rPr>
              <w:t>5</w:t>
            </w:r>
            <w:r>
              <w:rPr>
                <w:rFonts w:hint="eastAsia" w:cs="Times New Roman"/>
                <w:color w:val="auto"/>
                <w:kern w:val="0"/>
                <w:highlight w:val="none"/>
                <w:u w:val="none" w:color="auto"/>
                <w:lang w:val="en-US" w:eastAsia="zh-CN"/>
              </w:rPr>
              <w:t>的比值为3.2±0.6，则本项目BDD</w:t>
            </w:r>
            <w:r>
              <w:rPr>
                <w:rFonts w:hint="eastAsia" w:cs="Times New Roman"/>
                <w:color w:val="auto"/>
                <w:kern w:val="0"/>
                <w:highlight w:val="none"/>
                <w:u w:val="none" w:color="auto"/>
                <w:vertAlign w:val="subscript"/>
                <w:lang w:val="en-US" w:eastAsia="zh-CN"/>
              </w:rPr>
              <w:t>5</w:t>
            </w:r>
            <w:r>
              <w:rPr>
                <w:rFonts w:hint="eastAsia" w:cs="Times New Roman"/>
                <w:color w:val="auto"/>
                <w:kern w:val="0"/>
                <w:highlight w:val="none"/>
                <w:u w:val="none" w:color="auto"/>
                <w:lang w:val="en-US" w:eastAsia="zh-CN"/>
              </w:rPr>
              <w:t>产生浓度为26mg/L。参照《铵型树脂再生废水氨氮释放动力学研究》（张伟明  李芳），氢型树脂再生废水氨氮均值9.8±3.2 mg/L，本项目按15mg/L计。总氮按20mg/L计。参照《低磷阻垢剂在工业水系统中的减排效果研究》（张红燕等），浓水TP均值1.4±0.3mg/L，本项目按1.5mg/L计。浓水中SS含量较低，本项目按50mg/L计。</w:t>
            </w:r>
          </w:p>
          <w:p w14:paraId="2F9EC455">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eastAsia" w:ascii="Times New Roman" w:hAnsi="Times New Roman" w:eastAsia="宋体" w:cs="Times New Roman"/>
                <w:color w:val="auto"/>
                <w:kern w:val="0"/>
                <w:highlight w:val="none"/>
                <w:u w:val="none" w:color="auto"/>
                <w:lang w:val="en-US" w:eastAsia="zh-CN"/>
              </w:rPr>
            </w:pPr>
            <w:r>
              <w:rPr>
                <w:rFonts w:hint="eastAsia" w:ascii="Times New Roman" w:hAnsi="Times New Roman" w:eastAsia="宋体" w:cs="Times New Roman"/>
                <w:b/>
                <w:bCs/>
                <w:color w:val="auto"/>
                <w:kern w:val="0"/>
                <w:sz w:val="21"/>
                <w:szCs w:val="21"/>
                <w:highlight w:val="none"/>
                <w:u w:val="none" w:color="auto"/>
                <w:lang w:val="en-US" w:eastAsia="zh-CN"/>
              </w:rPr>
              <w:t>表4-11 本项目</w:t>
            </w:r>
            <w:r>
              <w:rPr>
                <w:rFonts w:hint="eastAsia" w:ascii="Times New Roman" w:hAnsi="Times New Roman" w:cs="Times New Roman"/>
                <w:b/>
                <w:bCs/>
                <w:color w:val="auto"/>
                <w:kern w:val="0"/>
                <w:sz w:val="21"/>
                <w:szCs w:val="21"/>
                <w:highlight w:val="none"/>
                <w:u w:val="none" w:color="auto"/>
                <w:lang w:val="en-US" w:eastAsia="zh-CN"/>
              </w:rPr>
              <w:t>蒸汽发生器废水</w:t>
            </w:r>
            <w:r>
              <w:rPr>
                <w:rFonts w:hint="eastAsia" w:ascii="Times New Roman" w:hAnsi="Times New Roman" w:eastAsia="宋体" w:cs="Times New Roman"/>
                <w:b/>
                <w:bCs/>
                <w:color w:val="auto"/>
                <w:kern w:val="0"/>
                <w:sz w:val="21"/>
                <w:szCs w:val="21"/>
                <w:highlight w:val="none"/>
                <w:u w:val="none" w:color="auto"/>
                <w:lang w:val="en-US" w:eastAsia="zh-CN"/>
              </w:rPr>
              <w:t>产生情况一览表</w:t>
            </w:r>
          </w:p>
          <w:tbl>
            <w:tblPr>
              <w:tblStyle w:val="43"/>
              <w:tblW w:w="79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
              <w:gridCol w:w="1100"/>
              <w:gridCol w:w="857"/>
              <w:gridCol w:w="857"/>
              <w:gridCol w:w="857"/>
              <w:gridCol w:w="857"/>
              <w:gridCol w:w="857"/>
              <w:gridCol w:w="857"/>
              <w:gridCol w:w="858"/>
            </w:tblGrid>
            <w:tr w14:paraId="56506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tcBorders>
                    <w:top w:val="single" w:color="auto" w:sz="12" w:space="0"/>
                  </w:tcBorders>
                  <w:vAlign w:val="center"/>
                </w:tcPr>
                <w:p w14:paraId="0BBA2F5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cs="Times New Roman"/>
                      <w:color w:val="auto"/>
                      <w:kern w:val="0"/>
                      <w:sz w:val="21"/>
                      <w:szCs w:val="21"/>
                      <w:highlight w:val="none"/>
                      <w:u w:val="none" w:color="auto"/>
                      <w:vertAlign w:val="baseline"/>
                      <w:lang w:val="en-US" w:eastAsia="zh-CN"/>
                    </w:rPr>
                    <w:t>污染源</w:t>
                  </w:r>
                </w:p>
              </w:tc>
              <w:tc>
                <w:tcPr>
                  <w:tcW w:w="1100" w:type="dxa"/>
                  <w:tcBorders>
                    <w:top w:val="single" w:color="auto" w:sz="12" w:space="0"/>
                  </w:tcBorders>
                  <w:vAlign w:val="center"/>
                </w:tcPr>
                <w:p w14:paraId="236F785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污染物</w:t>
                  </w:r>
                </w:p>
              </w:tc>
              <w:tc>
                <w:tcPr>
                  <w:tcW w:w="857" w:type="dxa"/>
                  <w:tcBorders>
                    <w:top w:val="single" w:color="auto" w:sz="12" w:space="0"/>
                  </w:tcBorders>
                  <w:vAlign w:val="center"/>
                </w:tcPr>
                <w:p w14:paraId="359B1A8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cs="Times New Roman"/>
                      <w:color w:val="auto"/>
                      <w:kern w:val="0"/>
                      <w:sz w:val="21"/>
                      <w:szCs w:val="21"/>
                      <w:highlight w:val="none"/>
                      <w:u w:val="none" w:color="auto"/>
                      <w:vertAlign w:val="baseline"/>
                      <w:lang w:val="en-US" w:eastAsia="zh-CN"/>
                    </w:rPr>
                    <w:t>废水量</w:t>
                  </w:r>
                </w:p>
              </w:tc>
              <w:tc>
                <w:tcPr>
                  <w:tcW w:w="857" w:type="dxa"/>
                  <w:tcBorders>
                    <w:top w:val="single" w:color="auto" w:sz="12" w:space="0"/>
                  </w:tcBorders>
                  <w:vAlign w:val="center"/>
                </w:tcPr>
                <w:p w14:paraId="1B7A338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CODcr</w:t>
                  </w:r>
                </w:p>
              </w:tc>
              <w:tc>
                <w:tcPr>
                  <w:tcW w:w="857" w:type="dxa"/>
                  <w:tcBorders>
                    <w:top w:val="single" w:color="auto" w:sz="12" w:space="0"/>
                  </w:tcBorders>
                  <w:vAlign w:val="center"/>
                </w:tcPr>
                <w:p w14:paraId="546D13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BOD</w:t>
                  </w:r>
                  <w:r>
                    <w:rPr>
                      <w:rFonts w:hint="eastAsia" w:ascii="Times New Roman" w:hAnsi="Times New Roman" w:eastAsia="宋体" w:cs="Times New Roman"/>
                      <w:color w:val="auto"/>
                      <w:kern w:val="0"/>
                      <w:sz w:val="21"/>
                      <w:szCs w:val="21"/>
                      <w:highlight w:val="none"/>
                      <w:u w:val="none" w:color="auto"/>
                      <w:vertAlign w:val="subscript"/>
                      <w:lang w:val="en-US" w:eastAsia="zh-CN"/>
                    </w:rPr>
                    <w:t>5</w:t>
                  </w:r>
                </w:p>
              </w:tc>
              <w:tc>
                <w:tcPr>
                  <w:tcW w:w="857" w:type="dxa"/>
                  <w:tcBorders>
                    <w:top w:val="single" w:color="auto" w:sz="12" w:space="0"/>
                  </w:tcBorders>
                  <w:vAlign w:val="center"/>
                </w:tcPr>
                <w:p w14:paraId="46B5EB3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氨氮</w:t>
                  </w:r>
                </w:p>
              </w:tc>
              <w:tc>
                <w:tcPr>
                  <w:tcW w:w="857" w:type="dxa"/>
                  <w:tcBorders>
                    <w:top w:val="single" w:color="auto" w:sz="12" w:space="0"/>
                  </w:tcBorders>
                  <w:vAlign w:val="center"/>
                </w:tcPr>
                <w:p w14:paraId="7BAFB44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总氮</w:t>
                  </w:r>
                </w:p>
              </w:tc>
              <w:tc>
                <w:tcPr>
                  <w:tcW w:w="857" w:type="dxa"/>
                  <w:tcBorders>
                    <w:top w:val="single" w:color="auto" w:sz="12" w:space="0"/>
                  </w:tcBorders>
                  <w:vAlign w:val="center"/>
                </w:tcPr>
                <w:p w14:paraId="784B93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SS</w:t>
                  </w:r>
                </w:p>
              </w:tc>
              <w:tc>
                <w:tcPr>
                  <w:tcW w:w="858" w:type="dxa"/>
                  <w:tcBorders>
                    <w:top w:val="single" w:color="auto" w:sz="12" w:space="0"/>
                    <w:right w:val="single" w:color="auto" w:sz="12" w:space="0"/>
                  </w:tcBorders>
                  <w:vAlign w:val="center"/>
                </w:tcPr>
                <w:p w14:paraId="3316AF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总磷</w:t>
                  </w:r>
                </w:p>
              </w:tc>
            </w:tr>
            <w:tr w14:paraId="14987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Merge w:val="restart"/>
                  <w:tcBorders>
                    <w:left w:val="single" w:color="auto" w:sz="4" w:space="0"/>
                  </w:tcBorders>
                  <w:vAlign w:val="center"/>
                </w:tcPr>
                <w:p w14:paraId="014363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cs="Times New Roman"/>
                      <w:color w:val="auto"/>
                      <w:kern w:val="0"/>
                      <w:sz w:val="21"/>
                      <w:szCs w:val="21"/>
                      <w:highlight w:val="none"/>
                      <w:u w:val="none" w:color="auto"/>
                      <w:vertAlign w:val="baseline"/>
                      <w:lang w:val="en-US" w:eastAsia="zh-CN"/>
                    </w:rPr>
                    <w:t>2.2t/h生物质蒸汽发生器</w:t>
                  </w:r>
                </w:p>
              </w:tc>
              <w:tc>
                <w:tcPr>
                  <w:tcW w:w="1100" w:type="dxa"/>
                  <w:vAlign w:val="center"/>
                </w:tcPr>
                <w:p w14:paraId="36E9CB9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产生浓度（mg/L）</w:t>
                  </w:r>
                </w:p>
              </w:tc>
              <w:tc>
                <w:tcPr>
                  <w:tcW w:w="857" w:type="dxa"/>
                  <w:vAlign w:val="center"/>
                </w:tcPr>
                <w:p w14:paraId="53A74AE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cs="Times New Roman"/>
                      <w:color w:val="auto"/>
                      <w:kern w:val="0"/>
                      <w:sz w:val="21"/>
                      <w:szCs w:val="21"/>
                      <w:highlight w:val="none"/>
                      <w:u w:val="none" w:color="auto"/>
                      <w:vertAlign w:val="baseline"/>
                      <w:lang w:val="en-US" w:eastAsia="zh-CN"/>
                    </w:rPr>
                    <w:t>/</w:t>
                  </w:r>
                </w:p>
              </w:tc>
              <w:tc>
                <w:tcPr>
                  <w:tcW w:w="857" w:type="dxa"/>
                  <w:vAlign w:val="center"/>
                </w:tcPr>
                <w:p w14:paraId="50D4A87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cs="Times New Roman"/>
                      <w:color w:val="auto"/>
                      <w:kern w:val="0"/>
                      <w:sz w:val="21"/>
                      <w:szCs w:val="21"/>
                      <w:highlight w:val="none"/>
                      <w:u w:val="none" w:color="auto"/>
                      <w:vertAlign w:val="baseline"/>
                      <w:lang w:val="en-US" w:eastAsia="zh-CN"/>
                    </w:rPr>
                    <w:t>84.27</w:t>
                  </w:r>
                </w:p>
              </w:tc>
              <w:tc>
                <w:tcPr>
                  <w:tcW w:w="857" w:type="dxa"/>
                  <w:vAlign w:val="center"/>
                </w:tcPr>
                <w:p w14:paraId="3D09645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cs="Times New Roman"/>
                      <w:color w:val="auto"/>
                      <w:kern w:val="0"/>
                      <w:sz w:val="21"/>
                      <w:szCs w:val="21"/>
                      <w:highlight w:val="none"/>
                      <w:u w:val="none" w:color="auto"/>
                      <w:vertAlign w:val="baseline"/>
                      <w:lang w:val="en-US" w:eastAsia="zh-CN"/>
                    </w:rPr>
                    <w:t>26</w:t>
                  </w:r>
                </w:p>
              </w:tc>
              <w:tc>
                <w:tcPr>
                  <w:tcW w:w="857" w:type="dxa"/>
                  <w:vAlign w:val="center"/>
                </w:tcPr>
                <w:p w14:paraId="380F47A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cs="Times New Roman"/>
                      <w:color w:val="auto"/>
                      <w:kern w:val="0"/>
                      <w:sz w:val="21"/>
                      <w:szCs w:val="21"/>
                      <w:highlight w:val="none"/>
                      <w:u w:val="none" w:color="auto"/>
                      <w:vertAlign w:val="baseline"/>
                      <w:lang w:val="en-US" w:eastAsia="zh-CN"/>
                    </w:rPr>
                    <w:t>15</w:t>
                  </w:r>
                </w:p>
              </w:tc>
              <w:tc>
                <w:tcPr>
                  <w:tcW w:w="857" w:type="dxa"/>
                  <w:vAlign w:val="center"/>
                </w:tcPr>
                <w:p w14:paraId="4AF080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cs="Times New Roman"/>
                      <w:color w:val="auto"/>
                      <w:kern w:val="0"/>
                      <w:sz w:val="21"/>
                      <w:szCs w:val="21"/>
                      <w:highlight w:val="none"/>
                      <w:u w:val="none" w:color="auto"/>
                      <w:vertAlign w:val="baseline"/>
                      <w:lang w:val="en-US" w:eastAsia="zh-CN"/>
                    </w:rPr>
                    <w:t>20</w:t>
                  </w:r>
                </w:p>
              </w:tc>
              <w:tc>
                <w:tcPr>
                  <w:tcW w:w="857" w:type="dxa"/>
                  <w:vAlign w:val="center"/>
                </w:tcPr>
                <w:p w14:paraId="74F2A88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cs="Times New Roman"/>
                      <w:color w:val="auto"/>
                      <w:kern w:val="0"/>
                      <w:sz w:val="21"/>
                      <w:szCs w:val="21"/>
                      <w:highlight w:val="none"/>
                      <w:u w:val="none" w:color="auto"/>
                      <w:vertAlign w:val="baseline"/>
                      <w:lang w:val="en-US" w:eastAsia="zh-CN"/>
                    </w:rPr>
                    <w:t>50</w:t>
                  </w:r>
                </w:p>
              </w:tc>
              <w:tc>
                <w:tcPr>
                  <w:tcW w:w="858" w:type="dxa"/>
                  <w:tcBorders>
                    <w:right w:val="single" w:color="auto" w:sz="12" w:space="0"/>
                  </w:tcBorders>
                  <w:vAlign w:val="center"/>
                </w:tcPr>
                <w:p w14:paraId="40A1F4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cs="Times New Roman"/>
                      <w:color w:val="auto"/>
                      <w:kern w:val="0"/>
                      <w:sz w:val="21"/>
                      <w:szCs w:val="21"/>
                      <w:highlight w:val="none"/>
                      <w:u w:val="none" w:color="auto"/>
                      <w:vertAlign w:val="baseline"/>
                      <w:lang w:val="en-US" w:eastAsia="zh-CN"/>
                    </w:rPr>
                    <w:t>1.5</w:t>
                  </w:r>
                </w:p>
              </w:tc>
            </w:tr>
            <w:tr w14:paraId="00EF3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Merge w:val="continue"/>
                  <w:tcBorders>
                    <w:left w:val="single" w:color="auto" w:sz="4" w:space="0"/>
                  </w:tcBorders>
                  <w:vAlign w:val="center"/>
                </w:tcPr>
                <w:p w14:paraId="7D69553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p>
              </w:tc>
              <w:tc>
                <w:tcPr>
                  <w:tcW w:w="1100" w:type="dxa"/>
                  <w:vAlign w:val="center"/>
                </w:tcPr>
                <w:p w14:paraId="4FE498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产生量（t/a）</w:t>
                  </w:r>
                </w:p>
              </w:tc>
              <w:tc>
                <w:tcPr>
                  <w:tcW w:w="857" w:type="dxa"/>
                  <w:vAlign w:val="center"/>
                </w:tcPr>
                <w:p w14:paraId="776687C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238</w:t>
                  </w:r>
                </w:p>
              </w:tc>
              <w:tc>
                <w:tcPr>
                  <w:tcW w:w="857" w:type="dxa"/>
                  <w:vAlign w:val="center"/>
                </w:tcPr>
                <w:p w14:paraId="6176710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0.0201</w:t>
                  </w:r>
                </w:p>
              </w:tc>
              <w:tc>
                <w:tcPr>
                  <w:tcW w:w="857" w:type="dxa"/>
                  <w:vAlign w:val="center"/>
                </w:tcPr>
                <w:p w14:paraId="6E081AF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0.0062</w:t>
                  </w:r>
                </w:p>
              </w:tc>
              <w:tc>
                <w:tcPr>
                  <w:tcW w:w="857" w:type="dxa"/>
                  <w:vAlign w:val="center"/>
                </w:tcPr>
                <w:p w14:paraId="5D01BBE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0.0036</w:t>
                  </w:r>
                </w:p>
              </w:tc>
              <w:tc>
                <w:tcPr>
                  <w:tcW w:w="857" w:type="dxa"/>
                  <w:vAlign w:val="center"/>
                </w:tcPr>
                <w:p w14:paraId="1A03819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0.0048</w:t>
                  </w:r>
                </w:p>
              </w:tc>
              <w:tc>
                <w:tcPr>
                  <w:tcW w:w="857" w:type="dxa"/>
                  <w:vAlign w:val="center"/>
                </w:tcPr>
                <w:p w14:paraId="694537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0.0119</w:t>
                  </w:r>
                </w:p>
              </w:tc>
              <w:tc>
                <w:tcPr>
                  <w:tcW w:w="858" w:type="dxa"/>
                  <w:tcBorders>
                    <w:right w:val="single" w:color="auto" w:sz="12" w:space="0"/>
                  </w:tcBorders>
                  <w:vAlign w:val="center"/>
                </w:tcPr>
                <w:p w14:paraId="1155A1C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0.0004</w:t>
                  </w:r>
                </w:p>
              </w:tc>
            </w:tr>
            <w:tr w14:paraId="24D0B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Merge w:val="restart"/>
                  <w:tcBorders>
                    <w:left w:val="single" w:color="auto" w:sz="4" w:space="0"/>
                  </w:tcBorders>
                  <w:shd w:val="clear" w:color="auto" w:fill="auto"/>
                  <w:vAlign w:val="center"/>
                </w:tcPr>
                <w:p w14:paraId="63C62EA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cs="Times New Roman"/>
                      <w:color w:val="auto"/>
                      <w:kern w:val="0"/>
                      <w:sz w:val="21"/>
                      <w:szCs w:val="21"/>
                      <w:highlight w:val="none"/>
                      <w:u w:val="none" w:color="auto"/>
                      <w:vertAlign w:val="baseline"/>
                      <w:lang w:val="en-US" w:eastAsia="zh-CN"/>
                    </w:rPr>
                    <w:t>2.5t/h生物质蒸汽发生器</w:t>
                  </w:r>
                </w:p>
              </w:tc>
              <w:tc>
                <w:tcPr>
                  <w:tcW w:w="1100" w:type="dxa"/>
                  <w:shd w:val="clear" w:color="auto" w:fill="auto"/>
                  <w:vAlign w:val="center"/>
                </w:tcPr>
                <w:p w14:paraId="6569383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highlight w:val="none"/>
                      <w:u w:val="none" w:color="auto"/>
                      <w:vertAlign w:val="baseline"/>
                      <w:lang w:val="en-US" w:eastAsia="zh-CN" w:bidi="ar-SA"/>
                    </w:rPr>
                  </w:pPr>
                  <w:r>
                    <w:rPr>
                      <w:rFonts w:hint="eastAsia" w:ascii="Times New Roman" w:hAnsi="Times New Roman" w:eastAsia="宋体" w:cs="Times New Roman"/>
                      <w:color w:val="auto"/>
                      <w:kern w:val="0"/>
                      <w:sz w:val="21"/>
                      <w:szCs w:val="21"/>
                      <w:highlight w:val="none"/>
                      <w:u w:val="none" w:color="auto"/>
                      <w:vertAlign w:val="baseline"/>
                      <w:lang w:val="en-US" w:eastAsia="zh-CN"/>
                    </w:rPr>
                    <w:t>产生浓度（mg/L）</w:t>
                  </w:r>
                </w:p>
              </w:tc>
              <w:tc>
                <w:tcPr>
                  <w:tcW w:w="857" w:type="dxa"/>
                  <w:vAlign w:val="center"/>
                </w:tcPr>
                <w:p w14:paraId="1ED618B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highlight w:val="none"/>
                      <w:u w:val="none" w:color="auto"/>
                      <w:vertAlign w:val="baseline"/>
                      <w:lang w:val="en-US" w:eastAsia="zh-CN"/>
                    </w:rPr>
                  </w:pPr>
                  <w:r>
                    <w:rPr>
                      <w:rFonts w:hint="eastAsia" w:ascii="Times New Roman" w:hAnsi="Times New Roman" w:cs="Times New Roman"/>
                      <w:color w:val="auto"/>
                      <w:kern w:val="0"/>
                      <w:sz w:val="21"/>
                      <w:szCs w:val="21"/>
                      <w:highlight w:val="none"/>
                      <w:u w:val="none" w:color="auto"/>
                      <w:vertAlign w:val="baseline"/>
                      <w:lang w:val="en-US" w:eastAsia="zh-CN"/>
                    </w:rPr>
                    <w:t>/</w:t>
                  </w:r>
                </w:p>
              </w:tc>
              <w:tc>
                <w:tcPr>
                  <w:tcW w:w="857" w:type="dxa"/>
                  <w:shd w:val="clear" w:color="auto" w:fill="auto"/>
                  <w:vAlign w:val="center"/>
                </w:tcPr>
                <w:p w14:paraId="61E88BA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bidi="ar-SA"/>
                    </w:rPr>
                  </w:pPr>
                  <w:r>
                    <w:rPr>
                      <w:rFonts w:hint="eastAsia" w:ascii="Times New Roman" w:hAnsi="Times New Roman" w:cs="Times New Roman"/>
                      <w:color w:val="auto"/>
                      <w:kern w:val="0"/>
                      <w:sz w:val="21"/>
                      <w:szCs w:val="21"/>
                      <w:highlight w:val="none"/>
                      <w:u w:val="none" w:color="auto"/>
                      <w:vertAlign w:val="baseline"/>
                      <w:lang w:val="en-US" w:eastAsia="zh-CN"/>
                    </w:rPr>
                    <w:t>84.27</w:t>
                  </w:r>
                </w:p>
              </w:tc>
              <w:tc>
                <w:tcPr>
                  <w:tcW w:w="857" w:type="dxa"/>
                  <w:shd w:val="clear" w:color="auto" w:fill="auto"/>
                  <w:vAlign w:val="center"/>
                </w:tcPr>
                <w:p w14:paraId="01BCB30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bidi="ar-SA"/>
                    </w:rPr>
                  </w:pPr>
                  <w:r>
                    <w:rPr>
                      <w:rFonts w:hint="eastAsia" w:ascii="Times New Roman" w:hAnsi="Times New Roman" w:cs="Times New Roman"/>
                      <w:color w:val="auto"/>
                      <w:kern w:val="0"/>
                      <w:sz w:val="21"/>
                      <w:szCs w:val="21"/>
                      <w:highlight w:val="none"/>
                      <w:u w:val="none" w:color="auto"/>
                      <w:vertAlign w:val="baseline"/>
                      <w:lang w:val="en-US" w:eastAsia="zh-CN"/>
                    </w:rPr>
                    <w:t>26</w:t>
                  </w:r>
                </w:p>
              </w:tc>
              <w:tc>
                <w:tcPr>
                  <w:tcW w:w="857" w:type="dxa"/>
                  <w:shd w:val="clear" w:color="auto" w:fill="auto"/>
                  <w:vAlign w:val="center"/>
                </w:tcPr>
                <w:p w14:paraId="2AB714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bidi="ar-SA"/>
                    </w:rPr>
                  </w:pPr>
                  <w:r>
                    <w:rPr>
                      <w:rFonts w:hint="eastAsia" w:ascii="Times New Roman" w:hAnsi="Times New Roman" w:cs="Times New Roman"/>
                      <w:color w:val="auto"/>
                      <w:kern w:val="0"/>
                      <w:sz w:val="21"/>
                      <w:szCs w:val="21"/>
                      <w:highlight w:val="none"/>
                      <w:u w:val="none" w:color="auto"/>
                      <w:vertAlign w:val="baseline"/>
                      <w:lang w:val="en-US" w:eastAsia="zh-CN"/>
                    </w:rPr>
                    <w:t>15</w:t>
                  </w:r>
                </w:p>
              </w:tc>
              <w:tc>
                <w:tcPr>
                  <w:tcW w:w="857" w:type="dxa"/>
                  <w:shd w:val="clear" w:color="auto" w:fill="auto"/>
                  <w:vAlign w:val="center"/>
                </w:tcPr>
                <w:p w14:paraId="5F095C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bidi="ar-SA"/>
                    </w:rPr>
                  </w:pPr>
                  <w:r>
                    <w:rPr>
                      <w:rFonts w:hint="eastAsia" w:ascii="Times New Roman" w:hAnsi="Times New Roman" w:cs="Times New Roman"/>
                      <w:color w:val="auto"/>
                      <w:kern w:val="0"/>
                      <w:sz w:val="21"/>
                      <w:szCs w:val="21"/>
                      <w:highlight w:val="none"/>
                      <w:u w:val="none" w:color="auto"/>
                      <w:vertAlign w:val="baseline"/>
                      <w:lang w:val="en-US" w:eastAsia="zh-CN"/>
                    </w:rPr>
                    <w:t>20</w:t>
                  </w:r>
                </w:p>
              </w:tc>
              <w:tc>
                <w:tcPr>
                  <w:tcW w:w="857" w:type="dxa"/>
                  <w:shd w:val="clear" w:color="auto" w:fill="auto"/>
                  <w:vAlign w:val="center"/>
                </w:tcPr>
                <w:p w14:paraId="30A691D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bidi="ar-SA"/>
                    </w:rPr>
                  </w:pPr>
                  <w:r>
                    <w:rPr>
                      <w:rFonts w:hint="eastAsia" w:ascii="Times New Roman" w:hAnsi="Times New Roman" w:cs="Times New Roman"/>
                      <w:color w:val="auto"/>
                      <w:kern w:val="0"/>
                      <w:sz w:val="21"/>
                      <w:szCs w:val="21"/>
                      <w:highlight w:val="none"/>
                      <w:u w:val="none" w:color="auto"/>
                      <w:vertAlign w:val="baseline"/>
                      <w:lang w:val="en-US" w:eastAsia="zh-CN"/>
                    </w:rPr>
                    <w:t>50</w:t>
                  </w:r>
                </w:p>
              </w:tc>
              <w:tc>
                <w:tcPr>
                  <w:tcW w:w="858" w:type="dxa"/>
                  <w:tcBorders>
                    <w:right w:val="single" w:color="auto" w:sz="12" w:space="0"/>
                  </w:tcBorders>
                  <w:shd w:val="clear" w:color="auto" w:fill="auto"/>
                  <w:vAlign w:val="center"/>
                </w:tcPr>
                <w:p w14:paraId="276BCBF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bidi="ar-SA"/>
                    </w:rPr>
                  </w:pPr>
                  <w:r>
                    <w:rPr>
                      <w:rFonts w:hint="eastAsia" w:ascii="Times New Roman" w:hAnsi="Times New Roman" w:cs="Times New Roman"/>
                      <w:color w:val="auto"/>
                      <w:kern w:val="0"/>
                      <w:sz w:val="21"/>
                      <w:szCs w:val="21"/>
                      <w:highlight w:val="none"/>
                      <w:u w:val="none" w:color="auto"/>
                      <w:vertAlign w:val="baseline"/>
                      <w:lang w:val="en-US" w:eastAsia="zh-CN"/>
                    </w:rPr>
                    <w:t>1.5</w:t>
                  </w:r>
                </w:p>
              </w:tc>
            </w:tr>
            <w:tr w14:paraId="616411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Merge w:val="continue"/>
                  <w:tcBorders>
                    <w:left w:val="single" w:color="auto" w:sz="4" w:space="0"/>
                    <w:bottom w:val="single" w:color="auto" w:sz="12" w:space="0"/>
                  </w:tcBorders>
                  <w:vAlign w:val="center"/>
                </w:tcPr>
                <w:p w14:paraId="1223C7C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p>
              </w:tc>
              <w:tc>
                <w:tcPr>
                  <w:tcW w:w="1100" w:type="dxa"/>
                  <w:tcBorders>
                    <w:bottom w:val="single" w:color="auto" w:sz="12" w:space="0"/>
                  </w:tcBorders>
                  <w:shd w:val="clear" w:color="auto" w:fill="auto"/>
                  <w:vAlign w:val="center"/>
                </w:tcPr>
                <w:p w14:paraId="482DA94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highlight w:val="none"/>
                      <w:u w:val="none" w:color="auto"/>
                      <w:vertAlign w:val="baseline"/>
                      <w:lang w:val="en-US" w:eastAsia="zh-CN" w:bidi="ar-SA"/>
                    </w:rPr>
                  </w:pPr>
                  <w:r>
                    <w:rPr>
                      <w:rFonts w:hint="eastAsia" w:ascii="Times New Roman" w:hAnsi="Times New Roman" w:eastAsia="宋体" w:cs="Times New Roman"/>
                      <w:color w:val="auto"/>
                      <w:kern w:val="0"/>
                      <w:sz w:val="21"/>
                      <w:szCs w:val="21"/>
                      <w:highlight w:val="none"/>
                      <w:u w:val="none" w:color="auto"/>
                      <w:vertAlign w:val="baseline"/>
                      <w:lang w:val="en-US" w:eastAsia="zh-CN"/>
                    </w:rPr>
                    <w:t>产生量（t/a）</w:t>
                  </w:r>
                </w:p>
              </w:tc>
              <w:tc>
                <w:tcPr>
                  <w:tcW w:w="857" w:type="dxa"/>
                  <w:tcBorders>
                    <w:bottom w:val="single" w:color="auto" w:sz="12" w:space="0"/>
                  </w:tcBorders>
                  <w:vAlign w:val="center"/>
                </w:tcPr>
                <w:p w14:paraId="0066B6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336</w:t>
                  </w:r>
                </w:p>
              </w:tc>
              <w:tc>
                <w:tcPr>
                  <w:tcW w:w="857" w:type="dxa"/>
                  <w:tcBorders>
                    <w:bottom w:val="single" w:color="auto" w:sz="12" w:space="0"/>
                  </w:tcBorders>
                  <w:vAlign w:val="center"/>
                </w:tcPr>
                <w:p w14:paraId="40D5EA2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0.0283</w:t>
                  </w:r>
                </w:p>
              </w:tc>
              <w:tc>
                <w:tcPr>
                  <w:tcW w:w="857" w:type="dxa"/>
                  <w:tcBorders>
                    <w:bottom w:val="single" w:color="auto" w:sz="12" w:space="0"/>
                  </w:tcBorders>
                  <w:vAlign w:val="center"/>
                </w:tcPr>
                <w:p w14:paraId="3364653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0.0087</w:t>
                  </w:r>
                </w:p>
              </w:tc>
              <w:tc>
                <w:tcPr>
                  <w:tcW w:w="857" w:type="dxa"/>
                  <w:tcBorders>
                    <w:bottom w:val="single" w:color="auto" w:sz="12" w:space="0"/>
                  </w:tcBorders>
                  <w:vAlign w:val="center"/>
                </w:tcPr>
                <w:p w14:paraId="3B6C3DF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0.0050</w:t>
                  </w:r>
                </w:p>
              </w:tc>
              <w:tc>
                <w:tcPr>
                  <w:tcW w:w="857" w:type="dxa"/>
                  <w:tcBorders>
                    <w:bottom w:val="single" w:color="auto" w:sz="12" w:space="0"/>
                  </w:tcBorders>
                  <w:vAlign w:val="center"/>
                </w:tcPr>
                <w:p w14:paraId="0B9BC44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0.0067</w:t>
                  </w:r>
                </w:p>
              </w:tc>
              <w:tc>
                <w:tcPr>
                  <w:tcW w:w="857" w:type="dxa"/>
                  <w:tcBorders>
                    <w:bottom w:val="single" w:color="auto" w:sz="12" w:space="0"/>
                  </w:tcBorders>
                  <w:vAlign w:val="center"/>
                </w:tcPr>
                <w:p w14:paraId="4904E4D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0.0168</w:t>
                  </w:r>
                </w:p>
              </w:tc>
              <w:tc>
                <w:tcPr>
                  <w:tcW w:w="858" w:type="dxa"/>
                  <w:tcBorders>
                    <w:bottom w:val="single" w:color="auto" w:sz="12" w:space="0"/>
                    <w:right w:val="single" w:color="auto" w:sz="12" w:space="0"/>
                  </w:tcBorders>
                  <w:vAlign w:val="center"/>
                </w:tcPr>
                <w:p w14:paraId="70FBA45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0.0005</w:t>
                  </w:r>
                </w:p>
              </w:tc>
            </w:tr>
          </w:tbl>
          <w:p w14:paraId="28146C50">
            <w:pPr>
              <w:adjustRightInd w:val="0"/>
              <w:snapToGrid w:val="0"/>
              <w:spacing w:line="360" w:lineRule="auto"/>
              <w:ind w:firstLine="480" w:firstLineChars="200"/>
              <w:rPr>
                <w:rFonts w:hint="default" w:ascii="Times New Roman" w:hAnsi="Times New Roman" w:eastAsia="宋体"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综上所述，本项目生产废水产生情况如下</w:t>
            </w:r>
          </w:p>
          <w:p w14:paraId="7A8C0649">
            <w:pPr>
              <w:adjustRightInd w:val="0"/>
              <w:snapToGrid w:val="0"/>
              <w:spacing w:line="360" w:lineRule="auto"/>
              <w:ind w:firstLine="422" w:firstLineChars="200"/>
              <w:jc w:val="center"/>
              <w:rPr>
                <w:rFonts w:hint="default" w:ascii="Times New Roman" w:hAnsi="Times New Roman" w:eastAsia="宋体" w:cs="Times New Roman"/>
                <w:color w:val="auto"/>
                <w:kern w:val="0"/>
                <w:highlight w:val="none"/>
                <w:u w:val="none" w:color="auto"/>
                <w:lang w:val="en-US" w:eastAsia="zh-CN"/>
              </w:rPr>
            </w:pPr>
            <w:r>
              <w:rPr>
                <w:rFonts w:hint="default" w:ascii="Times New Roman" w:hAnsi="Times New Roman" w:eastAsia="宋体" w:cs="Times New Roman"/>
                <w:b/>
                <w:bCs/>
                <w:color w:val="auto"/>
                <w:kern w:val="0"/>
                <w:sz w:val="21"/>
                <w:szCs w:val="21"/>
                <w:highlight w:val="none"/>
                <w:u w:val="none" w:color="auto"/>
                <w:lang w:val="en-US" w:eastAsia="zh-CN"/>
              </w:rPr>
              <w:t>表4-1</w:t>
            </w:r>
            <w:r>
              <w:rPr>
                <w:rFonts w:hint="default" w:ascii="Times New Roman" w:hAnsi="Times New Roman" w:cs="Times New Roman"/>
                <w:b/>
                <w:bCs/>
                <w:color w:val="auto"/>
                <w:kern w:val="0"/>
                <w:sz w:val="21"/>
                <w:szCs w:val="21"/>
                <w:highlight w:val="none"/>
                <w:u w:val="none" w:color="auto"/>
                <w:lang w:val="en-US" w:eastAsia="zh-CN"/>
              </w:rPr>
              <w:t>2</w:t>
            </w:r>
            <w:r>
              <w:rPr>
                <w:rFonts w:hint="default" w:ascii="Times New Roman" w:hAnsi="Times New Roman" w:eastAsia="宋体" w:cs="Times New Roman"/>
                <w:b/>
                <w:bCs/>
                <w:color w:val="auto"/>
                <w:kern w:val="0"/>
                <w:sz w:val="21"/>
                <w:szCs w:val="21"/>
                <w:highlight w:val="none"/>
                <w:u w:val="none" w:color="auto"/>
                <w:lang w:val="en-US" w:eastAsia="zh-CN"/>
              </w:rPr>
              <w:t xml:space="preserve"> </w:t>
            </w:r>
            <w:r>
              <w:rPr>
                <w:rFonts w:hint="default" w:ascii="Times New Roman" w:hAnsi="Times New Roman" w:cs="Times New Roman"/>
                <w:b/>
                <w:bCs/>
                <w:color w:val="auto"/>
                <w:kern w:val="0"/>
                <w:sz w:val="21"/>
                <w:szCs w:val="21"/>
                <w:highlight w:val="none"/>
                <w:u w:val="none" w:color="auto"/>
                <w:lang w:val="en-US" w:eastAsia="zh-CN"/>
              </w:rPr>
              <w:t>生产废水产生情况一览表</w:t>
            </w:r>
          </w:p>
          <w:tbl>
            <w:tblPr>
              <w:tblStyle w:val="43"/>
              <w:tblW w:w="798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
              <w:gridCol w:w="1100"/>
              <w:gridCol w:w="750"/>
              <w:gridCol w:w="750"/>
              <w:gridCol w:w="750"/>
              <w:gridCol w:w="750"/>
              <w:gridCol w:w="750"/>
              <w:gridCol w:w="750"/>
              <w:gridCol w:w="750"/>
              <w:gridCol w:w="750"/>
            </w:tblGrid>
            <w:tr w14:paraId="4E90D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tcBorders>
                    <w:top w:val="single" w:color="auto" w:sz="12" w:space="0"/>
                    <w:right w:val="single" w:color="auto" w:sz="4" w:space="0"/>
                  </w:tcBorders>
                  <w:vAlign w:val="center"/>
                </w:tcPr>
                <w:p w14:paraId="270C332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cs="Times New Roman"/>
                      <w:color w:val="auto"/>
                      <w:kern w:val="0"/>
                      <w:sz w:val="21"/>
                      <w:szCs w:val="21"/>
                      <w:highlight w:val="none"/>
                      <w:u w:val="none" w:color="auto"/>
                      <w:vertAlign w:val="baseline"/>
                      <w:lang w:val="en-US" w:eastAsia="zh-CN"/>
                    </w:rPr>
                    <w:t>污染源</w:t>
                  </w:r>
                </w:p>
              </w:tc>
              <w:tc>
                <w:tcPr>
                  <w:tcW w:w="1100" w:type="dxa"/>
                  <w:tcBorders>
                    <w:top w:val="single" w:color="auto" w:sz="12" w:space="0"/>
                    <w:left w:val="single" w:color="auto" w:sz="4" w:space="0"/>
                    <w:right w:val="single" w:color="auto" w:sz="4" w:space="0"/>
                  </w:tcBorders>
                  <w:vAlign w:val="center"/>
                </w:tcPr>
                <w:p w14:paraId="190414E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污染物</w:t>
                  </w:r>
                </w:p>
              </w:tc>
              <w:tc>
                <w:tcPr>
                  <w:tcW w:w="750" w:type="dxa"/>
                  <w:tcBorders>
                    <w:top w:val="single" w:color="auto" w:sz="12" w:space="0"/>
                    <w:left w:val="single" w:color="auto" w:sz="4" w:space="0"/>
                    <w:right w:val="single" w:color="auto" w:sz="4" w:space="0"/>
                  </w:tcBorders>
                  <w:vAlign w:val="center"/>
                </w:tcPr>
                <w:p w14:paraId="510798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cs="Times New Roman"/>
                      <w:color w:val="auto"/>
                      <w:kern w:val="0"/>
                      <w:sz w:val="21"/>
                      <w:szCs w:val="21"/>
                      <w:highlight w:val="none"/>
                      <w:u w:val="none" w:color="auto"/>
                      <w:vertAlign w:val="baseline"/>
                      <w:lang w:val="en-US" w:eastAsia="zh-CN"/>
                    </w:rPr>
                    <w:t>废水量</w:t>
                  </w:r>
                </w:p>
              </w:tc>
              <w:tc>
                <w:tcPr>
                  <w:tcW w:w="750" w:type="dxa"/>
                  <w:tcBorders>
                    <w:top w:val="single" w:color="auto" w:sz="12" w:space="0"/>
                    <w:left w:val="single" w:color="auto" w:sz="4" w:space="0"/>
                    <w:right w:val="single" w:color="auto" w:sz="4" w:space="0"/>
                  </w:tcBorders>
                  <w:vAlign w:val="center"/>
                </w:tcPr>
                <w:p w14:paraId="3960445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CODcr</w:t>
                  </w:r>
                </w:p>
              </w:tc>
              <w:tc>
                <w:tcPr>
                  <w:tcW w:w="750" w:type="dxa"/>
                  <w:tcBorders>
                    <w:top w:val="single" w:color="auto" w:sz="12" w:space="0"/>
                    <w:left w:val="single" w:color="auto" w:sz="4" w:space="0"/>
                    <w:right w:val="single" w:color="auto" w:sz="4" w:space="0"/>
                  </w:tcBorders>
                  <w:vAlign w:val="center"/>
                </w:tcPr>
                <w:p w14:paraId="0AEF1EB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BOD</w:t>
                  </w:r>
                  <w:r>
                    <w:rPr>
                      <w:rFonts w:hint="eastAsia" w:ascii="Times New Roman" w:hAnsi="Times New Roman" w:eastAsia="宋体" w:cs="Times New Roman"/>
                      <w:color w:val="auto"/>
                      <w:kern w:val="0"/>
                      <w:sz w:val="21"/>
                      <w:szCs w:val="21"/>
                      <w:highlight w:val="none"/>
                      <w:u w:val="none" w:color="auto"/>
                      <w:vertAlign w:val="subscript"/>
                      <w:lang w:val="en-US" w:eastAsia="zh-CN"/>
                    </w:rPr>
                    <w:t>5</w:t>
                  </w:r>
                </w:p>
              </w:tc>
              <w:tc>
                <w:tcPr>
                  <w:tcW w:w="750" w:type="dxa"/>
                  <w:tcBorders>
                    <w:top w:val="single" w:color="auto" w:sz="12" w:space="0"/>
                    <w:left w:val="single" w:color="auto" w:sz="4" w:space="0"/>
                    <w:right w:val="single" w:color="auto" w:sz="4" w:space="0"/>
                  </w:tcBorders>
                  <w:vAlign w:val="center"/>
                </w:tcPr>
                <w:p w14:paraId="2C7D16D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氨氮</w:t>
                  </w:r>
                </w:p>
              </w:tc>
              <w:tc>
                <w:tcPr>
                  <w:tcW w:w="750" w:type="dxa"/>
                  <w:tcBorders>
                    <w:top w:val="single" w:color="auto" w:sz="12" w:space="0"/>
                    <w:left w:val="single" w:color="auto" w:sz="4" w:space="0"/>
                    <w:right w:val="single" w:color="auto" w:sz="4" w:space="0"/>
                  </w:tcBorders>
                  <w:vAlign w:val="center"/>
                </w:tcPr>
                <w:p w14:paraId="501BE8F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总氮</w:t>
                  </w:r>
                </w:p>
              </w:tc>
              <w:tc>
                <w:tcPr>
                  <w:tcW w:w="750" w:type="dxa"/>
                  <w:tcBorders>
                    <w:top w:val="single" w:color="auto" w:sz="12" w:space="0"/>
                    <w:left w:val="single" w:color="auto" w:sz="4" w:space="0"/>
                    <w:right w:val="single" w:color="auto" w:sz="4" w:space="0"/>
                  </w:tcBorders>
                  <w:vAlign w:val="center"/>
                </w:tcPr>
                <w:p w14:paraId="7EEFC85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SS</w:t>
                  </w:r>
                </w:p>
              </w:tc>
              <w:tc>
                <w:tcPr>
                  <w:tcW w:w="750" w:type="dxa"/>
                  <w:tcBorders>
                    <w:top w:val="single" w:color="auto" w:sz="12" w:space="0"/>
                    <w:left w:val="single" w:color="auto" w:sz="4" w:space="0"/>
                    <w:right w:val="single" w:color="auto" w:sz="4" w:space="0"/>
                  </w:tcBorders>
                  <w:vAlign w:val="center"/>
                </w:tcPr>
                <w:p w14:paraId="7958065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总磷</w:t>
                  </w:r>
                </w:p>
              </w:tc>
              <w:tc>
                <w:tcPr>
                  <w:tcW w:w="750" w:type="dxa"/>
                  <w:tcBorders>
                    <w:top w:val="single" w:color="auto" w:sz="12" w:space="0"/>
                    <w:left w:val="single" w:color="auto" w:sz="4" w:space="0"/>
                    <w:right w:val="single" w:color="auto" w:sz="12" w:space="0"/>
                  </w:tcBorders>
                  <w:vAlign w:val="center"/>
                </w:tcPr>
                <w:p w14:paraId="4852C1C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动植物油</w:t>
                  </w:r>
                </w:p>
              </w:tc>
            </w:tr>
            <w:tr w14:paraId="4AAC5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Merge w:val="restart"/>
                  <w:tcBorders>
                    <w:left w:val="single" w:color="auto" w:sz="4" w:space="0"/>
                    <w:right w:val="single" w:color="auto" w:sz="4" w:space="0"/>
                  </w:tcBorders>
                  <w:vAlign w:val="center"/>
                </w:tcPr>
                <w:p w14:paraId="3B53FD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豆制品生产废水</w:t>
                  </w:r>
                </w:p>
              </w:tc>
              <w:tc>
                <w:tcPr>
                  <w:tcW w:w="1100" w:type="dxa"/>
                  <w:tcBorders>
                    <w:left w:val="single" w:color="auto" w:sz="4" w:space="0"/>
                    <w:right w:val="single" w:color="auto" w:sz="4" w:space="0"/>
                  </w:tcBorders>
                  <w:shd w:val="clear" w:color="auto" w:fill="auto"/>
                  <w:vAlign w:val="center"/>
                </w:tcPr>
                <w:p w14:paraId="26E88E8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highlight w:val="none"/>
                      <w:u w:val="none" w:color="auto"/>
                      <w:vertAlign w:val="baseline"/>
                      <w:lang w:val="en-US" w:eastAsia="zh-CN" w:bidi="ar-SA"/>
                    </w:rPr>
                  </w:pPr>
                  <w:r>
                    <w:rPr>
                      <w:rFonts w:hint="eastAsia" w:ascii="Times New Roman" w:hAnsi="Times New Roman" w:eastAsia="宋体" w:cs="Times New Roman"/>
                      <w:color w:val="auto"/>
                      <w:kern w:val="0"/>
                      <w:sz w:val="21"/>
                      <w:szCs w:val="21"/>
                      <w:highlight w:val="none"/>
                      <w:u w:val="none" w:color="auto"/>
                      <w:vertAlign w:val="baseline"/>
                      <w:lang w:val="en-US" w:eastAsia="zh-CN"/>
                    </w:rPr>
                    <w:t>产生浓度（mg/L）</w:t>
                  </w:r>
                </w:p>
              </w:tc>
              <w:tc>
                <w:tcPr>
                  <w:tcW w:w="750" w:type="dxa"/>
                  <w:tcBorders>
                    <w:left w:val="single" w:color="auto" w:sz="4" w:space="0"/>
                    <w:right w:val="single" w:color="auto" w:sz="4" w:space="0"/>
                  </w:tcBorders>
                  <w:vAlign w:val="center"/>
                </w:tcPr>
                <w:p w14:paraId="4A77E3C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kern w:val="0"/>
                      <w:sz w:val="21"/>
                      <w:szCs w:val="21"/>
                      <w:highlight w:val="none"/>
                      <w:u w:val="none" w:color="auto"/>
                      <w:vertAlign w:val="baseline"/>
                      <w:lang w:val="en-US" w:eastAsia="zh-CN"/>
                    </w:rPr>
                  </w:pPr>
                  <w:r>
                    <w:rPr>
                      <w:rFonts w:hint="eastAsia" w:ascii="Times New Roman" w:hAnsi="Times New Roman" w:cs="Times New Roman"/>
                      <w:color w:val="auto"/>
                      <w:kern w:val="0"/>
                      <w:sz w:val="21"/>
                      <w:szCs w:val="21"/>
                      <w:highlight w:val="none"/>
                      <w:u w:val="none" w:color="auto"/>
                      <w:vertAlign w:val="baseline"/>
                      <w:lang w:val="en-US" w:eastAsia="zh-CN"/>
                    </w:rPr>
                    <w:t>/</w:t>
                  </w:r>
                </w:p>
              </w:tc>
              <w:tc>
                <w:tcPr>
                  <w:tcW w:w="750" w:type="dxa"/>
                  <w:tcBorders>
                    <w:left w:val="single" w:color="auto" w:sz="4" w:space="0"/>
                    <w:right w:val="single" w:color="auto" w:sz="4" w:space="0"/>
                  </w:tcBorders>
                  <w:shd w:val="clear" w:color="auto" w:fill="auto"/>
                  <w:vAlign w:val="center"/>
                </w:tcPr>
                <w:p w14:paraId="50F90A7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highlight w:val="none"/>
                      <w:u w:val="none" w:color="auto"/>
                      <w:vertAlign w:val="baseline"/>
                      <w:lang w:val="en-US" w:eastAsia="zh-CN" w:bidi="ar-SA"/>
                    </w:rPr>
                  </w:pPr>
                  <w:r>
                    <w:rPr>
                      <w:rFonts w:hint="eastAsia" w:ascii="Times New Roman" w:hAnsi="Times New Roman" w:eastAsia="宋体" w:cs="Times New Roman"/>
                      <w:color w:val="auto"/>
                      <w:kern w:val="0"/>
                      <w:sz w:val="21"/>
                      <w:szCs w:val="21"/>
                      <w:highlight w:val="none"/>
                      <w:u w:val="none" w:color="auto"/>
                      <w:vertAlign w:val="baseline"/>
                      <w:lang w:val="en-US" w:eastAsia="zh-CN"/>
                    </w:rPr>
                    <w:t>4868.9</w:t>
                  </w:r>
                </w:p>
              </w:tc>
              <w:tc>
                <w:tcPr>
                  <w:tcW w:w="750" w:type="dxa"/>
                  <w:tcBorders>
                    <w:left w:val="single" w:color="auto" w:sz="4" w:space="0"/>
                    <w:right w:val="single" w:color="auto" w:sz="4" w:space="0"/>
                  </w:tcBorders>
                  <w:shd w:val="clear" w:color="auto" w:fill="auto"/>
                  <w:vAlign w:val="center"/>
                </w:tcPr>
                <w:p w14:paraId="3A61D0A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highlight w:val="none"/>
                      <w:u w:val="none" w:color="auto"/>
                      <w:vertAlign w:val="baseline"/>
                      <w:lang w:val="en-US" w:eastAsia="zh-CN" w:bidi="ar-SA"/>
                    </w:rPr>
                  </w:pPr>
                  <w:r>
                    <w:rPr>
                      <w:rFonts w:hint="eastAsia" w:ascii="Times New Roman" w:hAnsi="Times New Roman" w:eastAsia="宋体" w:cs="Times New Roman"/>
                      <w:color w:val="auto"/>
                      <w:kern w:val="0"/>
                      <w:sz w:val="21"/>
                      <w:szCs w:val="21"/>
                      <w:highlight w:val="none"/>
                      <w:u w:val="none" w:color="auto"/>
                      <w:vertAlign w:val="baseline"/>
                      <w:lang w:val="en-US" w:eastAsia="zh-CN"/>
                    </w:rPr>
                    <w:t>1947.6</w:t>
                  </w:r>
                </w:p>
              </w:tc>
              <w:tc>
                <w:tcPr>
                  <w:tcW w:w="750" w:type="dxa"/>
                  <w:tcBorders>
                    <w:left w:val="single" w:color="auto" w:sz="4" w:space="0"/>
                    <w:right w:val="single" w:color="auto" w:sz="4" w:space="0"/>
                  </w:tcBorders>
                  <w:shd w:val="clear" w:color="auto" w:fill="auto"/>
                  <w:vAlign w:val="center"/>
                </w:tcPr>
                <w:p w14:paraId="3AE77A6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highlight w:val="none"/>
                      <w:u w:val="none" w:color="auto"/>
                      <w:vertAlign w:val="baseline"/>
                      <w:lang w:val="en-US" w:eastAsia="zh-CN" w:bidi="ar-SA"/>
                    </w:rPr>
                  </w:pPr>
                  <w:r>
                    <w:rPr>
                      <w:rFonts w:hint="eastAsia" w:ascii="Times New Roman" w:hAnsi="Times New Roman" w:eastAsia="宋体" w:cs="Times New Roman"/>
                      <w:color w:val="auto"/>
                      <w:kern w:val="0"/>
                      <w:sz w:val="21"/>
                      <w:szCs w:val="21"/>
                      <w:highlight w:val="none"/>
                      <w:u w:val="none" w:color="auto"/>
                      <w:vertAlign w:val="baseline"/>
                      <w:lang w:val="en-US" w:eastAsia="zh-CN"/>
                    </w:rPr>
                    <w:t>77.5</w:t>
                  </w:r>
                </w:p>
              </w:tc>
              <w:tc>
                <w:tcPr>
                  <w:tcW w:w="750" w:type="dxa"/>
                  <w:tcBorders>
                    <w:left w:val="single" w:color="auto" w:sz="4" w:space="0"/>
                    <w:right w:val="single" w:color="auto" w:sz="4" w:space="0"/>
                  </w:tcBorders>
                  <w:shd w:val="clear" w:color="auto" w:fill="auto"/>
                  <w:vAlign w:val="center"/>
                </w:tcPr>
                <w:p w14:paraId="70EC92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highlight w:val="none"/>
                      <w:u w:val="none" w:color="auto"/>
                      <w:vertAlign w:val="baseline"/>
                      <w:lang w:val="en-US" w:eastAsia="zh-CN" w:bidi="ar-SA"/>
                    </w:rPr>
                  </w:pPr>
                  <w:r>
                    <w:rPr>
                      <w:rFonts w:hint="eastAsia" w:ascii="Times New Roman" w:hAnsi="Times New Roman" w:eastAsia="宋体" w:cs="Times New Roman"/>
                      <w:color w:val="auto"/>
                      <w:kern w:val="0"/>
                      <w:sz w:val="21"/>
                      <w:szCs w:val="21"/>
                      <w:highlight w:val="none"/>
                      <w:u w:val="none" w:color="auto"/>
                      <w:vertAlign w:val="baseline"/>
                      <w:lang w:val="en-US" w:eastAsia="zh-CN"/>
                    </w:rPr>
                    <w:t>161.4</w:t>
                  </w:r>
                </w:p>
              </w:tc>
              <w:tc>
                <w:tcPr>
                  <w:tcW w:w="750" w:type="dxa"/>
                  <w:tcBorders>
                    <w:left w:val="single" w:color="auto" w:sz="4" w:space="0"/>
                    <w:right w:val="single" w:color="auto" w:sz="4" w:space="0"/>
                  </w:tcBorders>
                  <w:shd w:val="clear" w:color="auto" w:fill="auto"/>
                  <w:vAlign w:val="center"/>
                </w:tcPr>
                <w:p w14:paraId="3EFC079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highlight w:val="none"/>
                      <w:u w:val="none" w:color="auto"/>
                      <w:vertAlign w:val="baseline"/>
                      <w:lang w:val="en-US" w:eastAsia="zh-CN" w:bidi="ar-SA"/>
                    </w:rPr>
                  </w:pPr>
                  <w:r>
                    <w:rPr>
                      <w:rFonts w:hint="eastAsia" w:ascii="Times New Roman" w:hAnsi="Times New Roman" w:eastAsia="宋体" w:cs="Times New Roman"/>
                      <w:color w:val="auto"/>
                      <w:kern w:val="0"/>
                      <w:sz w:val="21"/>
                      <w:szCs w:val="21"/>
                      <w:highlight w:val="none"/>
                      <w:u w:val="none" w:color="auto"/>
                      <w:vertAlign w:val="baseline"/>
                      <w:lang w:val="en-US" w:eastAsia="zh-CN"/>
                    </w:rPr>
                    <w:t>312</w:t>
                  </w:r>
                </w:p>
              </w:tc>
              <w:tc>
                <w:tcPr>
                  <w:tcW w:w="750" w:type="dxa"/>
                  <w:tcBorders>
                    <w:left w:val="single" w:color="auto" w:sz="4" w:space="0"/>
                    <w:right w:val="single" w:color="auto" w:sz="4" w:space="0"/>
                  </w:tcBorders>
                  <w:shd w:val="clear" w:color="auto" w:fill="auto"/>
                  <w:vAlign w:val="center"/>
                </w:tcPr>
                <w:p w14:paraId="75D8B45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highlight w:val="none"/>
                      <w:u w:val="none" w:color="auto"/>
                      <w:vertAlign w:val="baseline"/>
                      <w:lang w:val="en-US" w:eastAsia="zh-CN" w:bidi="ar-SA"/>
                    </w:rPr>
                  </w:pPr>
                  <w:r>
                    <w:rPr>
                      <w:rFonts w:hint="eastAsia" w:ascii="Times New Roman" w:hAnsi="Times New Roman" w:eastAsia="宋体" w:cs="Times New Roman"/>
                      <w:color w:val="auto"/>
                      <w:kern w:val="0"/>
                      <w:sz w:val="21"/>
                      <w:szCs w:val="21"/>
                      <w:highlight w:val="none"/>
                      <w:u w:val="none" w:color="auto"/>
                      <w:vertAlign w:val="baseline"/>
                      <w:lang w:val="en-US" w:eastAsia="zh-CN"/>
                    </w:rPr>
                    <w:t>19</w:t>
                  </w:r>
                </w:p>
              </w:tc>
              <w:tc>
                <w:tcPr>
                  <w:tcW w:w="750" w:type="dxa"/>
                  <w:tcBorders>
                    <w:left w:val="single" w:color="auto" w:sz="4" w:space="0"/>
                    <w:right w:val="single" w:color="auto" w:sz="12" w:space="0"/>
                  </w:tcBorders>
                  <w:shd w:val="clear" w:color="auto" w:fill="auto"/>
                  <w:vAlign w:val="center"/>
                </w:tcPr>
                <w:p w14:paraId="6BC3EE6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highlight w:val="none"/>
                      <w:u w:val="none" w:color="auto"/>
                      <w:vertAlign w:val="baseline"/>
                      <w:lang w:val="en-US" w:eastAsia="zh-CN" w:bidi="ar-SA"/>
                    </w:rPr>
                  </w:pPr>
                  <w:r>
                    <w:rPr>
                      <w:rFonts w:hint="eastAsia" w:ascii="Times New Roman" w:hAnsi="Times New Roman" w:eastAsia="宋体" w:cs="Times New Roman"/>
                      <w:color w:val="auto"/>
                      <w:kern w:val="0"/>
                      <w:sz w:val="21"/>
                      <w:szCs w:val="21"/>
                      <w:highlight w:val="none"/>
                      <w:u w:val="none" w:color="auto"/>
                      <w:vertAlign w:val="baseline"/>
                      <w:lang w:val="en-US" w:eastAsia="zh-CN"/>
                    </w:rPr>
                    <w:t>20</w:t>
                  </w:r>
                </w:p>
              </w:tc>
            </w:tr>
            <w:tr w14:paraId="0F937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Merge w:val="continue"/>
                  <w:tcBorders>
                    <w:left w:val="single" w:color="auto" w:sz="4" w:space="0"/>
                    <w:right w:val="single" w:color="auto" w:sz="4" w:space="0"/>
                  </w:tcBorders>
                  <w:vAlign w:val="center"/>
                </w:tcPr>
                <w:p w14:paraId="41CA844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kern w:val="0"/>
                      <w:sz w:val="21"/>
                      <w:szCs w:val="21"/>
                      <w:highlight w:val="none"/>
                      <w:u w:val="none" w:color="auto"/>
                      <w:vertAlign w:val="baseline"/>
                      <w:lang w:val="en-US" w:eastAsia="zh-CN"/>
                    </w:rPr>
                  </w:pPr>
                </w:p>
              </w:tc>
              <w:tc>
                <w:tcPr>
                  <w:tcW w:w="1100" w:type="dxa"/>
                  <w:tcBorders>
                    <w:left w:val="single" w:color="auto" w:sz="4" w:space="0"/>
                    <w:right w:val="single" w:color="auto" w:sz="4" w:space="0"/>
                  </w:tcBorders>
                  <w:shd w:val="clear" w:color="auto" w:fill="auto"/>
                  <w:vAlign w:val="center"/>
                </w:tcPr>
                <w:p w14:paraId="7745C4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highlight w:val="none"/>
                      <w:u w:val="none" w:color="auto"/>
                      <w:vertAlign w:val="baseline"/>
                      <w:lang w:val="en-US" w:eastAsia="zh-CN" w:bidi="ar-SA"/>
                    </w:rPr>
                  </w:pPr>
                  <w:r>
                    <w:rPr>
                      <w:rFonts w:hint="eastAsia" w:ascii="Times New Roman" w:hAnsi="Times New Roman" w:eastAsia="宋体" w:cs="Times New Roman"/>
                      <w:color w:val="auto"/>
                      <w:kern w:val="0"/>
                      <w:sz w:val="21"/>
                      <w:szCs w:val="21"/>
                      <w:highlight w:val="none"/>
                      <w:u w:val="none" w:color="auto"/>
                      <w:vertAlign w:val="baseline"/>
                      <w:lang w:val="en-US" w:eastAsia="zh-CN"/>
                    </w:rPr>
                    <w:t>产生量（t/a）</w:t>
                  </w:r>
                </w:p>
              </w:tc>
              <w:tc>
                <w:tcPr>
                  <w:tcW w:w="750" w:type="dxa"/>
                  <w:tcBorders>
                    <w:left w:val="single" w:color="auto" w:sz="4" w:space="0"/>
                    <w:right w:val="single" w:color="auto" w:sz="4" w:space="0"/>
                  </w:tcBorders>
                  <w:vAlign w:val="center"/>
                </w:tcPr>
                <w:p w14:paraId="0164628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11419.236</w:t>
                  </w:r>
                </w:p>
              </w:tc>
              <w:tc>
                <w:tcPr>
                  <w:tcW w:w="750" w:type="dxa"/>
                  <w:tcBorders>
                    <w:left w:val="single" w:color="auto" w:sz="4" w:space="0"/>
                    <w:right w:val="single" w:color="auto" w:sz="4" w:space="0"/>
                  </w:tcBorders>
                  <w:shd w:val="clear" w:color="auto" w:fill="auto"/>
                  <w:vAlign w:val="center"/>
                </w:tcPr>
                <w:p w14:paraId="3F21B39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highlight w:val="none"/>
                      <w:u w:val="none" w:color="auto"/>
                      <w:vertAlign w:val="baseline"/>
                      <w:lang w:val="en-US" w:eastAsia="zh-CN" w:bidi="ar-SA"/>
                    </w:rPr>
                  </w:pPr>
                  <w:r>
                    <w:rPr>
                      <w:rFonts w:hint="eastAsia" w:cs="Times New Roman"/>
                      <w:color w:val="auto"/>
                      <w:kern w:val="0"/>
                      <w:sz w:val="21"/>
                      <w:szCs w:val="21"/>
                      <w:highlight w:val="none"/>
                      <w:u w:val="none" w:color="auto"/>
                      <w:vertAlign w:val="baseline"/>
                      <w:lang w:val="en-US" w:eastAsia="zh-CN"/>
                    </w:rPr>
                    <w:t>55.599</w:t>
                  </w:r>
                </w:p>
              </w:tc>
              <w:tc>
                <w:tcPr>
                  <w:tcW w:w="750" w:type="dxa"/>
                  <w:tcBorders>
                    <w:left w:val="single" w:color="auto" w:sz="4" w:space="0"/>
                    <w:right w:val="single" w:color="auto" w:sz="4" w:space="0"/>
                  </w:tcBorders>
                  <w:shd w:val="clear" w:color="auto" w:fill="auto"/>
                  <w:vAlign w:val="center"/>
                </w:tcPr>
                <w:p w14:paraId="0E3221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highlight w:val="none"/>
                      <w:u w:val="none" w:color="auto"/>
                      <w:vertAlign w:val="baseline"/>
                      <w:lang w:val="en-US" w:eastAsia="zh-CN" w:bidi="ar-SA"/>
                    </w:rPr>
                  </w:pPr>
                  <w:r>
                    <w:rPr>
                      <w:rFonts w:hint="eastAsia" w:cs="Times New Roman"/>
                      <w:color w:val="auto"/>
                      <w:kern w:val="0"/>
                      <w:sz w:val="21"/>
                      <w:szCs w:val="21"/>
                      <w:highlight w:val="none"/>
                      <w:u w:val="none" w:color="auto"/>
                      <w:vertAlign w:val="baseline"/>
                      <w:lang w:val="en-US" w:eastAsia="zh-CN"/>
                    </w:rPr>
                    <w:t>22.240</w:t>
                  </w:r>
                </w:p>
              </w:tc>
              <w:tc>
                <w:tcPr>
                  <w:tcW w:w="750" w:type="dxa"/>
                  <w:tcBorders>
                    <w:left w:val="single" w:color="auto" w:sz="4" w:space="0"/>
                    <w:right w:val="single" w:color="auto" w:sz="4" w:space="0"/>
                  </w:tcBorders>
                  <w:shd w:val="clear" w:color="auto" w:fill="auto"/>
                  <w:vAlign w:val="center"/>
                </w:tcPr>
                <w:p w14:paraId="6B59474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highlight w:val="none"/>
                      <w:u w:val="none" w:color="auto"/>
                      <w:vertAlign w:val="baseline"/>
                      <w:lang w:val="en-US" w:eastAsia="zh-CN" w:bidi="ar-SA"/>
                    </w:rPr>
                  </w:pPr>
                  <w:r>
                    <w:rPr>
                      <w:rFonts w:hint="eastAsia" w:cs="Times New Roman"/>
                      <w:color w:val="auto"/>
                      <w:kern w:val="0"/>
                      <w:sz w:val="21"/>
                      <w:szCs w:val="21"/>
                      <w:highlight w:val="none"/>
                      <w:u w:val="none" w:color="auto"/>
                      <w:vertAlign w:val="baseline"/>
                      <w:lang w:val="en-US" w:eastAsia="zh-CN"/>
                    </w:rPr>
                    <w:t>0.885</w:t>
                  </w:r>
                </w:p>
              </w:tc>
              <w:tc>
                <w:tcPr>
                  <w:tcW w:w="750" w:type="dxa"/>
                  <w:tcBorders>
                    <w:left w:val="single" w:color="auto" w:sz="4" w:space="0"/>
                    <w:right w:val="single" w:color="auto" w:sz="4" w:space="0"/>
                  </w:tcBorders>
                  <w:shd w:val="clear" w:color="auto" w:fill="auto"/>
                  <w:vAlign w:val="center"/>
                </w:tcPr>
                <w:p w14:paraId="7340D64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highlight w:val="none"/>
                      <w:u w:val="none" w:color="auto"/>
                      <w:vertAlign w:val="baseline"/>
                      <w:lang w:val="en-US" w:eastAsia="zh-CN" w:bidi="ar-SA"/>
                    </w:rPr>
                  </w:pPr>
                  <w:r>
                    <w:rPr>
                      <w:rFonts w:hint="eastAsia" w:cs="Times New Roman"/>
                      <w:color w:val="auto"/>
                      <w:kern w:val="0"/>
                      <w:sz w:val="21"/>
                      <w:szCs w:val="21"/>
                      <w:highlight w:val="none"/>
                      <w:u w:val="none" w:color="auto"/>
                      <w:vertAlign w:val="baseline"/>
                      <w:lang w:val="en-US" w:eastAsia="zh-CN"/>
                    </w:rPr>
                    <w:t>1.843</w:t>
                  </w:r>
                </w:p>
              </w:tc>
              <w:tc>
                <w:tcPr>
                  <w:tcW w:w="750" w:type="dxa"/>
                  <w:tcBorders>
                    <w:left w:val="single" w:color="auto" w:sz="4" w:space="0"/>
                    <w:right w:val="single" w:color="auto" w:sz="4" w:space="0"/>
                  </w:tcBorders>
                  <w:shd w:val="clear" w:color="auto" w:fill="auto"/>
                  <w:vAlign w:val="center"/>
                </w:tcPr>
                <w:p w14:paraId="096BF08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highlight w:val="none"/>
                      <w:u w:val="none" w:color="auto"/>
                      <w:vertAlign w:val="baseline"/>
                      <w:lang w:val="en-US" w:eastAsia="zh-CN" w:bidi="ar-SA"/>
                    </w:rPr>
                  </w:pPr>
                  <w:r>
                    <w:rPr>
                      <w:rFonts w:hint="eastAsia" w:cs="Times New Roman"/>
                      <w:color w:val="auto"/>
                      <w:kern w:val="0"/>
                      <w:sz w:val="21"/>
                      <w:szCs w:val="21"/>
                      <w:highlight w:val="none"/>
                      <w:u w:val="none" w:color="auto"/>
                      <w:vertAlign w:val="baseline"/>
                      <w:lang w:val="en-US" w:eastAsia="zh-CN"/>
                    </w:rPr>
                    <w:t>3.563</w:t>
                  </w:r>
                </w:p>
              </w:tc>
              <w:tc>
                <w:tcPr>
                  <w:tcW w:w="750" w:type="dxa"/>
                  <w:tcBorders>
                    <w:left w:val="single" w:color="auto" w:sz="4" w:space="0"/>
                    <w:right w:val="single" w:color="auto" w:sz="4" w:space="0"/>
                  </w:tcBorders>
                  <w:shd w:val="clear" w:color="auto" w:fill="auto"/>
                  <w:vAlign w:val="center"/>
                </w:tcPr>
                <w:p w14:paraId="517A103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highlight w:val="none"/>
                      <w:u w:val="none" w:color="auto"/>
                      <w:vertAlign w:val="baseline"/>
                      <w:lang w:val="en-US" w:eastAsia="zh-CN" w:bidi="ar-SA"/>
                    </w:rPr>
                  </w:pPr>
                  <w:r>
                    <w:rPr>
                      <w:rFonts w:hint="eastAsia" w:cs="Times New Roman"/>
                      <w:color w:val="auto"/>
                      <w:kern w:val="0"/>
                      <w:sz w:val="21"/>
                      <w:szCs w:val="21"/>
                      <w:highlight w:val="none"/>
                      <w:u w:val="none" w:color="auto"/>
                      <w:vertAlign w:val="baseline"/>
                      <w:lang w:val="en-US" w:eastAsia="zh-CN"/>
                    </w:rPr>
                    <w:t>0.217</w:t>
                  </w:r>
                </w:p>
              </w:tc>
              <w:tc>
                <w:tcPr>
                  <w:tcW w:w="750" w:type="dxa"/>
                  <w:tcBorders>
                    <w:left w:val="single" w:color="auto" w:sz="4" w:space="0"/>
                    <w:right w:val="single" w:color="auto" w:sz="12" w:space="0"/>
                  </w:tcBorders>
                  <w:shd w:val="clear" w:color="auto" w:fill="auto"/>
                  <w:vAlign w:val="center"/>
                </w:tcPr>
                <w:p w14:paraId="0E0DAF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highlight w:val="none"/>
                      <w:u w:val="none" w:color="auto"/>
                      <w:vertAlign w:val="baseline"/>
                      <w:lang w:val="en-US" w:eastAsia="zh-CN" w:bidi="ar-SA"/>
                    </w:rPr>
                  </w:pPr>
                  <w:r>
                    <w:rPr>
                      <w:rFonts w:hint="eastAsia" w:cs="Times New Roman"/>
                      <w:color w:val="auto"/>
                      <w:kern w:val="0"/>
                      <w:sz w:val="21"/>
                      <w:szCs w:val="21"/>
                      <w:highlight w:val="none"/>
                      <w:u w:val="none" w:color="auto"/>
                      <w:vertAlign w:val="baseline"/>
                      <w:lang w:val="en-US" w:eastAsia="zh-CN"/>
                    </w:rPr>
                    <w:t>0.228</w:t>
                  </w:r>
                </w:p>
              </w:tc>
            </w:tr>
            <w:tr w14:paraId="3938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Merge w:val="restart"/>
                  <w:tcBorders>
                    <w:left w:val="single" w:color="auto" w:sz="4" w:space="0"/>
                    <w:right w:val="single" w:color="auto" w:sz="4" w:space="0"/>
                  </w:tcBorders>
                  <w:vAlign w:val="center"/>
                </w:tcPr>
                <w:p w14:paraId="3C3071F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肉制品生产废水</w:t>
                  </w:r>
                </w:p>
              </w:tc>
              <w:tc>
                <w:tcPr>
                  <w:tcW w:w="1100" w:type="dxa"/>
                  <w:tcBorders>
                    <w:left w:val="single" w:color="auto" w:sz="4" w:space="0"/>
                    <w:right w:val="single" w:color="auto" w:sz="4" w:space="0"/>
                  </w:tcBorders>
                  <w:shd w:val="clear" w:color="auto" w:fill="auto"/>
                  <w:vAlign w:val="center"/>
                </w:tcPr>
                <w:p w14:paraId="36EBB8B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highlight w:val="none"/>
                      <w:u w:val="none" w:color="auto"/>
                      <w:vertAlign w:val="baseline"/>
                      <w:lang w:val="en-US" w:eastAsia="zh-CN" w:bidi="ar-SA"/>
                    </w:rPr>
                  </w:pPr>
                  <w:r>
                    <w:rPr>
                      <w:rFonts w:hint="eastAsia" w:ascii="Times New Roman" w:hAnsi="Times New Roman" w:eastAsia="宋体" w:cs="Times New Roman"/>
                      <w:color w:val="auto"/>
                      <w:kern w:val="0"/>
                      <w:sz w:val="21"/>
                      <w:szCs w:val="21"/>
                      <w:highlight w:val="none"/>
                      <w:u w:val="none" w:color="auto"/>
                      <w:vertAlign w:val="baseline"/>
                      <w:lang w:val="en-US" w:eastAsia="zh-CN"/>
                    </w:rPr>
                    <w:t>产生浓度（mg/L）</w:t>
                  </w:r>
                </w:p>
              </w:tc>
              <w:tc>
                <w:tcPr>
                  <w:tcW w:w="750" w:type="dxa"/>
                  <w:tcBorders>
                    <w:left w:val="single" w:color="auto" w:sz="4" w:space="0"/>
                    <w:right w:val="single" w:color="auto" w:sz="4" w:space="0"/>
                  </w:tcBorders>
                  <w:vAlign w:val="center"/>
                </w:tcPr>
                <w:p w14:paraId="245BC01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kern w:val="0"/>
                      <w:sz w:val="21"/>
                      <w:szCs w:val="21"/>
                      <w:highlight w:val="none"/>
                      <w:u w:val="none" w:color="auto"/>
                      <w:vertAlign w:val="baseline"/>
                      <w:lang w:val="en-US" w:eastAsia="zh-CN"/>
                    </w:rPr>
                  </w:pPr>
                  <w:r>
                    <w:rPr>
                      <w:rFonts w:hint="eastAsia" w:ascii="Times New Roman" w:hAnsi="Times New Roman" w:cs="Times New Roman"/>
                      <w:color w:val="auto"/>
                      <w:kern w:val="0"/>
                      <w:sz w:val="21"/>
                      <w:szCs w:val="21"/>
                      <w:highlight w:val="none"/>
                      <w:u w:val="none" w:color="auto"/>
                      <w:vertAlign w:val="baseline"/>
                      <w:lang w:val="en-US" w:eastAsia="zh-CN"/>
                    </w:rPr>
                    <w:t>/</w:t>
                  </w:r>
                </w:p>
              </w:tc>
              <w:tc>
                <w:tcPr>
                  <w:tcW w:w="750" w:type="dxa"/>
                  <w:tcBorders>
                    <w:left w:val="single" w:color="auto" w:sz="4" w:space="0"/>
                    <w:right w:val="single" w:color="auto" w:sz="4" w:space="0"/>
                  </w:tcBorders>
                  <w:vAlign w:val="center"/>
                </w:tcPr>
                <w:p w14:paraId="089E70C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771.5</w:t>
                  </w:r>
                </w:p>
              </w:tc>
              <w:tc>
                <w:tcPr>
                  <w:tcW w:w="750" w:type="dxa"/>
                  <w:tcBorders>
                    <w:left w:val="single" w:color="auto" w:sz="4" w:space="0"/>
                    <w:right w:val="single" w:color="auto" w:sz="4" w:space="0"/>
                  </w:tcBorders>
                  <w:vAlign w:val="center"/>
                </w:tcPr>
                <w:p w14:paraId="315AAEB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308.6</w:t>
                  </w:r>
                </w:p>
              </w:tc>
              <w:tc>
                <w:tcPr>
                  <w:tcW w:w="750" w:type="dxa"/>
                  <w:tcBorders>
                    <w:left w:val="single" w:color="auto" w:sz="4" w:space="0"/>
                    <w:right w:val="single" w:color="auto" w:sz="4" w:space="0"/>
                  </w:tcBorders>
                  <w:vAlign w:val="center"/>
                </w:tcPr>
                <w:p w14:paraId="6D1A52F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7</w:t>
                  </w:r>
                </w:p>
              </w:tc>
              <w:tc>
                <w:tcPr>
                  <w:tcW w:w="750" w:type="dxa"/>
                  <w:tcBorders>
                    <w:left w:val="single" w:color="auto" w:sz="4" w:space="0"/>
                    <w:right w:val="single" w:color="auto" w:sz="4" w:space="0"/>
                  </w:tcBorders>
                  <w:vAlign w:val="center"/>
                </w:tcPr>
                <w:p w14:paraId="5146B35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25.2</w:t>
                  </w:r>
                </w:p>
              </w:tc>
              <w:tc>
                <w:tcPr>
                  <w:tcW w:w="750" w:type="dxa"/>
                  <w:tcBorders>
                    <w:left w:val="single" w:color="auto" w:sz="4" w:space="0"/>
                    <w:right w:val="single" w:color="auto" w:sz="4" w:space="0"/>
                  </w:tcBorders>
                  <w:vAlign w:val="center"/>
                </w:tcPr>
                <w:p w14:paraId="3D994E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1000</w:t>
                  </w:r>
                </w:p>
              </w:tc>
              <w:tc>
                <w:tcPr>
                  <w:tcW w:w="750" w:type="dxa"/>
                  <w:tcBorders>
                    <w:left w:val="single" w:color="auto" w:sz="4" w:space="0"/>
                    <w:right w:val="single" w:color="auto" w:sz="4" w:space="0"/>
                  </w:tcBorders>
                  <w:vAlign w:val="center"/>
                </w:tcPr>
                <w:p w14:paraId="2FEF029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4.6</w:t>
                  </w:r>
                </w:p>
              </w:tc>
              <w:tc>
                <w:tcPr>
                  <w:tcW w:w="750" w:type="dxa"/>
                  <w:tcBorders>
                    <w:left w:val="single" w:color="auto" w:sz="4" w:space="0"/>
                    <w:right w:val="single" w:color="auto" w:sz="12" w:space="0"/>
                  </w:tcBorders>
                  <w:vAlign w:val="center"/>
                </w:tcPr>
                <w:p w14:paraId="510AA8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100</w:t>
                  </w:r>
                </w:p>
              </w:tc>
            </w:tr>
            <w:tr w14:paraId="61C4E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Merge w:val="continue"/>
                  <w:tcBorders>
                    <w:left w:val="single" w:color="auto" w:sz="4" w:space="0"/>
                    <w:right w:val="single" w:color="auto" w:sz="4" w:space="0"/>
                  </w:tcBorders>
                  <w:vAlign w:val="center"/>
                </w:tcPr>
                <w:p w14:paraId="6AAE6E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kern w:val="0"/>
                      <w:sz w:val="21"/>
                      <w:szCs w:val="21"/>
                      <w:highlight w:val="none"/>
                      <w:u w:val="none" w:color="auto"/>
                      <w:vertAlign w:val="baseline"/>
                      <w:lang w:val="en-US" w:eastAsia="zh-CN"/>
                    </w:rPr>
                  </w:pPr>
                </w:p>
              </w:tc>
              <w:tc>
                <w:tcPr>
                  <w:tcW w:w="1100" w:type="dxa"/>
                  <w:tcBorders>
                    <w:left w:val="single" w:color="auto" w:sz="4" w:space="0"/>
                    <w:right w:val="single" w:color="auto" w:sz="4" w:space="0"/>
                  </w:tcBorders>
                  <w:shd w:val="clear" w:color="auto" w:fill="auto"/>
                  <w:vAlign w:val="center"/>
                </w:tcPr>
                <w:p w14:paraId="580C69D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highlight w:val="none"/>
                      <w:u w:val="none" w:color="auto"/>
                      <w:vertAlign w:val="baseline"/>
                      <w:lang w:val="en-US" w:eastAsia="zh-CN" w:bidi="ar-SA"/>
                    </w:rPr>
                  </w:pPr>
                  <w:r>
                    <w:rPr>
                      <w:rFonts w:hint="eastAsia" w:ascii="Times New Roman" w:hAnsi="Times New Roman" w:eastAsia="宋体" w:cs="Times New Roman"/>
                      <w:color w:val="auto"/>
                      <w:kern w:val="0"/>
                      <w:sz w:val="21"/>
                      <w:szCs w:val="21"/>
                      <w:highlight w:val="none"/>
                      <w:u w:val="none" w:color="auto"/>
                      <w:vertAlign w:val="baseline"/>
                      <w:lang w:val="en-US" w:eastAsia="zh-CN"/>
                    </w:rPr>
                    <w:t>产生量（t/a）</w:t>
                  </w:r>
                </w:p>
              </w:tc>
              <w:tc>
                <w:tcPr>
                  <w:tcW w:w="750" w:type="dxa"/>
                  <w:tcBorders>
                    <w:left w:val="single" w:color="auto" w:sz="4" w:space="0"/>
                    <w:right w:val="single" w:color="auto" w:sz="4" w:space="0"/>
                  </w:tcBorders>
                  <w:vAlign w:val="center"/>
                </w:tcPr>
                <w:p w14:paraId="3FE4A79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3878.7</w:t>
                  </w:r>
                </w:p>
              </w:tc>
              <w:tc>
                <w:tcPr>
                  <w:tcW w:w="750" w:type="dxa"/>
                  <w:tcBorders>
                    <w:left w:val="single" w:color="auto" w:sz="4" w:space="0"/>
                    <w:right w:val="single" w:color="auto" w:sz="4" w:space="0"/>
                  </w:tcBorders>
                  <w:vAlign w:val="center"/>
                </w:tcPr>
                <w:p w14:paraId="3FEC15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2.992</w:t>
                  </w:r>
                </w:p>
              </w:tc>
              <w:tc>
                <w:tcPr>
                  <w:tcW w:w="750" w:type="dxa"/>
                  <w:tcBorders>
                    <w:left w:val="single" w:color="auto" w:sz="4" w:space="0"/>
                    <w:right w:val="single" w:color="auto" w:sz="4" w:space="0"/>
                  </w:tcBorders>
                  <w:vAlign w:val="center"/>
                </w:tcPr>
                <w:p w14:paraId="4253214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1.197</w:t>
                  </w:r>
                </w:p>
              </w:tc>
              <w:tc>
                <w:tcPr>
                  <w:tcW w:w="750" w:type="dxa"/>
                  <w:tcBorders>
                    <w:left w:val="single" w:color="auto" w:sz="4" w:space="0"/>
                    <w:right w:val="single" w:color="auto" w:sz="4" w:space="0"/>
                  </w:tcBorders>
                  <w:vAlign w:val="center"/>
                </w:tcPr>
                <w:p w14:paraId="0E22F24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0.027</w:t>
                  </w:r>
                </w:p>
              </w:tc>
              <w:tc>
                <w:tcPr>
                  <w:tcW w:w="750" w:type="dxa"/>
                  <w:tcBorders>
                    <w:left w:val="single" w:color="auto" w:sz="4" w:space="0"/>
                    <w:right w:val="single" w:color="auto" w:sz="4" w:space="0"/>
                  </w:tcBorders>
                  <w:vAlign w:val="center"/>
                </w:tcPr>
                <w:p w14:paraId="0FF415E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0.098</w:t>
                  </w:r>
                </w:p>
              </w:tc>
              <w:tc>
                <w:tcPr>
                  <w:tcW w:w="750" w:type="dxa"/>
                  <w:tcBorders>
                    <w:left w:val="single" w:color="auto" w:sz="4" w:space="0"/>
                    <w:right w:val="single" w:color="auto" w:sz="4" w:space="0"/>
                  </w:tcBorders>
                  <w:vAlign w:val="center"/>
                </w:tcPr>
                <w:p w14:paraId="49B2D09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3.879</w:t>
                  </w:r>
                </w:p>
              </w:tc>
              <w:tc>
                <w:tcPr>
                  <w:tcW w:w="750" w:type="dxa"/>
                  <w:tcBorders>
                    <w:left w:val="single" w:color="auto" w:sz="4" w:space="0"/>
                    <w:right w:val="single" w:color="auto" w:sz="4" w:space="0"/>
                  </w:tcBorders>
                  <w:vAlign w:val="center"/>
                </w:tcPr>
                <w:p w14:paraId="622EA44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0.018</w:t>
                  </w:r>
                </w:p>
              </w:tc>
              <w:tc>
                <w:tcPr>
                  <w:tcW w:w="750" w:type="dxa"/>
                  <w:tcBorders>
                    <w:left w:val="single" w:color="auto" w:sz="4" w:space="0"/>
                    <w:right w:val="single" w:color="auto" w:sz="12" w:space="0"/>
                  </w:tcBorders>
                  <w:vAlign w:val="center"/>
                </w:tcPr>
                <w:p w14:paraId="17B679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0.388</w:t>
                  </w:r>
                </w:p>
              </w:tc>
            </w:tr>
            <w:tr w14:paraId="0189E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Merge w:val="restart"/>
                  <w:tcBorders>
                    <w:left w:val="single" w:color="auto" w:sz="4" w:space="0"/>
                    <w:right w:val="single" w:color="auto" w:sz="4" w:space="0"/>
                  </w:tcBorders>
                  <w:vAlign w:val="center"/>
                </w:tcPr>
                <w:p w14:paraId="690BE59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cs="Times New Roman"/>
                      <w:color w:val="auto"/>
                      <w:kern w:val="0"/>
                      <w:sz w:val="21"/>
                      <w:szCs w:val="21"/>
                      <w:highlight w:val="none"/>
                      <w:u w:val="none" w:color="auto"/>
                      <w:vertAlign w:val="baseline"/>
                      <w:lang w:val="en-US" w:eastAsia="zh-CN"/>
                    </w:rPr>
                    <w:t>2.2t/h生物质蒸汽发生器</w:t>
                  </w:r>
                </w:p>
              </w:tc>
              <w:tc>
                <w:tcPr>
                  <w:tcW w:w="1100" w:type="dxa"/>
                  <w:tcBorders>
                    <w:left w:val="single" w:color="auto" w:sz="4" w:space="0"/>
                    <w:right w:val="single" w:color="auto" w:sz="4" w:space="0"/>
                  </w:tcBorders>
                  <w:vAlign w:val="center"/>
                </w:tcPr>
                <w:p w14:paraId="09A9395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产生浓度（mg/L）</w:t>
                  </w:r>
                </w:p>
              </w:tc>
              <w:tc>
                <w:tcPr>
                  <w:tcW w:w="750" w:type="dxa"/>
                  <w:tcBorders>
                    <w:left w:val="single" w:color="auto" w:sz="4" w:space="0"/>
                    <w:right w:val="single" w:color="auto" w:sz="4" w:space="0"/>
                  </w:tcBorders>
                  <w:vAlign w:val="center"/>
                </w:tcPr>
                <w:p w14:paraId="090219E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cs="Times New Roman"/>
                      <w:color w:val="auto"/>
                      <w:kern w:val="0"/>
                      <w:sz w:val="21"/>
                      <w:szCs w:val="21"/>
                      <w:highlight w:val="none"/>
                      <w:u w:val="none" w:color="auto"/>
                      <w:vertAlign w:val="baseline"/>
                      <w:lang w:val="en-US" w:eastAsia="zh-CN"/>
                    </w:rPr>
                    <w:t>/</w:t>
                  </w:r>
                </w:p>
              </w:tc>
              <w:tc>
                <w:tcPr>
                  <w:tcW w:w="750" w:type="dxa"/>
                  <w:tcBorders>
                    <w:left w:val="single" w:color="auto" w:sz="4" w:space="0"/>
                    <w:right w:val="single" w:color="auto" w:sz="4" w:space="0"/>
                  </w:tcBorders>
                  <w:vAlign w:val="center"/>
                </w:tcPr>
                <w:p w14:paraId="291F497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cs="Times New Roman"/>
                      <w:color w:val="auto"/>
                      <w:kern w:val="0"/>
                      <w:sz w:val="21"/>
                      <w:szCs w:val="21"/>
                      <w:highlight w:val="none"/>
                      <w:u w:val="none" w:color="auto"/>
                      <w:vertAlign w:val="baseline"/>
                      <w:lang w:val="en-US" w:eastAsia="zh-CN"/>
                    </w:rPr>
                    <w:t>84.27</w:t>
                  </w:r>
                </w:p>
              </w:tc>
              <w:tc>
                <w:tcPr>
                  <w:tcW w:w="750" w:type="dxa"/>
                  <w:tcBorders>
                    <w:left w:val="single" w:color="auto" w:sz="4" w:space="0"/>
                    <w:right w:val="single" w:color="auto" w:sz="4" w:space="0"/>
                  </w:tcBorders>
                  <w:vAlign w:val="center"/>
                </w:tcPr>
                <w:p w14:paraId="115ED55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cs="Times New Roman"/>
                      <w:color w:val="auto"/>
                      <w:kern w:val="0"/>
                      <w:sz w:val="21"/>
                      <w:szCs w:val="21"/>
                      <w:highlight w:val="none"/>
                      <w:u w:val="none" w:color="auto"/>
                      <w:vertAlign w:val="baseline"/>
                      <w:lang w:val="en-US" w:eastAsia="zh-CN"/>
                    </w:rPr>
                    <w:t>26</w:t>
                  </w:r>
                </w:p>
              </w:tc>
              <w:tc>
                <w:tcPr>
                  <w:tcW w:w="750" w:type="dxa"/>
                  <w:tcBorders>
                    <w:left w:val="single" w:color="auto" w:sz="4" w:space="0"/>
                    <w:right w:val="single" w:color="auto" w:sz="4" w:space="0"/>
                  </w:tcBorders>
                  <w:vAlign w:val="center"/>
                </w:tcPr>
                <w:p w14:paraId="6B3195D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cs="Times New Roman"/>
                      <w:color w:val="auto"/>
                      <w:kern w:val="0"/>
                      <w:sz w:val="21"/>
                      <w:szCs w:val="21"/>
                      <w:highlight w:val="none"/>
                      <w:u w:val="none" w:color="auto"/>
                      <w:vertAlign w:val="baseline"/>
                      <w:lang w:val="en-US" w:eastAsia="zh-CN"/>
                    </w:rPr>
                    <w:t>15</w:t>
                  </w:r>
                </w:p>
              </w:tc>
              <w:tc>
                <w:tcPr>
                  <w:tcW w:w="750" w:type="dxa"/>
                  <w:tcBorders>
                    <w:left w:val="single" w:color="auto" w:sz="4" w:space="0"/>
                    <w:right w:val="single" w:color="auto" w:sz="4" w:space="0"/>
                  </w:tcBorders>
                  <w:vAlign w:val="center"/>
                </w:tcPr>
                <w:p w14:paraId="01F7DBD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cs="Times New Roman"/>
                      <w:color w:val="auto"/>
                      <w:kern w:val="0"/>
                      <w:sz w:val="21"/>
                      <w:szCs w:val="21"/>
                      <w:highlight w:val="none"/>
                      <w:u w:val="none" w:color="auto"/>
                      <w:vertAlign w:val="baseline"/>
                      <w:lang w:val="en-US" w:eastAsia="zh-CN"/>
                    </w:rPr>
                    <w:t>20</w:t>
                  </w:r>
                </w:p>
              </w:tc>
              <w:tc>
                <w:tcPr>
                  <w:tcW w:w="750" w:type="dxa"/>
                  <w:tcBorders>
                    <w:left w:val="single" w:color="auto" w:sz="4" w:space="0"/>
                    <w:right w:val="single" w:color="auto" w:sz="4" w:space="0"/>
                  </w:tcBorders>
                  <w:vAlign w:val="center"/>
                </w:tcPr>
                <w:p w14:paraId="52230C8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cs="Times New Roman"/>
                      <w:color w:val="auto"/>
                      <w:kern w:val="0"/>
                      <w:sz w:val="21"/>
                      <w:szCs w:val="21"/>
                      <w:highlight w:val="none"/>
                      <w:u w:val="none" w:color="auto"/>
                      <w:vertAlign w:val="baseline"/>
                      <w:lang w:val="en-US" w:eastAsia="zh-CN"/>
                    </w:rPr>
                    <w:t>50</w:t>
                  </w:r>
                </w:p>
              </w:tc>
              <w:tc>
                <w:tcPr>
                  <w:tcW w:w="750" w:type="dxa"/>
                  <w:tcBorders>
                    <w:left w:val="single" w:color="auto" w:sz="4" w:space="0"/>
                    <w:right w:val="single" w:color="auto" w:sz="4" w:space="0"/>
                  </w:tcBorders>
                  <w:vAlign w:val="center"/>
                </w:tcPr>
                <w:p w14:paraId="322DEC9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cs="Times New Roman"/>
                      <w:color w:val="auto"/>
                      <w:kern w:val="0"/>
                      <w:sz w:val="21"/>
                      <w:szCs w:val="21"/>
                      <w:highlight w:val="none"/>
                      <w:u w:val="none" w:color="auto"/>
                      <w:vertAlign w:val="baseline"/>
                      <w:lang w:val="en-US" w:eastAsia="zh-CN"/>
                    </w:rPr>
                    <w:t>1.5</w:t>
                  </w:r>
                </w:p>
              </w:tc>
              <w:tc>
                <w:tcPr>
                  <w:tcW w:w="750" w:type="dxa"/>
                  <w:tcBorders>
                    <w:left w:val="single" w:color="auto" w:sz="4" w:space="0"/>
                    <w:right w:val="single" w:color="auto" w:sz="12" w:space="0"/>
                  </w:tcBorders>
                  <w:vAlign w:val="center"/>
                </w:tcPr>
                <w:p w14:paraId="01410EA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w:t>
                  </w:r>
                </w:p>
              </w:tc>
            </w:tr>
            <w:tr w14:paraId="691B3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Merge w:val="continue"/>
                  <w:tcBorders>
                    <w:left w:val="single" w:color="auto" w:sz="4" w:space="0"/>
                    <w:right w:val="single" w:color="auto" w:sz="4" w:space="0"/>
                  </w:tcBorders>
                  <w:vAlign w:val="center"/>
                </w:tcPr>
                <w:p w14:paraId="0E8BBEC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p>
              </w:tc>
              <w:tc>
                <w:tcPr>
                  <w:tcW w:w="1100" w:type="dxa"/>
                  <w:tcBorders>
                    <w:left w:val="single" w:color="auto" w:sz="4" w:space="0"/>
                    <w:right w:val="single" w:color="auto" w:sz="4" w:space="0"/>
                  </w:tcBorders>
                  <w:vAlign w:val="center"/>
                </w:tcPr>
                <w:p w14:paraId="2112FE3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eastAsia="宋体" w:cs="Times New Roman"/>
                      <w:color w:val="auto"/>
                      <w:kern w:val="0"/>
                      <w:sz w:val="21"/>
                      <w:szCs w:val="21"/>
                      <w:highlight w:val="none"/>
                      <w:u w:val="none" w:color="auto"/>
                      <w:vertAlign w:val="baseline"/>
                      <w:lang w:val="en-US" w:eastAsia="zh-CN"/>
                    </w:rPr>
                    <w:t>产生量（t/a）</w:t>
                  </w:r>
                </w:p>
              </w:tc>
              <w:tc>
                <w:tcPr>
                  <w:tcW w:w="750" w:type="dxa"/>
                  <w:tcBorders>
                    <w:left w:val="single" w:color="auto" w:sz="4" w:space="0"/>
                    <w:right w:val="single" w:color="auto" w:sz="4" w:space="0"/>
                  </w:tcBorders>
                  <w:vAlign w:val="center"/>
                </w:tcPr>
                <w:p w14:paraId="1C8A826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238</w:t>
                  </w:r>
                </w:p>
              </w:tc>
              <w:tc>
                <w:tcPr>
                  <w:tcW w:w="750" w:type="dxa"/>
                  <w:tcBorders>
                    <w:left w:val="single" w:color="auto" w:sz="4" w:space="0"/>
                    <w:right w:val="single" w:color="auto" w:sz="4" w:space="0"/>
                  </w:tcBorders>
                  <w:vAlign w:val="center"/>
                </w:tcPr>
                <w:p w14:paraId="31D3ADB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0.0201</w:t>
                  </w:r>
                </w:p>
              </w:tc>
              <w:tc>
                <w:tcPr>
                  <w:tcW w:w="750" w:type="dxa"/>
                  <w:tcBorders>
                    <w:left w:val="single" w:color="auto" w:sz="4" w:space="0"/>
                    <w:right w:val="single" w:color="auto" w:sz="4" w:space="0"/>
                  </w:tcBorders>
                  <w:vAlign w:val="center"/>
                </w:tcPr>
                <w:p w14:paraId="3E948B2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0.0062</w:t>
                  </w:r>
                </w:p>
              </w:tc>
              <w:tc>
                <w:tcPr>
                  <w:tcW w:w="750" w:type="dxa"/>
                  <w:tcBorders>
                    <w:left w:val="single" w:color="auto" w:sz="4" w:space="0"/>
                    <w:right w:val="single" w:color="auto" w:sz="4" w:space="0"/>
                  </w:tcBorders>
                  <w:vAlign w:val="center"/>
                </w:tcPr>
                <w:p w14:paraId="00DDA43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0.0036</w:t>
                  </w:r>
                </w:p>
              </w:tc>
              <w:tc>
                <w:tcPr>
                  <w:tcW w:w="750" w:type="dxa"/>
                  <w:tcBorders>
                    <w:left w:val="single" w:color="auto" w:sz="4" w:space="0"/>
                    <w:right w:val="single" w:color="auto" w:sz="4" w:space="0"/>
                  </w:tcBorders>
                  <w:vAlign w:val="center"/>
                </w:tcPr>
                <w:p w14:paraId="79F6734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0.0048</w:t>
                  </w:r>
                </w:p>
              </w:tc>
              <w:tc>
                <w:tcPr>
                  <w:tcW w:w="750" w:type="dxa"/>
                  <w:tcBorders>
                    <w:left w:val="single" w:color="auto" w:sz="4" w:space="0"/>
                    <w:right w:val="single" w:color="auto" w:sz="4" w:space="0"/>
                  </w:tcBorders>
                  <w:vAlign w:val="center"/>
                </w:tcPr>
                <w:p w14:paraId="0D2F934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0.0119</w:t>
                  </w:r>
                </w:p>
              </w:tc>
              <w:tc>
                <w:tcPr>
                  <w:tcW w:w="750" w:type="dxa"/>
                  <w:tcBorders>
                    <w:left w:val="single" w:color="auto" w:sz="4" w:space="0"/>
                    <w:right w:val="single" w:color="auto" w:sz="4" w:space="0"/>
                  </w:tcBorders>
                  <w:vAlign w:val="center"/>
                </w:tcPr>
                <w:p w14:paraId="376CF74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0.0004</w:t>
                  </w:r>
                </w:p>
              </w:tc>
              <w:tc>
                <w:tcPr>
                  <w:tcW w:w="750" w:type="dxa"/>
                  <w:tcBorders>
                    <w:left w:val="single" w:color="auto" w:sz="4" w:space="0"/>
                    <w:right w:val="single" w:color="auto" w:sz="12" w:space="0"/>
                  </w:tcBorders>
                  <w:vAlign w:val="center"/>
                </w:tcPr>
                <w:p w14:paraId="73AC222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kern w:val="0"/>
                      <w:sz w:val="21"/>
                      <w:szCs w:val="21"/>
                      <w:highlight w:val="none"/>
                      <w:u w:val="none" w:color="auto"/>
                      <w:vertAlign w:val="baseline"/>
                      <w:lang w:val="en-US" w:eastAsia="zh-CN"/>
                    </w:rPr>
                  </w:pPr>
                  <w:r>
                    <w:rPr>
                      <w:rFonts w:hint="eastAsia" w:ascii="Times New Roman" w:hAnsi="Times New Roman" w:cs="Times New Roman"/>
                      <w:color w:val="auto"/>
                      <w:kern w:val="0"/>
                      <w:sz w:val="21"/>
                      <w:szCs w:val="21"/>
                      <w:highlight w:val="none"/>
                      <w:u w:val="none" w:color="auto"/>
                      <w:vertAlign w:val="baseline"/>
                      <w:lang w:val="en-US" w:eastAsia="zh-CN"/>
                    </w:rPr>
                    <w:t>/</w:t>
                  </w:r>
                </w:p>
              </w:tc>
            </w:tr>
            <w:tr w14:paraId="7D6EF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Merge w:val="restart"/>
                  <w:tcBorders>
                    <w:left w:val="single" w:color="auto" w:sz="4" w:space="0"/>
                    <w:right w:val="single" w:color="auto" w:sz="4" w:space="0"/>
                  </w:tcBorders>
                  <w:shd w:val="clear" w:color="auto" w:fill="auto"/>
                  <w:vAlign w:val="center"/>
                </w:tcPr>
                <w:p w14:paraId="2E371F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ascii="Times New Roman" w:hAnsi="Times New Roman" w:cs="Times New Roman"/>
                      <w:color w:val="auto"/>
                      <w:kern w:val="0"/>
                      <w:sz w:val="21"/>
                      <w:szCs w:val="21"/>
                      <w:highlight w:val="none"/>
                      <w:u w:val="none" w:color="auto"/>
                      <w:vertAlign w:val="baseline"/>
                      <w:lang w:val="en-US" w:eastAsia="zh-CN"/>
                    </w:rPr>
                    <w:t>2.5t/h生物质蒸汽发生器</w:t>
                  </w:r>
                </w:p>
              </w:tc>
              <w:tc>
                <w:tcPr>
                  <w:tcW w:w="1100" w:type="dxa"/>
                  <w:tcBorders>
                    <w:left w:val="single" w:color="auto" w:sz="4" w:space="0"/>
                    <w:right w:val="single" w:color="auto" w:sz="4" w:space="0"/>
                  </w:tcBorders>
                  <w:shd w:val="clear" w:color="auto" w:fill="auto"/>
                  <w:vAlign w:val="center"/>
                </w:tcPr>
                <w:p w14:paraId="373738D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highlight w:val="none"/>
                      <w:u w:val="none" w:color="auto"/>
                      <w:vertAlign w:val="baseline"/>
                      <w:lang w:val="en-US" w:eastAsia="zh-CN" w:bidi="ar-SA"/>
                    </w:rPr>
                  </w:pPr>
                  <w:r>
                    <w:rPr>
                      <w:rFonts w:hint="eastAsia" w:ascii="Times New Roman" w:hAnsi="Times New Roman" w:eastAsia="宋体" w:cs="Times New Roman"/>
                      <w:color w:val="auto"/>
                      <w:kern w:val="0"/>
                      <w:sz w:val="21"/>
                      <w:szCs w:val="21"/>
                      <w:highlight w:val="none"/>
                      <w:u w:val="none" w:color="auto"/>
                      <w:vertAlign w:val="baseline"/>
                      <w:lang w:val="en-US" w:eastAsia="zh-CN"/>
                    </w:rPr>
                    <w:t>产生浓度（mg/L）</w:t>
                  </w:r>
                </w:p>
              </w:tc>
              <w:tc>
                <w:tcPr>
                  <w:tcW w:w="750" w:type="dxa"/>
                  <w:tcBorders>
                    <w:left w:val="single" w:color="auto" w:sz="4" w:space="0"/>
                    <w:right w:val="single" w:color="auto" w:sz="4" w:space="0"/>
                  </w:tcBorders>
                  <w:vAlign w:val="center"/>
                </w:tcPr>
                <w:p w14:paraId="095021D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highlight w:val="none"/>
                      <w:u w:val="none" w:color="auto"/>
                      <w:vertAlign w:val="baseline"/>
                      <w:lang w:val="en-US" w:eastAsia="zh-CN"/>
                    </w:rPr>
                  </w:pPr>
                  <w:r>
                    <w:rPr>
                      <w:rFonts w:hint="eastAsia" w:ascii="Times New Roman" w:hAnsi="Times New Roman" w:cs="Times New Roman"/>
                      <w:color w:val="auto"/>
                      <w:kern w:val="0"/>
                      <w:sz w:val="21"/>
                      <w:szCs w:val="21"/>
                      <w:highlight w:val="none"/>
                      <w:u w:val="none" w:color="auto"/>
                      <w:vertAlign w:val="baseline"/>
                      <w:lang w:val="en-US" w:eastAsia="zh-CN"/>
                    </w:rPr>
                    <w:t>/</w:t>
                  </w:r>
                </w:p>
              </w:tc>
              <w:tc>
                <w:tcPr>
                  <w:tcW w:w="750" w:type="dxa"/>
                  <w:tcBorders>
                    <w:left w:val="single" w:color="auto" w:sz="4" w:space="0"/>
                    <w:right w:val="single" w:color="auto" w:sz="4" w:space="0"/>
                  </w:tcBorders>
                  <w:shd w:val="clear" w:color="auto" w:fill="auto"/>
                  <w:vAlign w:val="center"/>
                </w:tcPr>
                <w:p w14:paraId="25ECDDB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bidi="ar-SA"/>
                    </w:rPr>
                  </w:pPr>
                  <w:r>
                    <w:rPr>
                      <w:rFonts w:hint="eastAsia" w:ascii="Times New Roman" w:hAnsi="Times New Roman" w:cs="Times New Roman"/>
                      <w:color w:val="auto"/>
                      <w:kern w:val="0"/>
                      <w:sz w:val="21"/>
                      <w:szCs w:val="21"/>
                      <w:highlight w:val="none"/>
                      <w:u w:val="none" w:color="auto"/>
                      <w:vertAlign w:val="baseline"/>
                      <w:lang w:val="en-US" w:eastAsia="zh-CN"/>
                    </w:rPr>
                    <w:t>84.27</w:t>
                  </w:r>
                </w:p>
              </w:tc>
              <w:tc>
                <w:tcPr>
                  <w:tcW w:w="750" w:type="dxa"/>
                  <w:tcBorders>
                    <w:left w:val="single" w:color="auto" w:sz="4" w:space="0"/>
                    <w:right w:val="single" w:color="auto" w:sz="4" w:space="0"/>
                  </w:tcBorders>
                  <w:shd w:val="clear" w:color="auto" w:fill="auto"/>
                  <w:vAlign w:val="center"/>
                </w:tcPr>
                <w:p w14:paraId="52A1EA1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bidi="ar-SA"/>
                    </w:rPr>
                  </w:pPr>
                  <w:r>
                    <w:rPr>
                      <w:rFonts w:hint="eastAsia" w:ascii="Times New Roman" w:hAnsi="Times New Roman" w:cs="Times New Roman"/>
                      <w:color w:val="auto"/>
                      <w:kern w:val="0"/>
                      <w:sz w:val="21"/>
                      <w:szCs w:val="21"/>
                      <w:highlight w:val="none"/>
                      <w:u w:val="none" w:color="auto"/>
                      <w:vertAlign w:val="baseline"/>
                      <w:lang w:val="en-US" w:eastAsia="zh-CN"/>
                    </w:rPr>
                    <w:t>26</w:t>
                  </w:r>
                </w:p>
              </w:tc>
              <w:tc>
                <w:tcPr>
                  <w:tcW w:w="750" w:type="dxa"/>
                  <w:tcBorders>
                    <w:left w:val="single" w:color="auto" w:sz="4" w:space="0"/>
                    <w:right w:val="single" w:color="auto" w:sz="4" w:space="0"/>
                  </w:tcBorders>
                  <w:shd w:val="clear" w:color="auto" w:fill="auto"/>
                  <w:vAlign w:val="center"/>
                </w:tcPr>
                <w:p w14:paraId="3010E86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bidi="ar-SA"/>
                    </w:rPr>
                  </w:pPr>
                  <w:r>
                    <w:rPr>
                      <w:rFonts w:hint="eastAsia" w:ascii="Times New Roman" w:hAnsi="Times New Roman" w:cs="Times New Roman"/>
                      <w:color w:val="auto"/>
                      <w:kern w:val="0"/>
                      <w:sz w:val="21"/>
                      <w:szCs w:val="21"/>
                      <w:highlight w:val="none"/>
                      <w:u w:val="none" w:color="auto"/>
                      <w:vertAlign w:val="baseline"/>
                      <w:lang w:val="en-US" w:eastAsia="zh-CN"/>
                    </w:rPr>
                    <w:t>15</w:t>
                  </w:r>
                </w:p>
              </w:tc>
              <w:tc>
                <w:tcPr>
                  <w:tcW w:w="750" w:type="dxa"/>
                  <w:tcBorders>
                    <w:left w:val="single" w:color="auto" w:sz="4" w:space="0"/>
                    <w:right w:val="single" w:color="auto" w:sz="4" w:space="0"/>
                  </w:tcBorders>
                  <w:shd w:val="clear" w:color="auto" w:fill="auto"/>
                  <w:vAlign w:val="center"/>
                </w:tcPr>
                <w:p w14:paraId="1615860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bidi="ar-SA"/>
                    </w:rPr>
                  </w:pPr>
                  <w:r>
                    <w:rPr>
                      <w:rFonts w:hint="eastAsia" w:ascii="Times New Roman" w:hAnsi="Times New Roman" w:cs="Times New Roman"/>
                      <w:color w:val="auto"/>
                      <w:kern w:val="0"/>
                      <w:sz w:val="21"/>
                      <w:szCs w:val="21"/>
                      <w:highlight w:val="none"/>
                      <w:u w:val="none" w:color="auto"/>
                      <w:vertAlign w:val="baseline"/>
                      <w:lang w:val="en-US" w:eastAsia="zh-CN"/>
                    </w:rPr>
                    <w:t>20</w:t>
                  </w:r>
                </w:p>
              </w:tc>
              <w:tc>
                <w:tcPr>
                  <w:tcW w:w="750" w:type="dxa"/>
                  <w:tcBorders>
                    <w:left w:val="single" w:color="auto" w:sz="4" w:space="0"/>
                    <w:right w:val="single" w:color="auto" w:sz="4" w:space="0"/>
                  </w:tcBorders>
                  <w:shd w:val="clear" w:color="auto" w:fill="auto"/>
                  <w:vAlign w:val="center"/>
                </w:tcPr>
                <w:p w14:paraId="35FEFFC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bidi="ar-SA"/>
                    </w:rPr>
                  </w:pPr>
                  <w:r>
                    <w:rPr>
                      <w:rFonts w:hint="eastAsia" w:ascii="Times New Roman" w:hAnsi="Times New Roman" w:cs="Times New Roman"/>
                      <w:color w:val="auto"/>
                      <w:kern w:val="0"/>
                      <w:sz w:val="21"/>
                      <w:szCs w:val="21"/>
                      <w:highlight w:val="none"/>
                      <w:u w:val="none" w:color="auto"/>
                      <w:vertAlign w:val="baseline"/>
                      <w:lang w:val="en-US" w:eastAsia="zh-CN"/>
                    </w:rPr>
                    <w:t>50</w:t>
                  </w:r>
                </w:p>
              </w:tc>
              <w:tc>
                <w:tcPr>
                  <w:tcW w:w="750" w:type="dxa"/>
                  <w:tcBorders>
                    <w:left w:val="single" w:color="auto" w:sz="4" w:space="0"/>
                    <w:right w:val="single" w:color="auto" w:sz="4" w:space="0"/>
                  </w:tcBorders>
                  <w:shd w:val="clear" w:color="auto" w:fill="auto"/>
                  <w:vAlign w:val="center"/>
                </w:tcPr>
                <w:p w14:paraId="7C87D9C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bidi="ar-SA"/>
                    </w:rPr>
                  </w:pPr>
                  <w:r>
                    <w:rPr>
                      <w:rFonts w:hint="eastAsia" w:ascii="Times New Roman" w:hAnsi="Times New Roman" w:cs="Times New Roman"/>
                      <w:color w:val="auto"/>
                      <w:kern w:val="0"/>
                      <w:sz w:val="21"/>
                      <w:szCs w:val="21"/>
                      <w:highlight w:val="none"/>
                      <w:u w:val="none" w:color="auto"/>
                      <w:vertAlign w:val="baseline"/>
                      <w:lang w:val="en-US" w:eastAsia="zh-CN"/>
                    </w:rPr>
                    <w:t>1.5</w:t>
                  </w:r>
                </w:p>
              </w:tc>
              <w:tc>
                <w:tcPr>
                  <w:tcW w:w="750" w:type="dxa"/>
                  <w:tcBorders>
                    <w:left w:val="single" w:color="auto" w:sz="4" w:space="0"/>
                    <w:right w:val="single" w:color="auto" w:sz="12" w:space="0"/>
                  </w:tcBorders>
                  <w:shd w:val="clear" w:color="auto" w:fill="auto"/>
                  <w:vAlign w:val="center"/>
                </w:tcPr>
                <w:p w14:paraId="7D33A98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w:t>
                  </w:r>
                </w:p>
              </w:tc>
            </w:tr>
            <w:tr w14:paraId="40847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Merge w:val="continue"/>
                  <w:tcBorders>
                    <w:left w:val="single" w:color="auto" w:sz="4" w:space="0"/>
                    <w:right w:val="single" w:color="auto" w:sz="4" w:space="0"/>
                  </w:tcBorders>
                  <w:vAlign w:val="center"/>
                </w:tcPr>
                <w:p w14:paraId="23D4F52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p>
              </w:tc>
              <w:tc>
                <w:tcPr>
                  <w:tcW w:w="1100" w:type="dxa"/>
                  <w:tcBorders>
                    <w:left w:val="single" w:color="auto" w:sz="4" w:space="0"/>
                    <w:right w:val="single" w:color="auto" w:sz="4" w:space="0"/>
                  </w:tcBorders>
                  <w:shd w:val="clear" w:color="auto" w:fill="auto"/>
                  <w:vAlign w:val="center"/>
                </w:tcPr>
                <w:p w14:paraId="546586C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highlight w:val="none"/>
                      <w:u w:val="none" w:color="auto"/>
                      <w:vertAlign w:val="baseline"/>
                      <w:lang w:val="en-US" w:eastAsia="zh-CN" w:bidi="ar-SA"/>
                    </w:rPr>
                  </w:pPr>
                  <w:r>
                    <w:rPr>
                      <w:rFonts w:hint="eastAsia" w:ascii="Times New Roman" w:hAnsi="Times New Roman" w:eastAsia="宋体" w:cs="Times New Roman"/>
                      <w:color w:val="auto"/>
                      <w:kern w:val="0"/>
                      <w:sz w:val="21"/>
                      <w:szCs w:val="21"/>
                      <w:highlight w:val="none"/>
                      <w:u w:val="none" w:color="auto"/>
                      <w:vertAlign w:val="baseline"/>
                      <w:lang w:val="en-US" w:eastAsia="zh-CN"/>
                    </w:rPr>
                    <w:t>产生量（t/a）</w:t>
                  </w:r>
                </w:p>
              </w:tc>
              <w:tc>
                <w:tcPr>
                  <w:tcW w:w="750" w:type="dxa"/>
                  <w:tcBorders>
                    <w:left w:val="single" w:color="auto" w:sz="4" w:space="0"/>
                    <w:right w:val="single" w:color="auto" w:sz="4" w:space="0"/>
                  </w:tcBorders>
                  <w:vAlign w:val="center"/>
                </w:tcPr>
                <w:p w14:paraId="139AE91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336</w:t>
                  </w:r>
                </w:p>
              </w:tc>
              <w:tc>
                <w:tcPr>
                  <w:tcW w:w="750" w:type="dxa"/>
                  <w:tcBorders>
                    <w:left w:val="single" w:color="auto" w:sz="4" w:space="0"/>
                    <w:right w:val="single" w:color="auto" w:sz="4" w:space="0"/>
                  </w:tcBorders>
                  <w:vAlign w:val="center"/>
                </w:tcPr>
                <w:p w14:paraId="7927FDA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0.0283</w:t>
                  </w:r>
                </w:p>
              </w:tc>
              <w:tc>
                <w:tcPr>
                  <w:tcW w:w="750" w:type="dxa"/>
                  <w:tcBorders>
                    <w:left w:val="single" w:color="auto" w:sz="4" w:space="0"/>
                    <w:right w:val="single" w:color="auto" w:sz="4" w:space="0"/>
                  </w:tcBorders>
                  <w:vAlign w:val="center"/>
                </w:tcPr>
                <w:p w14:paraId="0EB49BD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0.0087</w:t>
                  </w:r>
                </w:p>
              </w:tc>
              <w:tc>
                <w:tcPr>
                  <w:tcW w:w="750" w:type="dxa"/>
                  <w:tcBorders>
                    <w:left w:val="single" w:color="auto" w:sz="4" w:space="0"/>
                    <w:right w:val="single" w:color="auto" w:sz="4" w:space="0"/>
                  </w:tcBorders>
                  <w:vAlign w:val="center"/>
                </w:tcPr>
                <w:p w14:paraId="67E1421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0.0050</w:t>
                  </w:r>
                </w:p>
              </w:tc>
              <w:tc>
                <w:tcPr>
                  <w:tcW w:w="750" w:type="dxa"/>
                  <w:tcBorders>
                    <w:left w:val="single" w:color="auto" w:sz="4" w:space="0"/>
                    <w:right w:val="single" w:color="auto" w:sz="4" w:space="0"/>
                  </w:tcBorders>
                  <w:vAlign w:val="center"/>
                </w:tcPr>
                <w:p w14:paraId="478B949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0.0067</w:t>
                  </w:r>
                </w:p>
              </w:tc>
              <w:tc>
                <w:tcPr>
                  <w:tcW w:w="750" w:type="dxa"/>
                  <w:tcBorders>
                    <w:left w:val="single" w:color="auto" w:sz="4" w:space="0"/>
                    <w:right w:val="single" w:color="auto" w:sz="4" w:space="0"/>
                  </w:tcBorders>
                  <w:vAlign w:val="center"/>
                </w:tcPr>
                <w:p w14:paraId="7419152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0.0168</w:t>
                  </w:r>
                </w:p>
              </w:tc>
              <w:tc>
                <w:tcPr>
                  <w:tcW w:w="750" w:type="dxa"/>
                  <w:tcBorders>
                    <w:left w:val="single" w:color="auto" w:sz="4" w:space="0"/>
                    <w:right w:val="single" w:color="auto" w:sz="4" w:space="0"/>
                  </w:tcBorders>
                  <w:vAlign w:val="center"/>
                </w:tcPr>
                <w:p w14:paraId="051D647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0.0005</w:t>
                  </w:r>
                </w:p>
              </w:tc>
              <w:tc>
                <w:tcPr>
                  <w:tcW w:w="750" w:type="dxa"/>
                  <w:tcBorders>
                    <w:left w:val="single" w:color="auto" w:sz="4" w:space="0"/>
                    <w:right w:val="single" w:color="auto" w:sz="12" w:space="0"/>
                  </w:tcBorders>
                  <w:vAlign w:val="center"/>
                </w:tcPr>
                <w:p w14:paraId="32F6B11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w:t>
                  </w:r>
                </w:p>
              </w:tc>
            </w:tr>
            <w:tr w14:paraId="4FEF9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Merge w:val="restart"/>
                  <w:tcBorders>
                    <w:left w:val="single" w:color="auto" w:sz="4" w:space="0"/>
                    <w:right w:val="single" w:color="auto" w:sz="4" w:space="0"/>
                  </w:tcBorders>
                  <w:vAlign w:val="center"/>
                </w:tcPr>
                <w:p w14:paraId="3AA07BE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综合废水</w:t>
                  </w:r>
                </w:p>
              </w:tc>
              <w:tc>
                <w:tcPr>
                  <w:tcW w:w="1100" w:type="dxa"/>
                  <w:tcBorders>
                    <w:left w:val="single" w:color="auto" w:sz="4" w:space="0"/>
                    <w:right w:val="single" w:color="auto" w:sz="4" w:space="0"/>
                  </w:tcBorders>
                  <w:shd w:val="clear" w:color="auto" w:fill="auto"/>
                  <w:vAlign w:val="center"/>
                </w:tcPr>
                <w:p w14:paraId="1703635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highlight w:val="none"/>
                      <w:u w:val="none" w:color="auto"/>
                      <w:vertAlign w:val="baseline"/>
                      <w:lang w:val="en-US" w:eastAsia="zh-CN" w:bidi="ar-SA"/>
                    </w:rPr>
                  </w:pPr>
                  <w:r>
                    <w:rPr>
                      <w:rFonts w:hint="eastAsia" w:ascii="Times New Roman" w:hAnsi="Times New Roman" w:eastAsia="宋体" w:cs="Times New Roman"/>
                      <w:color w:val="auto"/>
                      <w:kern w:val="0"/>
                      <w:sz w:val="21"/>
                      <w:szCs w:val="21"/>
                      <w:highlight w:val="none"/>
                      <w:u w:val="none" w:color="auto"/>
                      <w:vertAlign w:val="baseline"/>
                      <w:lang w:val="en-US" w:eastAsia="zh-CN"/>
                    </w:rPr>
                    <w:t>产生浓度（mg/L）</w:t>
                  </w:r>
                </w:p>
              </w:tc>
              <w:tc>
                <w:tcPr>
                  <w:tcW w:w="750" w:type="dxa"/>
                  <w:tcBorders>
                    <w:left w:val="single" w:color="auto" w:sz="4" w:space="0"/>
                    <w:right w:val="single" w:color="auto" w:sz="4" w:space="0"/>
                  </w:tcBorders>
                  <w:vAlign w:val="center"/>
                </w:tcPr>
                <w:p w14:paraId="07B3498C">
                  <w:pPr>
                    <w:jc w:val="center"/>
                    <w:rPr>
                      <w:rFonts w:hint="default" w:ascii="Times New Roman" w:hAnsi="Times New Roman"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w:t>
                  </w:r>
                </w:p>
              </w:tc>
              <w:tc>
                <w:tcPr>
                  <w:tcW w:w="750" w:type="dxa"/>
                  <w:tcBorders>
                    <w:left w:val="single" w:color="auto" w:sz="4" w:space="0"/>
                    <w:right w:val="single" w:color="auto" w:sz="4" w:space="0"/>
                  </w:tcBorders>
                  <w:shd w:val="clear" w:color="auto" w:fill="auto"/>
                  <w:vAlign w:val="center"/>
                </w:tcPr>
                <w:p w14:paraId="4D2DD49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0"/>
                      <w:sz w:val="21"/>
                      <w:szCs w:val="21"/>
                      <w:highlight w:val="none"/>
                      <w:u w:val="none" w:color="auto"/>
                      <w:vertAlign w:val="baseline"/>
                      <w:lang w:val="en-US" w:eastAsia="zh-CN"/>
                    </w:rPr>
                    <w:t>3535.8</w:t>
                  </w:r>
                </w:p>
              </w:tc>
              <w:tc>
                <w:tcPr>
                  <w:tcW w:w="750" w:type="dxa"/>
                  <w:tcBorders>
                    <w:left w:val="single" w:color="auto" w:sz="4" w:space="0"/>
                    <w:right w:val="single" w:color="auto" w:sz="4" w:space="0"/>
                  </w:tcBorders>
                  <w:shd w:val="clear" w:color="auto" w:fill="auto"/>
                  <w:vAlign w:val="center"/>
                </w:tcPr>
                <w:p w14:paraId="7F3F890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0"/>
                      <w:sz w:val="21"/>
                      <w:szCs w:val="21"/>
                      <w:highlight w:val="none"/>
                      <w:u w:val="none" w:color="auto"/>
                      <w:vertAlign w:val="baseline"/>
                      <w:lang w:val="en-US" w:eastAsia="zh-CN"/>
                    </w:rPr>
                    <w:t>1404.2</w:t>
                  </w:r>
                </w:p>
              </w:tc>
              <w:tc>
                <w:tcPr>
                  <w:tcW w:w="750" w:type="dxa"/>
                  <w:tcBorders>
                    <w:left w:val="single" w:color="auto" w:sz="4" w:space="0"/>
                    <w:right w:val="single" w:color="auto" w:sz="4" w:space="0"/>
                  </w:tcBorders>
                  <w:shd w:val="clear" w:color="auto" w:fill="auto"/>
                  <w:vAlign w:val="center"/>
                </w:tcPr>
                <w:p w14:paraId="46874CF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0"/>
                      <w:sz w:val="21"/>
                      <w:szCs w:val="21"/>
                      <w:highlight w:val="none"/>
                      <w:u w:val="none" w:color="auto"/>
                      <w:vertAlign w:val="baseline"/>
                      <w:lang w:val="en-US" w:eastAsia="zh-CN"/>
                    </w:rPr>
                    <w:t>54.3</w:t>
                  </w:r>
                </w:p>
              </w:tc>
              <w:tc>
                <w:tcPr>
                  <w:tcW w:w="750" w:type="dxa"/>
                  <w:tcBorders>
                    <w:left w:val="single" w:color="auto" w:sz="4" w:space="0"/>
                    <w:right w:val="single" w:color="auto" w:sz="4" w:space="0"/>
                  </w:tcBorders>
                  <w:shd w:val="clear" w:color="auto" w:fill="auto"/>
                  <w:vAlign w:val="center"/>
                </w:tcPr>
                <w:p w14:paraId="6C761E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0"/>
                      <w:sz w:val="21"/>
                      <w:szCs w:val="21"/>
                      <w:highlight w:val="none"/>
                      <w:u w:val="none" w:color="auto"/>
                      <w:vertAlign w:val="baseline"/>
                      <w:lang w:val="en-US" w:eastAsia="zh-CN"/>
                    </w:rPr>
                    <w:t>117.7</w:t>
                  </w:r>
                </w:p>
              </w:tc>
              <w:tc>
                <w:tcPr>
                  <w:tcW w:w="750" w:type="dxa"/>
                  <w:tcBorders>
                    <w:left w:val="single" w:color="auto" w:sz="4" w:space="0"/>
                    <w:right w:val="single" w:color="auto" w:sz="4" w:space="0"/>
                  </w:tcBorders>
                  <w:shd w:val="clear" w:color="auto" w:fill="auto"/>
                  <w:vAlign w:val="center"/>
                </w:tcPr>
                <w:p w14:paraId="74C8386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0"/>
                      <w:sz w:val="21"/>
                      <w:szCs w:val="21"/>
                      <w:highlight w:val="none"/>
                      <w:u w:val="none" w:color="auto"/>
                      <w:vertAlign w:val="baseline"/>
                      <w:lang w:val="en-US" w:eastAsia="zh-CN"/>
                    </w:rPr>
                    <w:t>499.9</w:t>
                  </w:r>
                </w:p>
              </w:tc>
              <w:tc>
                <w:tcPr>
                  <w:tcW w:w="750" w:type="dxa"/>
                  <w:tcBorders>
                    <w:left w:val="single" w:color="auto" w:sz="4" w:space="0"/>
                    <w:right w:val="single" w:color="auto" w:sz="4" w:space="0"/>
                  </w:tcBorders>
                  <w:shd w:val="clear" w:color="auto" w:fill="auto"/>
                  <w:vAlign w:val="center"/>
                </w:tcPr>
                <w:p w14:paraId="7D80810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0"/>
                      <w:sz w:val="21"/>
                      <w:szCs w:val="21"/>
                      <w:highlight w:val="none"/>
                      <w:u w:val="none" w:color="auto"/>
                      <w:vertAlign w:val="baseline"/>
                      <w:lang w:val="en-US" w:eastAsia="zh-CN"/>
                    </w:rPr>
                    <w:t>14.2</w:t>
                  </w:r>
                </w:p>
              </w:tc>
              <w:tc>
                <w:tcPr>
                  <w:tcW w:w="750" w:type="dxa"/>
                  <w:tcBorders>
                    <w:left w:val="single" w:color="auto" w:sz="4" w:space="0"/>
                    <w:right w:val="single" w:color="auto" w:sz="12" w:space="0"/>
                  </w:tcBorders>
                  <w:shd w:val="clear" w:color="auto" w:fill="auto"/>
                  <w:vAlign w:val="center"/>
                </w:tcPr>
                <w:p w14:paraId="00797E5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0"/>
                      <w:sz w:val="21"/>
                      <w:szCs w:val="21"/>
                      <w:highlight w:val="none"/>
                      <w:u w:val="none" w:color="auto"/>
                      <w:vertAlign w:val="baseline"/>
                      <w:lang w:val="en-US" w:eastAsia="zh-CN"/>
                    </w:rPr>
                    <w:t>42.2</w:t>
                  </w:r>
                </w:p>
              </w:tc>
            </w:tr>
            <w:tr w14:paraId="35C47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Merge w:val="continue"/>
                  <w:tcBorders>
                    <w:left w:val="single" w:color="auto" w:sz="4" w:space="0"/>
                    <w:bottom w:val="single" w:color="auto" w:sz="12" w:space="0"/>
                    <w:right w:val="single" w:color="auto" w:sz="4" w:space="0"/>
                  </w:tcBorders>
                  <w:vAlign w:val="center"/>
                </w:tcPr>
                <w:p w14:paraId="63219A8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p>
              </w:tc>
              <w:tc>
                <w:tcPr>
                  <w:tcW w:w="1100" w:type="dxa"/>
                  <w:tcBorders>
                    <w:left w:val="single" w:color="auto" w:sz="4" w:space="0"/>
                    <w:bottom w:val="single" w:color="auto" w:sz="12" w:space="0"/>
                    <w:right w:val="single" w:color="auto" w:sz="4" w:space="0"/>
                  </w:tcBorders>
                  <w:shd w:val="clear" w:color="auto" w:fill="auto"/>
                  <w:vAlign w:val="center"/>
                </w:tcPr>
                <w:p w14:paraId="4963AF1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color w:val="auto"/>
                      <w:kern w:val="0"/>
                      <w:sz w:val="21"/>
                      <w:szCs w:val="21"/>
                      <w:highlight w:val="none"/>
                      <w:u w:val="none" w:color="auto"/>
                      <w:vertAlign w:val="baseline"/>
                      <w:lang w:val="en-US" w:eastAsia="zh-CN" w:bidi="ar-SA"/>
                    </w:rPr>
                  </w:pPr>
                  <w:r>
                    <w:rPr>
                      <w:rFonts w:hint="eastAsia" w:ascii="Times New Roman" w:hAnsi="Times New Roman" w:eastAsia="宋体" w:cs="Times New Roman"/>
                      <w:color w:val="auto"/>
                      <w:kern w:val="0"/>
                      <w:sz w:val="21"/>
                      <w:szCs w:val="21"/>
                      <w:highlight w:val="none"/>
                      <w:u w:val="none" w:color="auto"/>
                      <w:vertAlign w:val="baseline"/>
                      <w:lang w:val="en-US" w:eastAsia="zh-CN"/>
                    </w:rPr>
                    <w:t>产生量（t/a）</w:t>
                  </w:r>
                </w:p>
              </w:tc>
              <w:tc>
                <w:tcPr>
                  <w:tcW w:w="750" w:type="dxa"/>
                  <w:tcBorders>
                    <w:left w:val="single" w:color="auto" w:sz="4" w:space="0"/>
                    <w:bottom w:val="single" w:color="auto" w:sz="12" w:space="0"/>
                    <w:right w:val="single" w:color="auto" w:sz="4" w:space="0"/>
                  </w:tcBorders>
                  <w:vAlign w:val="center"/>
                </w:tcPr>
                <w:p w14:paraId="76BBEFD5">
                  <w:pPr>
                    <w:jc w:val="center"/>
                    <w:rPr>
                      <w:rFonts w:hint="default" w:ascii="Times New Roman" w:hAnsi="Times New Roman"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15871.936</w:t>
                  </w:r>
                </w:p>
              </w:tc>
              <w:tc>
                <w:tcPr>
                  <w:tcW w:w="750" w:type="dxa"/>
                  <w:tcBorders>
                    <w:left w:val="single" w:color="auto" w:sz="4" w:space="0"/>
                    <w:bottom w:val="single" w:color="auto" w:sz="12" w:space="0"/>
                    <w:right w:val="single" w:color="auto" w:sz="4" w:space="0"/>
                  </w:tcBorders>
                  <w:vAlign w:val="center"/>
                </w:tcPr>
                <w:p w14:paraId="7613B370">
                  <w:pPr>
                    <w:jc w:val="center"/>
                    <w:rPr>
                      <w:rFonts w:hint="default" w:ascii="Times New Roman" w:hAnsi="Times New Roman"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58.6394</w:t>
                  </w:r>
                </w:p>
              </w:tc>
              <w:tc>
                <w:tcPr>
                  <w:tcW w:w="750" w:type="dxa"/>
                  <w:tcBorders>
                    <w:left w:val="single" w:color="auto" w:sz="4" w:space="0"/>
                    <w:bottom w:val="single" w:color="auto" w:sz="12" w:space="0"/>
                    <w:right w:val="single" w:color="auto" w:sz="4" w:space="0"/>
                  </w:tcBorders>
                  <w:vAlign w:val="center"/>
                </w:tcPr>
                <w:p w14:paraId="71F64AEC">
                  <w:pPr>
                    <w:jc w:val="center"/>
                    <w:rPr>
                      <w:rFonts w:hint="default" w:ascii="Times New Roman" w:hAnsi="Times New Roman"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23.4519</w:t>
                  </w:r>
                </w:p>
              </w:tc>
              <w:tc>
                <w:tcPr>
                  <w:tcW w:w="750" w:type="dxa"/>
                  <w:tcBorders>
                    <w:left w:val="single" w:color="auto" w:sz="4" w:space="0"/>
                    <w:bottom w:val="single" w:color="auto" w:sz="12" w:space="0"/>
                    <w:right w:val="single" w:color="auto" w:sz="4" w:space="0"/>
                  </w:tcBorders>
                  <w:vAlign w:val="center"/>
                </w:tcPr>
                <w:p w14:paraId="4A028A58">
                  <w:pPr>
                    <w:jc w:val="center"/>
                    <w:rPr>
                      <w:rFonts w:hint="default" w:ascii="Times New Roman" w:hAnsi="Times New Roman"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0.9206</w:t>
                  </w:r>
                </w:p>
              </w:tc>
              <w:tc>
                <w:tcPr>
                  <w:tcW w:w="750" w:type="dxa"/>
                  <w:tcBorders>
                    <w:left w:val="single" w:color="auto" w:sz="4" w:space="0"/>
                    <w:bottom w:val="single" w:color="auto" w:sz="12" w:space="0"/>
                    <w:right w:val="single" w:color="auto" w:sz="4" w:space="0"/>
                  </w:tcBorders>
                  <w:vAlign w:val="center"/>
                </w:tcPr>
                <w:p w14:paraId="52FEA0FF">
                  <w:pPr>
                    <w:jc w:val="center"/>
                    <w:rPr>
                      <w:rFonts w:hint="default" w:ascii="Times New Roman" w:hAnsi="Times New Roman"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1.9525</w:t>
                  </w:r>
                </w:p>
              </w:tc>
              <w:tc>
                <w:tcPr>
                  <w:tcW w:w="750" w:type="dxa"/>
                  <w:tcBorders>
                    <w:left w:val="single" w:color="auto" w:sz="4" w:space="0"/>
                    <w:bottom w:val="single" w:color="auto" w:sz="12" w:space="0"/>
                    <w:right w:val="single" w:color="auto" w:sz="4" w:space="0"/>
                  </w:tcBorders>
                  <w:vAlign w:val="center"/>
                </w:tcPr>
                <w:p w14:paraId="1198EF04">
                  <w:pPr>
                    <w:jc w:val="center"/>
                    <w:rPr>
                      <w:rFonts w:hint="default" w:ascii="Times New Roman" w:hAnsi="Times New Roman"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7.4707</w:t>
                  </w:r>
                </w:p>
              </w:tc>
              <w:tc>
                <w:tcPr>
                  <w:tcW w:w="750" w:type="dxa"/>
                  <w:tcBorders>
                    <w:left w:val="single" w:color="auto" w:sz="4" w:space="0"/>
                    <w:bottom w:val="single" w:color="auto" w:sz="12" w:space="0"/>
                    <w:right w:val="single" w:color="auto" w:sz="4" w:space="0"/>
                  </w:tcBorders>
                  <w:vAlign w:val="center"/>
                </w:tcPr>
                <w:p w14:paraId="6D446E50">
                  <w:pPr>
                    <w:jc w:val="center"/>
                    <w:rPr>
                      <w:rFonts w:hint="default" w:ascii="Times New Roman" w:hAnsi="Times New Roman"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0.2359</w:t>
                  </w:r>
                </w:p>
              </w:tc>
              <w:tc>
                <w:tcPr>
                  <w:tcW w:w="750" w:type="dxa"/>
                  <w:tcBorders>
                    <w:left w:val="single" w:color="auto" w:sz="4" w:space="0"/>
                    <w:bottom w:val="single" w:color="auto" w:sz="12" w:space="0"/>
                    <w:right w:val="single" w:color="auto" w:sz="12" w:space="0"/>
                  </w:tcBorders>
                  <w:vAlign w:val="center"/>
                </w:tcPr>
                <w:p w14:paraId="737D9F44">
                  <w:pPr>
                    <w:jc w:val="center"/>
                    <w:rPr>
                      <w:rFonts w:hint="default"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0.616</w:t>
                  </w:r>
                </w:p>
              </w:tc>
            </w:tr>
          </w:tbl>
          <w:p w14:paraId="799512AA">
            <w:pPr>
              <w:adjustRightInd w:val="0"/>
              <w:snapToGrid w:val="0"/>
              <w:spacing w:line="360" w:lineRule="auto"/>
              <w:ind w:firstLine="420" w:firstLineChars="200"/>
              <w:rPr>
                <w:rFonts w:hint="default" w:ascii="Times New Roman" w:hAnsi="Times New Roman" w:eastAsia="宋体" w:cs="Times New Roman"/>
                <w:color w:val="auto"/>
                <w:kern w:val="0"/>
                <w:highlight w:val="none"/>
                <w:u w:val="none" w:color="auto"/>
                <w:lang w:val="en-US" w:eastAsia="zh-CN"/>
              </w:rPr>
            </w:pPr>
            <w:r>
              <w:rPr>
                <w:rFonts w:hint="eastAsia" w:cs="Times New Roman"/>
                <w:color w:val="auto"/>
                <w:kern w:val="0"/>
                <w:sz w:val="21"/>
                <w:szCs w:val="21"/>
                <w:highlight w:val="none"/>
                <w:u w:val="none" w:color="auto"/>
                <w:lang w:val="en-US" w:eastAsia="zh-CN"/>
              </w:rPr>
              <w:t>注：由于本项目豆制品、肉制品年生产时间不一致，本项目综合废水产生浓度按日产生量核算。</w:t>
            </w:r>
          </w:p>
          <w:p w14:paraId="32FB6832">
            <w:pPr>
              <w:adjustRightInd w:val="0"/>
              <w:snapToGrid w:val="0"/>
              <w:spacing w:line="360" w:lineRule="auto"/>
              <w:ind w:firstLine="480" w:firstLineChars="200"/>
              <w:rPr>
                <w:rFonts w:hint="default" w:ascii="Times New Roman" w:hAnsi="Times New Roman" w:eastAsia="宋体"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2、生产废水污染防治措施</w:t>
            </w:r>
          </w:p>
          <w:p w14:paraId="48F6737D">
            <w:pPr>
              <w:adjustRightInd w:val="0"/>
              <w:snapToGrid w:val="0"/>
              <w:spacing w:line="360" w:lineRule="auto"/>
              <w:ind w:firstLine="480" w:firstLineChars="200"/>
              <w:rPr>
                <w:rFonts w:hint="default" w:ascii="Times New Roman" w:hAnsi="Times New Roman" w:eastAsia="宋体"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本项目拟自建废水处理设施处理本项目产生的生产废水，处理工艺为“格栅+隔油+调节池+气浮+一体化处理（厌氧+缺氧+好氧+沉淀+消毒）”，废水处理设施设计处理规模为100m</w:t>
            </w:r>
            <w:r>
              <w:rPr>
                <w:rFonts w:hint="eastAsia" w:cs="Times New Roman"/>
                <w:color w:val="auto"/>
                <w:kern w:val="0"/>
                <w:highlight w:val="none"/>
                <w:u w:val="none" w:color="auto"/>
                <w:vertAlign w:val="superscript"/>
                <w:lang w:val="en-US" w:eastAsia="zh-CN"/>
              </w:rPr>
              <w:t>3</w:t>
            </w:r>
            <w:r>
              <w:rPr>
                <w:rFonts w:hint="eastAsia" w:cs="Times New Roman"/>
                <w:color w:val="auto"/>
                <w:kern w:val="0"/>
                <w:highlight w:val="none"/>
                <w:u w:val="none" w:color="auto"/>
                <w:lang w:val="en-US" w:eastAsia="zh-CN"/>
              </w:rPr>
              <w:t>/d，处理达到汨罗市大荆镇古仑片区污水处理站进水标准后经槽车运至汨罗市大荆镇古仑片区污水处理站。</w:t>
            </w:r>
          </w:p>
          <w:p w14:paraId="5A7BC50F">
            <w:pPr>
              <w:adjustRightInd w:val="0"/>
              <w:snapToGrid w:val="0"/>
              <w:spacing w:line="360" w:lineRule="auto"/>
              <w:ind w:firstLine="480" w:firstLineChars="200"/>
              <w:rPr>
                <w:rFonts w:hint="default" w:ascii="Times New Roman" w:hAnsi="Times New Roman" w:eastAsia="宋体"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废水处理工艺如下：</w:t>
            </w:r>
          </w:p>
          <w:p w14:paraId="5B71B893">
            <w:pPr>
              <w:adjustRightInd w:val="0"/>
              <w:snapToGrid w:val="0"/>
              <w:spacing w:line="360" w:lineRule="auto"/>
              <w:jc w:val="center"/>
              <w:rPr>
                <w:rFonts w:hint="default" w:ascii="Times New Roman" w:hAnsi="Times New Roman" w:eastAsia="宋体" w:cs="Times New Roman"/>
                <w:color w:val="auto"/>
                <w:kern w:val="0"/>
                <w:highlight w:val="none"/>
                <w:u w:val="none" w:color="auto"/>
                <w:lang w:val="en-US" w:eastAsia="zh-CN"/>
              </w:rPr>
            </w:pPr>
            <w:r>
              <w:rPr>
                <w:color w:val="auto"/>
                <w:sz w:val="24"/>
              </w:rPr>
              <mc:AlternateContent>
                <mc:Choice Requires="wps">
                  <w:drawing>
                    <wp:anchor distT="0" distB="0" distL="114300" distR="114300" simplePos="0" relativeHeight="251661312" behindDoc="0" locked="0" layoutInCell="1" allowOverlap="1">
                      <wp:simplePos x="0" y="0"/>
                      <wp:positionH relativeFrom="column">
                        <wp:posOffset>2141855</wp:posOffset>
                      </wp:positionH>
                      <wp:positionV relativeFrom="paragraph">
                        <wp:posOffset>1675130</wp:posOffset>
                      </wp:positionV>
                      <wp:extent cx="609600" cy="323215"/>
                      <wp:effectExtent l="0" t="0" r="0" b="0"/>
                      <wp:wrapNone/>
                      <wp:docPr id="207" name="文本框 207"/>
                      <wp:cNvGraphicFramePr/>
                      <a:graphic xmlns:a="http://schemas.openxmlformats.org/drawingml/2006/main">
                        <a:graphicData uri="http://schemas.microsoft.com/office/word/2010/wordprocessingShape">
                          <wps:wsp>
                            <wps:cNvSpPr txBox="1"/>
                            <wps:spPr>
                              <a:xfrm>
                                <a:off x="4223385" y="3239135"/>
                                <a:ext cx="609600" cy="3232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EFA1C">
                                  <w:pPr>
                                    <w:rPr>
                                      <w:rFonts w:hint="eastAsia" w:eastAsia="宋体"/>
                                      <w:lang w:eastAsia="zh-CN"/>
                                    </w:rPr>
                                  </w:pPr>
                                  <w:r>
                                    <w:rPr>
                                      <w:rFonts w:hint="eastAsia"/>
                                      <w:lang w:eastAsia="zh-CN"/>
                                    </w:rPr>
                                    <w:t>污泥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68.65pt;margin-top:131.9pt;height:25.45pt;width:48pt;z-index:251661312;mso-width-relative:page;mso-height-relative:page;" filled="f" stroked="f" coordsize="21600,21600" o:gfxdata="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8bgh8tsAAAALAQAADwAAAAAA&#10;AAABACAAAAAiAAAAZHJzL2Rvd25yZXYueG1sUEsBAhQAFAAAAAgAh07iQK7FxNdJAgAAdQQAAA4A&#10;AAAAAAAAAQAgAAAAKgEAAGRycy9lMm9Eb2MueG1sUEsFBgAAAAAGAAYAWQEAAOUFAAAAAA==&#10;">
                      <v:fill on="f" focussize="0,0"/>
                      <v:stroke on="f" weight="0.5pt"/>
                      <v:imagedata o:title=""/>
                      <o:lock v:ext="edit" aspectratio="f"/>
                      <v:textbox>
                        <w:txbxContent>
                          <w:p w14:paraId="726EFA1C">
                            <w:pPr>
                              <w:rPr>
                                <w:rFonts w:hint="eastAsia" w:eastAsia="宋体"/>
                                <w:lang w:eastAsia="zh-CN"/>
                              </w:rPr>
                            </w:pPr>
                            <w:r>
                              <w:rPr>
                                <w:rFonts w:hint="eastAsia"/>
                                <w:lang w:eastAsia="zh-CN"/>
                              </w:rPr>
                              <w:t>污泥</w:t>
                            </w:r>
                          </w:p>
                        </w:txbxContent>
                      </v:textbox>
                    </v:shape>
                  </w:pict>
                </mc:Fallback>
              </mc:AlternateContent>
            </w:r>
            <w:r>
              <w:rPr>
                <w:color w:val="auto"/>
                <w:sz w:val="24"/>
              </w:rPr>
              <mc:AlternateContent>
                <mc:Choice Requires="wpc">
                  <w:drawing>
                    <wp:inline distT="0" distB="0" distL="114300" distR="114300">
                      <wp:extent cx="5083810" cy="3789045"/>
                      <wp:effectExtent l="0" t="0" r="0" b="0"/>
                      <wp:docPr id="154" name="画布 154"/>
                      <wp:cNvGraphicFramePr/>
                      <a:graphic xmlns:a="http://schemas.openxmlformats.org/drawingml/2006/main">
                        <a:graphicData uri="http://schemas.microsoft.com/office/word/2010/wordprocessingCanvas">
                          <wpc:wpc>
                            <wpc:bg/>
                            <wpc:whole/>
                            <wps:wsp>
                              <wps:cNvPr id="158" name="矩形 158"/>
                              <wps:cNvSpPr/>
                              <wps:spPr>
                                <a:xfrm>
                                  <a:off x="817880" y="113030"/>
                                  <a:ext cx="781050" cy="323850"/>
                                </a:xfrm>
                                <a:prstGeom prst="rect">
                                  <a:avLst/>
                                </a:prstGeom>
                                <a:noFill/>
                                <a:ln w="127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60728F25">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格栅</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59" name="矩形 159"/>
                              <wps:cNvSpPr/>
                              <wps:spPr>
                                <a:xfrm>
                                  <a:off x="817880" y="675005"/>
                                  <a:ext cx="781050" cy="323850"/>
                                </a:xfrm>
                                <a:prstGeom prst="rect">
                                  <a:avLst/>
                                </a:prstGeom>
                                <a:noFill/>
                                <a:ln w="127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688269A9">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隔油池</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3" name="矩形 193"/>
                              <wps:cNvSpPr/>
                              <wps:spPr>
                                <a:xfrm>
                                  <a:off x="808355" y="1227455"/>
                                  <a:ext cx="781050" cy="323850"/>
                                </a:xfrm>
                                <a:prstGeom prst="rect">
                                  <a:avLst/>
                                </a:prstGeom>
                                <a:noFill/>
                                <a:ln w="127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2CF3ECC6">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调节池</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4" name="矩形 194"/>
                              <wps:cNvSpPr/>
                              <wps:spPr>
                                <a:xfrm>
                                  <a:off x="808355" y="1770380"/>
                                  <a:ext cx="781050" cy="323850"/>
                                </a:xfrm>
                                <a:prstGeom prst="rect">
                                  <a:avLst/>
                                </a:prstGeom>
                                <a:noFill/>
                                <a:ln w="127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79A2DFC0">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气浮</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5" name="矩形 195"/>
                              <wps:cNvSpPr/>
                              <wps:spPr>
                                <a:xfrm>
                                  <a:off x="713105" y="2332355"/>
                                  <a:ext cx="942340" cy="323850"/>
                                </a:xfrm>
                                <a:prstGeom prst="rect">
                                  <a:avLst/>
                                </a:prstGeom>
                                <a:noFill/>
                                <a:ln w="127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745DF8B5">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中间水池</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6" name="矩形 196"/>
                              <wps:cNvSpPr/>
                              <wps:spPr>
                                <a:xfrm>
                                  <a:off x="513080" y="2884805"/>
                                  <a:ext cx="1351915" cy="666115"/>
                                </a:xfrm>
                                <a:prstGeom prst="rect">
                                  <a:avLst/>
                                </a:prstGeom>
                                <a:noFill/>
                                <a:ln w="127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13741453">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一体化处理（厌氧</w:t>
                                    </w:r>
                                    <w:r>
                                      <w:rPr>
                                        <w:rFonts w:hint="eastAsia"/>
                                        <w:color w:val="000000" w:themeColor="text1"/>
                                        <w:lang w:val="en-US" w:eastAsia="zh-CN"/>
                                        <w14:textFill>
                                          <w14:solidFill>
                                            <w14:schemeClr w14:val="tx1"/>
                                          </w14:solidFill>
                                        </w14:textFill>
                                      </w:rPr>
                                      <w:t>+缺氧+好氧+沉淀+消毒）</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7" name="直接箭头连接符 197"/>
                              <wps:cNvCnPr>
                                <a:stCxn id="158" idx="2"/>
                                <a:endCxn id="159" idx="0"/>
                              </wps:cNvCnPr>
                              <wps:spPr>
                                <a:xfrm>
                                  <a:off x="1208405" y="436880"/>
                                  <a:ext cx="0" cy="238125"/>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98" name="直接箭头连接符 198"/>
                              <wps:cNvCnPr/>
                              <wps:spPr>
                                <a:xfrm>
                                  <a:off x="1198880" y="998855"/>
                                  <a:ext cx="0" cy="238125"/>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199" name="直接箭头连接符 199"/>
                              <wps:cNvCnPr/>
                              <wps:spPr>
                                <a:xfrm>
                                  <a:off x="1189355" y="1541780"/>
                                  <a:ext cx="0" cy="238125"/>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200" name="直接箭头连接符 200"/>
                              <wps:cNvCnPr/>
                              <wps:spPr>
                                <a:xfrm>
                                  <a:off x="1189355" y="2094230"/>
                                  <a:ext cx="0" cy="238125"/>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201" name="直接箭头连接符 201"/>
                              <wps:cNvCnPr/>
                              <wps:spPr>
                                <a:xfrm>
                                  <a:off x="1189355" y="2656205"/>
                                  <a:ext cx="0" cy="238125"/>
                                </a:xfrm>
                                <a:prstGeom prst="straightConnector1">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203" name="矩形 203"/>
                              <wps:cNvSpPr/>
                              <wps:spPr>
                                <a:xfrm>
                                  <a:off x="2818130" y="2322830"/>
                                  <a:ext cx="942340" cy="323850"/>
                                </a:xfrm>
                                <a:prstGeom prst="rect">
                                  <a:avLst/>
                                </a:prstGeom>
                                <a:noFill/>
                                <a:ln w="12700">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14:paraId="03FBB2D5">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污泥池</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205" name="肘形连接符 205"/>
                              <wps:cNvCnPr>
                                <a:stCxn id="194" idx="3"/>
                                <a:endCxn id="203" idx="0"/>
                              </wps:cNvCnPr>
                              <wps:spPr>
                                <a:xfrm>
                                  <a:off x="1589405" y="1932305"/>
                                  <a:ext cx="1699895" cy="390525"/>
                                </a:xfrm>
                                <a:prstGeom prst="bentConnector2">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206" name="肘形连接符 206"/>
                              <wps:cNvCnPr>
                                <a:stCxn id="196" idx="3"/>
                                <a:endCxn id="203" idx="2"/>
                              </wps:cNvCnPr>
                              <wps:spPr>
                                <a:xfrm flipV="1">
                                  <a:off x="1864995" y="2646680"/>
                                  <a:ext cx="1424305" cy="571500"/>
                                </a:xfrm>
                                <a:prstGeom prst="bentConnector2">
                                  <a:avLst/>
                                </a:prstGeom>
                                <a:ln w="12700">
                                  <a:solidFill>
                                    <a:schemeClr val="tx1"/>
                                  </a:solidFill>
                                  <a:tailEnd type="arrow"/>
                                </a:ln>
                              </wps:spPr>
                              <wps:style>
                                <a:lnRef idx="2">
                                  <a:schemeClr val="accent1"/>
                                </a:lnRef>
                                <a:fillRef idx="0">
                                  <a:srgbClr val="FFFFFF"/>
                                </a:fillRef>
                                <a:effectRef idx="0">
                                  <a:srgbClr val="FFFFFF"/>
                                </a:effectRef>
                                <a:fontRef idx="minor">
                                  <a:schemeClr val="tx1"/>
                                </a:fontRef>
                              </wps:style>
                              <wps:bodyPr/>
                            </wps:wsp>
                            <wps:wsp>
                              <wps:cNvPr id="208" name="文本框 208"/>
                              <wps:cNvSpPr txBox="1"/>
                              <wps:spPr>
                                <a:xfrm>
                                  <a:off x="2446655" y="2989580"/>
                                  <a:ext cx="609600" cy="3232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AA3CCA">
                                    <w:pPr>
                                      <w:rPr>
                                        <w:rFonts w:hint="eastAsia" w:eastAsia="宋体"/>
                                        <w:lang w:eastAsia="zh-CN"/>
                                      </w:rPr>
                                    </w:pPr>
                                    <w:r>
                                      <w:rPr>
                                        <w:rFonts w:hint="eastAsia"/>
                                        <w:lang w:eastAsia="zh-CN"/>
                                      </w:rPr>
                                      <w:t>污泥</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298.35pt;width:400.3pt;" coordsize="5083810,3789045" editas="canvas" o:gfxdata="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">
                      <o:lock v:ext="edit" aspectratio="f"/>
                      <v:shape id="_x0000_s1026" o:spid="_x0000_s1026" style="position:absolute;left:0;top:0;height:3789045;width:5083810;" filled="f" stroked="f" coordsize="21600,21600" o:gfxdata="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">
                        <v:fill on="f" focussize="0,0"/>
                        <v:stroke on="f"/>
                        <v:imagedata o:title=""/>
                        <o:lock v:ext="edit" aspectratio="f"/>
                      </v:shape>
                      <v:rect id="_x0000_s1026" o:spid="_x0000_s1026" o:spt="1" style="position:absolute;left:817880;top:113030;height:323850;width:781050;v-text-anchor:middle;" filled="f" stroked="t" coordsize="21600,21600" o:gfxdata="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MJOUkLVAAAABQEAAA8AAAAAAAAAAQAgAAAAIgAAAGRycy9kb3ducmV2LnhtbFBL&#10;AQIUABQAAAAIAIdO4kBTFctGawIAAMwEAAAOAAAAAAAAAAEAIAAAACQBAABkcnMvZTJvRG9jLnht&#10;bFBLBQYAAAAABgAGAFkBAAABBgAAAAA=&#10;">
                        <v:fill on="f" focussize="0,0"/>
                        <v:stroke weight="1pt" color="#000000 [3213]" joinstyle="round"/>
                        <v:imagedata o:title=""/>
                        <o:lock v:ext="edit" aspectratio="f"/>
                        <v:textbox>
                          <w:txbxContent>
                            <w:p w14:paraId="60728F25">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格栅</w:t>
                              </w:r>
                            </w:p>
                          </w:txbxContent>
                        </v:textbox>
                      </v:rect>
                      <v:rect id="_x0000_s1026" o:spid="_x0000_s1026" o:spt="1" style="position:absolute;left:817880;top:675005;height:323850;width:781050;v-text-anchor:middle;" filled="f" stroked="t" coordsize="21600,21600" o:gfxdata="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MJOUkLVAAAABQEAAA8AAAAAAAAAAQAgAAAAIgAAAGRycy9kb3ducmV2Lnht&#10;bFBLAQIUABQAAAAIAIdO4kAxUvdibgIAAMwEAAAOAAAAAAAAAAEAIAAAACQBAABkcnMvZTJvRG9j&#10;LnhtbFBLBQYAAAAABgAGAFkBAAAEBgAAAAA=&#10;">
                        <v:fill on="f" focussize="0,0"/>
                        <v:stroke weight="1pt" color="#000000 [3213]" joinstyle="round"/>
                        <v:imagedata o:title=""/>
                        <o:lock v:ext="edit" aspectratio="f"/>
                        <v:textbox>
                          <w:txbxContent>
                            <w:p w14:paraId="688269A9">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隔油池</w:t>
                              </w:r>
                            </w:p>
                          </w:txbxContent>
                        </v:textbox>
                      </v:rect>
                      <v:rect id="_x0000_s1026" o:spid="_x0000_s1026" o:spt="1" style="position:absolute;left:808355;top:1227455;height:323850;width:781050;v-text-anchor:middle;" filled="f" stroked="t" coordsize="21600,21600" o:gfxdata="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wk5SQtUAAAAFAQAADwAAAAAAAAABACAAAAAiAAAAZHJzL2Rvd25yZXYueG1sUEsB&#10;AhQAFAAAAAgAh07iQGWKZsZqAgAAzQQAAA4AAAAAAAAAAQAgAAAAJAEAAGRycy9lMm9Eb2MueG1s&#10;UEsFBgAAAAAGAAYAWQEAAAAGAAAAAA==&#10;">
                        <v:fill on="f" focussize="0,0"/>
                        <v:stroke weight="1pt" color="#000000 [3213]" joinstyle="round"/>
                        <v:imagedata o:title=""/>
                        <o:lock v:ext="edit" aspectratio="f"/>
                        <v:textbox>
                          <w:txbxContent>
                            <w:p w14:paraId="2CF3ECC6">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调节池</w:t>
                              </w:r>
                            </w:p>
                          </w:txbxContent>
                        </v:textbox>
                      </v:rect>
                      <v:rect id="_x0000_s1026" o:spid="_x0000_s1026" o:spt="1" style="position:absolute;left:808355;top:1770380;height:323850;width:781050;v-text-anchor:middle;" filled="f" stroked="t" coordsize="21600,21600" o:gfxdata="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wk5SQtUAAAAFAQAADwAAAAAAAAABACAAAAAiAAAAZHJzL2Rvd25yZXYueG1s&#10;UEsBAhQAFAAAAAgAh07iQMzpzQRtAgAAzQQAAA4AAAAAAAAAAQAgAAAAJAEAAGRycy9lMm9Eb2Mu&#10;eG1sUEsFBgAAAAAGAAYAWQEAAAMGAAAAAA==&#10;">
                        <v:fill on="f" focussize="0,0"/>
                        <v:stroke weight="1pt" color="#000000 [3213]" joinstyle="round"/>
                        <v:imagedata o:title=""/>
                        <o:lock v:ext="edit" aspectratio="f"/>
                        <v:textbox>
                          <w:txbxContent>
                            <w:p w14:paraId="79A2DFC0">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气浮</w:t>
                              </w:r>
                            </w:p>
                          </w:txbxContent>
                        </v:textbox>
                      </v:rect>
                      <v:rect id="_x0000_s1026" o:spid="_x0000_s1026" o:spt="1" style="position:absolute;left:713105;top:2332355;height:323850;width:942340;v-text-anchor:middle;" filled="f" stroked="t" coordsize="21600,21600" o:gfxdata="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">
                        <v:fill on="f" focussize="0,0"/>
                        <v:stroke weight="1pt" color="#000000 [3213]" joinstyle="round"/>
                        <v:imagedata o:title=""/>
                        <o:lock v:ext="edit" aspectratio="f"/>
                        <v:textbox>
                          <w:txbxContent>
                            <w:p w14:paraId="745DF8B5">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中间水池</w:t>
                              </w:r>
                            </w:p>
                          </w:txbxContent>
                        </v:textbox>
                      </v:rect>
                      <v:rect id="_x0000_s1026" o:spid="_x0000_s1026" o:spt="1" style="position:absolute;left:513080;top:2884805;height:666115;width:1351915;v-text-anchor:middle;" filled="f" stroked="t" coordsize="21600,21600" o:gfxdata="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MJOUkLVAAAABQEAAA8AAAAAAAAAAQAgAAAAIgAAAGRycy9kb3ducmV2&#10;LnhtbFBLAQIUABQAAAAIAIdO4kCfrwyecQIAAM4EAAAOAAAAAAAAAAEAIAAAACQBAABkcnMvZTJv&#10;RG9jLnhtbFBLBQYAAAAABgAGAFkBAAAHBgAAAAA=&#10;">
                        <v:fill on="f" focussize="0,0"/>
                        <v:stroke weight="1pt" color="#000000 [3213]" joinstyle="round"/>
                        <v:imagedata o:title=""/>
                        <o:lock v:ext="edit" aspectratio="f"/>
                        <v:textbox>
                          <w:txbxContent>
                            <w:p w14:paraId="13741453">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一体化处理（厌氧</w:t>
                              </w:r>
                              <w:r>
                                <w:rPr>
                                  <w:rFonts w:hint="eastAsia"/>
                                  <w:color w:val="000000" w:themeColor="text1"/>
                                  <w:lang w:val="en-US" w:eastAsia="zh-CN"/>
                                  <w14:textFill>
                                    <w14:solidFill>
                                      <w14:schemeClr w14:val="tx1"/>
                                    </w14:solidFill>
                                  </w14:textFill>
                                </w:rPr>
                                <w:t>+缺氧+好氧+沉淀+消毒）</w:t>
                              </w:r>
                            </w:p>
                          </w:txbxContent>
                        </v:textbox>
                      </v:rect>
                      <v:shape id="_x0000_s1026" o:spid="_x0000_s1026" o:spt="32" type="#_x0000_t32" style="position:absolute;left:1208405;top:436880;height:238125;width:0;" filled="f" stroked="t" coordsize="21600,21600" o:gfxdata="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BZ601K1gAA&#10;AAUBAAAPAAAAAAAAAAEAIAAAACIAAABkcnMvZG93bnJldi54bWxQSwECFAAUAAAACACHTuJAOjLp&#10;AyACAAAaBAAADgAAAAAAAAABACAAAAAlAQAAZHJzL2Uyb0RvYy54bWxQSwUGAAAAAAYABgBZAQAA&#10;twUAAAAA&#10;">
                        <v:fill on="f" focussize="0,0"/>
                        <v:stroke weight="1pt" color="#000000 [3213]" joinstyle="round" endarrow="open"/>
                        <v:imagedata o:title=""/>
                        <o:lock v:ext="edit" aspectratio="f"/>
                      </v:shape>
                      <v:shape id="_x0000_s1026" o:spid="_x0000_s1026" o:spt="32" type="#_x0000_t32" style="position:absolute;left:1198880;top:998855;height:238125;width:0;" filled="f" stroked="t" coordsize="21600,21600" o:gfxdata="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">
                        <v:fill on="f" focussize="0,0"/>
                        <v:stroke weight="1pt" color="#000000 [3213]" joinstyle="round" endarrow="open"/>
                        <v:imagedata o:title=""/>
                        <o:lock v:ext="edit" aspectratio="f"/>
                      </v:shape>
                      <v:shape id="_x0000_s1026" o:spid="_x0000_s1026" o:spt="32" type="#_x0000_t32" style="position:absolute;left:1189355;top:1541780;height:238125;width:0;" filled="f" stroked="t" coordsize="21600,21600" o:gfxdata="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WetNStYAAAAFAQAADwAAAAAAAAABACAAAAAiAAAAZHJz&#10;L2Rvd25yZXYueG1sUEsBAhQAFAAAAAgAh07iQAe058MGAgAA1wMAAA4AAAAAAAAAAQAgAAAAJQEA&#10;AGRycy9lMm9Eb2MueG1sUEsFBgAAAAAGAAYAWQEAAJ0FAAAAAA==&#10;">
                        <v:fill on="f" focussize="0,0"/>
                        <v:stroke weight="1pt" color="#000000 [3213]" joinstyle="round" endarrow="open"/>
                        <v:imagedata o:title=""/>
                        <o:lock v:ext="edit" aspectratio="f"/>
                      </v:shape>
                      <v:shape id="_x0000_s1026" o:spid="_x0000_s1026" o:spt="32" type="#_x0000_t32" style="position:absolute;left:1189355;top:2094230;height:238125;width:0;" filled="f" stroked="t" coordsize="21600,21600" o:gfxdata="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FnrTUrWAAAABQEAAA8AAAAAAAAAAQAgAAAAIgAAAGRycy9k&#10;b3ducmV2LnhtbFBLAQIUABQAAAAIAIdO4kDUcqQgBAIAANcDAAAOAAAAAAAAAAEAIAAAACUBAABk&#10;cnMvZTJvRG9jLnhtbFBLBQYAAAAABgAGAFkBAACbBQAAAAA=&#10;">
                        <v:fill on="f" focussize="0,0"/>
                        <v:stroke weight="1pt" color="#000000 [3213]" joinstyle="round" endarrow="open"/>
                        <v:imagedata o:title=""/>
                        <o:lock v:ext="edit" aspectratio="f"/>
                      </v:shape>
                      <v:shape id="_x0000_s1026" o:spid="_x0000_s1026" o:spt="32" type="#_x0000_t32" style="position:absolute;left:1189355;top:2656205;height:238125;width:0;" filled="f" stroked="t" coordsize="21600,21600" o:gfxdata="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BZ601K1gAAAAUBAAAPAAAAAAAAAAEAIAAAACIAAABkcnMv&#10;ZG93bnJldi54bWxQSwECFAAUAAAACACHTuJA5PlA+AUCAADXAwAADgAAAAAAAAABACAAAAAlAQAA&#10;ZHJzL2Uyb0RvYy54bWxQSwUGAAAAAAYABgBZAQAAnAUAAAAA&#10;">
                        <v:fill on="f" focussize="0,0"/>
                        <v:stroke weight="1pt" color="#000000 [3213]" joinstyle="round" endarrow="open"/>
                        <v:imagedata o:title=""/>
                        <o:lock v:ext="edit" aspectratio="f"/>
                      </v:shape>
                      <v:rect id="_x0000_s1026" o:spid="_x0000_s1026" o:spt="1" style="position:absolute;left:2818130;top:2322830;height:323850;width:942340;v-text-anchor:middle;" filled="f" stroked="t" coordsize="21600,21600" o:gfxdata="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DCTlJC1QAAAAUBAAAPAAAAAAAAAAEAIAAAACIAAABkcnMvZG93bnJldi54bWxQ&#10;SwECFAAUAAAACACHTuJANfgS9GwCAADOBAAADgAAAAAAAAABACAAAAAkAQAAZHJzL2Uyb0RvYy54&#10;bWxQSwUGAAAAAAYABgBZAQAAAgYAAAAA&#10;">
                        <v:fill on="f" focussize="0,0"/>
                        <v:stroke weight="1pt" color="#000000 [3213]" joinstyle="round"/>
                        <v:imagedata o:title=""/>
                        <o:lock v:ext="edit" aspectratio="f"/>
                        <v:textbox>
                          <w:txbxContent>
                            <w:p w14:paraId="03FBB2D5">
                              <w:pPr>
                                <w:jc w:val="center"/>
                                <w:rPr>
                                  <w:rFonts w:hint="eastAsia" w:eastAsia="宋体"/>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污泥池</w:t>
                              </w:r>
                            </w:p>
                          </w:txbxContent>
                        </v:textbox>
                      </v:rect>
                      <v:shape id="_x0000_s1026" o:spid="_x0000_s1026" o:spt="33" type="#_x0000_t33" style="position:absolute;left:1589405;top:1932305;height:390525;width:1699895;" filled="f" stroked="t" coordsize="21600,21600" o:gfxdata="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">
                        <v:fill on="f" focussize="0,0"/>
                        <v:stroke weight="1pt" color="#000000 [3213]" joinstyle="round" endarrow="open"/>
                        <v:imagedata o:title=""/>
                        <o:lock v:ext="edit" aspectratio="f"/>
                      </v:shape>
                      <v:shape id="_x0000_s1026" o:spid="_x0000_s1026" o:spt="33" type="#_x0000_t33" style="position:absolute;left:1864995;top:2646680;flip:y;height:571500;width:1424305;" filled="f" stroked="t" coordsize="21600,21600" o:gfxdata="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gEN0QdMAAAAFAQAADwAAAAAAAAABACAAAAAiAAAAZHJzL2Rvd25yZXYueG1sUEsBAhQAFAAAAAgA&#10;h07iQLJtdwsqAgAAIQQAAA4AAAAAAAAAAQAgAAAAIgEAAGRycy9lMm9Eb2MueG1sUEsFBgAAAAAG&#10;AAYAWQEAAL4FAAAAAA==&#10;">
                        <v:fill on="f" focussize="0,0"/>
                        <v:stroke weight="1pt" color="#000000 [3213]" joinstyle="round" endarrow="open"/>
                        <v:imagedata o:title=""/>
                        <o:lock v:ext="edit" aspectratio="f"/>
                      </v:shape>
                      <v:shape id="_x0000_s1026" o:spid="_x0000_s1026" o:spt="202" type="#_x0000_t202" style="position:absolute;left:2446655;top:2989580;height:323215;width:609600;" filled="f" stroked="f" coordsize="21600,21600" o:gfxdata="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IpXKdrWAAAABQEAAA8AAAAAAAAAAQAg&#10;AAAAIgAAAGRycy9kb3ducmV2LnhtbFBLAQIUABQAAAAIAIdO4kBJZMDiSQIAAHUEAAAOAAAAAAAA&#10;AAEAIAAAACUBAABkcnMvZTJvRG9jLnhtbFBLBQYAAAAABgAGAFkBAADgBQAAAAA=&#10;">
                        <v:fill on="f" focussize="0,0"/>
                        <v:stroke on="f" weight="0.5pt"/>
                        <v:imagedata o:title=""/>
                        <o:lock v:ext="edit" aspectratio="f"/>
                        <v:textbox>
                          <w:txbxContent>
                            <w:p w14:paraId="33AA3CCA">
                              <w:pPr>
                                <w:rPr>
                                  <w:rFonts w:hint="eastAsia" w:eastAsia="宋体"/>
                                  <w:lang w:eastAsia="zh-CN"/>
                                </w:rPr>
                              </w:pPr>
                              <w:r>
                                <w:rPr>
                                  <w:rFonts w:hint="eastAsia"/>
                                  <w:lang w:eastAsia="zh-CN"/>
                                </w:rPr>
                                <w:t>污泥</w:t>
                              </w:r>
                            </w:p>
                          </w:txbxContent>
                        </v:textbox>
                      </v:shape>
                      <w10:wrap type="none"/>
                      <w10:anchorlock/>
                    </v:group>
                  </w:pict>
                </mc:Fallback>
              </mc:AlternateContent>
            </w:r>
          </w:p>
          <w:p w14:paraId="01EE34B8">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b/>
                <w:bCs/>
                <w:color w:val="auto"/>
                <w:kern w:val="0"/>
                <w:sz w:val="21"/>
                <w:szCs w:val="21"/>
                <w:highlight w:val="none"/>
                <w:u w:val="none" w:color="auto"/>
                <w:lang w:val="en-US" w:eastAsia="zh-CN"/>
              </w:rPr>
            </w:pPr>
            <w:r>
              <w:rPr>
                <w:rFonts w:hint="eastAsia" w:cs="Times New Roman"/>
                <w:b/>
                <w:bCs/>
                <w:color w:val="auto"/>
                <w:kern w:val="0"/>
                <w:sz w:val="21"/>
                <w:szCs w:val="21"/>
                <w:highlight w:val="none"/>
                <w:u w:val="none" w:color="auto"/>
                <w:lang w:val="en-US" w:eastAsia="zh-CN"/>
              </w:rPr>
              <w:t>图4-1 生产废水处理工艺流程图</w:t>
            </w:r>
          </w:p>
          <w:p w14:paraId="2AE246DA">
            <w:pPr>
              <w:adjustRightInd w:val="0"/>
              <w:snapToGrid w:val="0"/>
              <w:spacing w:line="360" w:lineRule="auto"/>
              <w:ind w:firstLine="480" w:firstLineChars="200"/>
              <w:rPr>
                <w:rFonts w:hint="default" w:ascii="Times New Roman" w:hAnsi="Times New Roman" w:eastAsia="宋体"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污水处理工艺简述：</w:t>
            </w:r>
          </w:p>
          <w:p w14:paraId="5E63ED6B">
            <w:pPr>
              <w:adjustRightInd w:val="0"/>
              <w:snapToGrid w:val="0"/>
              <w:spacing w:line="360" w:lineRule="auto"/>
              <w:ind w:firstLine="480" w:firstLineChars="200"/>
              <w:rPr>
                <w:rFonts w:hint="default" w:ascii="Times New Roman" w:hAnsi="Times New Roman" w:eastAsia="宋体"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①格栅：综合废水先经过格栅去除大块杂物和部分悬浮物，为后续设备的正常运行提供保障。</w:t>
            </w:r>
          </w:p>
          <w:p w14:paraId="4E95EA7A">
            <w:pPr>
              <w:adjustRightInd w:val="0"/>
              <w:snapToGrid w:val="0"/>
              <w:spacing w:line="360" w:lineRule="auto"/>
              <w:ind w:firstLine="480" w:firstLineChars="200"/>
              <w:rPr>
                <w:rFonts w:hint="eastAsia"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②隔油池，本项目生产废水中含有动植物油，隔油池能有效去除废水中的油脂，保障生化系统稳定运行。</w:t>
            </w:r>
          </w:p>
          <w:p w14:paraId="32F55AAF">
            <w:pPr>
              <w:adjustRightInd w:val="0"/>
              <w:snapToGrid w:val="0"/>
              <w:spacing w:line="360" w:lineRule="auto"/>
              <w:ind w:firstLine="480" w:firstLineChars="200"/>
              <w:rPr>
                <w:rFonts w:hint="default" w:ascii="Times New Roman" w:hAnsi="Times New Roman" w:eastAsia="宋体"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③调节池：主要是均和水质、平衡水量，削减高峰水量对后续处理单元的冲击负荷，大大降低水量变化对处理效果的影响。</w:t>
            </w:r>
          </w:p>
          <w:p w14:paraId="3C5C76E3">
            <w:pPr>
              <w:adjustRightInd w:val="0"/>
              <w:snapToGrid w:val="0"/>
              <w:spacing w:line="360" w:lineRule="auto"/>
              <w:ind w:firstLine="480" w:firstLineChars="200"/>
              <w:rPr>
                <w:rFonts w:hint="default" w:ascii="Times New Roman" w:hAnsi="Times New Roman" w:eastAsia="宋体"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④气浮：气浮的工作原理是在一定条件下，将大量空气溶于水中，形成溶气水，作为工作介质，通过释放器骤然减压，快速释放，产生大量微细气泡黏粘附于污染物上，使污染物上浮，从而快速除去水中的污染物质，达到净化的目的。</w:t>
            </w:r>
          </w:p>
          <w:p w14:paraId="02ADB781">
            <w:pPr>
              <w:adjustRightInd w:val="0"/>
              <w:snapToGrid w:val="0"/>
              <w:spacing w:line="360" w:lineRule="auto"/>
              <w:ind w:firstLine="480" w:firstLineChars="200"/>
              <w:rPr>
                <w:rFonts w:hint="default" w:ascii="Times New Roman" w:hAnsi="Times New Roman" w:eastAsia="宋体"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⑤一体化处理：本项目一体化处理设施处理工艺为厌氧+缺氧+好氧+沉淀+消毒，经过预处理的废水进入一体化处理设施，先进行厌氧处理，在没有游离氧的情况下，污水中的有机物被厌氧细菌分解、代谢、消化，使得污水中的有机物含量大幅减少。随后进入缺氧池进行处理，通过创造缺氧环境促进反硝化作用实现氮素去除，聚磷菌在缺氧阶段释放磷酸盐，为后续好氧段超量吸磷创造条件。随后进行好氧处理，以好氧微生物为主对有机物进行降解的一种处理方法。有机物经过一系列的生物反应逐级释放能量，最终以无机物稳定下来。经处理后的废水进行沉淀，是废水中的悬浮物、生物处理后产生的污泥与水分离，上清液进行消毒，污泥进入污泥池，通过静止使污泥进一步浓缩。</w:t>
            </w:r>
          </w:p>
          <w:p w14:paraId="0ECE27D1">
            <w:pPr>
              <w:adjustRightInd w:val="0"/>
              <w:snapToGrid w:val="0"/>
              <w:spacing w:line="360" w:lineRule="auto"/>
              <w:ind w:firstLine="480" w:firstLineChars="200"/>
              <w:rPr>
                <w:rFonts w:hint="default" w:ascii="Times New Roman" w:hAnsi="Times New Roman" w:eastAsia="宋体"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根据本项目进水水质及污水处理站采用的废水工艺的各处理单元对污染物的去处率，本项目自建污水处理站的处理效率如下。</w:t>
            </w:r>
          </w:p>
          <w:p w14:paraId="57F9F6BB">
            <w:pPr>
              <w:adjustRightInd w:val="0"/>
              <w:snapToGrid w:val="0"/>
              <w:spacing w:line="360" w:lineRule="auto"/>
              <w:ind w:firstLine="422" w:firstLineChars="200"/>
              <w:jc w:val="center"/>
              <w:rPr>
                <w:rFonts w:hint="default" w:ascii="Times New Roman" w:hAnsi="Times New Roman" w:eastAsia="宋体" w:cs="Times New Roman"/>
                <w:b/>
                <w:bCs/>
                <w:color w:val="auto"/>
                <w:kern w:val="0"/>
                <w:sz w:val="21"/>
                <w:szCs w:val="21"/>
                <w:highlight w:val="none"/>
                <w:u w:val="none" w:color="auto"/>
                <w:vertAlign w:val="baseline"/>
                <w:lang w:val="en-US" w:eastAsia="zh-CN"/>
              </w:rPr>
            </w:pPr>
            <w:r>
              <w:rPr>
                <w:rFonts w:hint="default" w:ascii="Times New Roman" w:hAnsi="Times New Roman" w:eastAsia="宋体" w:cs="Times New Roman"/>
                <w:b/>
                <w:bCs/>
                <w:color w:val="auto"/>
                <w:kern w:val="0"/>
                <w:sz w:val="21"/>
                <w:szCs w:val="21"/>
                <w:highlight w:val="none"/>
                <w:u w:val="none" w:color="auto"/>
                <w:lang w:val="en-US" w:eastAsia="zh-CN"/>
              </w:rPr>
              <w:t>表4-1</w:t>
            </w:r>
            <w:r>
              <w:rPr>
                <w:rFonts w:hint="eastAsia" w:cs="Times New Roman"/>
                <w:b/>
                <w:bCs/>
                <w:color w:val="auto"/>
                <w:kern w:val="0"/>
                <w:sz w:val="21"/>
                <w:szCs w:val="21"/>
                <w:highlight w:val="none"/>
                <w:u w:val="none" w:color="auto"/>
                <w:lang w:val="en-US" w:eastAsia="zh-CN"/>
              </w:rPr>
              <w:t>3</w:t>
            </w:r>
            <w:r>
              <w:rPr>
                <w:rFonts w:hint="default" w:ascii="Times New Roman" w:hAnsi="Times New Roman" w:eastAsia="宋体" w:cs="Times New Roman"/>
                <w:b/>
                <w:bCs/>
                <w:color w:val="auto"/>
                <w:kern w:val="0"/>
                <w:sz w:val="21"/>
                <w:szCs w:val="21"/>
                <w:highlight w:val="none"/>
                <w:u w:val="none" w:color="auto"/>
                <w:lang w:val="en-US" w:eastAsia="zh-CN"/>
              </w:rPr>
              <w:t xml:space="preserve"> </w:t>
            </w:r>
            <w:r>
              <w:rPr>
                <w:rFonts w:hint="eastAsia" w:cs="Times New Roman"/>
                <w:b/>
                <w:bCs/>
                <w:color w:val="auto"/>
                <w:kern w:val="0"/>
                <w:sz w:val="21"/>
                <w:szCs w:val="21"/>
                <w:highlight w:val="none"/>
                <w:u w:val="none" w:color="auto"/>
                <w:lang w:val="en-US" w:eastAsia="zh-CN"/>
              </w:rPr>
              <w:t>废水处理工艺主要单元污染物去除效率分析表 单位mg/L</w:t>
            </w:r>
          </w:p>
          <w:tbl>
            <w:tblPr>
              <w:tblStyle w:val="43"/>
              <w:tblW w:w="80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9"/>
              <w:gridCol w:w="889"/>
              <w:gridCol w:w="889"/>
              <w:gridCol w:w="889"/>
              <w:gridCol w:w="890"/>
              <w:gridCol w:w="890"/>
              <w:gridCol w:w="890"/>
              <w:gridCol w:w="890"/>
              <w:gridCol w:w="890"/>
            </w:tblGrid>
            <w:tr w14:paraId="2F0A7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gridSpan w:val="2"/>
                  <w:tcBorders>
                    <w:top w:val="single" w:color="auto" w:sz="12" w:space="0"/>
                  </w:tcBorders>
                  <w:vAlign w:val="center"/>
                </w:tcPr>
                <w:p w14:paraId="71959A4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项目</w:t>
                  </w:r>
                </w:p>
              </w:tc>
              <w:tc>
                <w:tcPr>
                  <w:tcW w:w="889" w:type="dxa"/>
                  <w:tcBorders>
                    <w:top w:val="single" w:color="auto" w:sz="12" w:space="0"/>
                  </w:tcBorders>
                  <w:shd w:val="clear" w:color="auto" w:fill="auto"/>
                  <w:vAlign w:val="center"/>
                </w:tcPr>
                <w:p w14:paraId="4BDC776F">
                  <w:pPr>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COD</w:t>
                  </w:r>
                  <w:r>
                    <w:rPr>
                      <w:rFonts w:hint="eastAsia"/>
                      <w:color w:val="auto"/>
                      <w:sz w:val="21"/>
                      <w:szCs w:val="21"/>
                      <w:vertAlign w:val="subscript"/>
                      <w:lang w:val="en-US" w:eastAsia="zh-CN"/>
                    </w:rPr>
                    <w:t>cr</w:t>
                  </w:r>
                </w:p>
              </w:tc>
              <w:tc>
                <w:tcPr>
                  <w:tcW w:w="889" w:type="dxa"/>
                  <w:tcBorders>
                    <w:top w:val="single" w:color="auto" w:sz="12" w:space="0"/>
                  </w:tcBorders>
                  <w:shd w:val="clear" w:color="auto" w:fill="auto"/>
                  <w:vAlign w:val="center"/>
                </w:tcPr>
                <w:p w14:paraId="5943DFD4">
                  <w:pPr>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BOD</w:t>
                  </w:r>
                  <w:r>
                    <w:rPr>
                      <w:rFonts w:hint="eastAsia"/>
                      <w:color w:val="auto"/>
                      <w:sz w:val="21"/>
                      <w:szCs w:val="21"/>
                      <w:vertAlign w:val="subscript"/>
                      <w:lang w:val="en-US" w:eastAsia="zh-CN"/>
                    </w:rPr>
                    <w:t>5</w:t>
                  </w:r>
                </w:p>
              </w:tc>
              <w:tc>
                <w:tcPr>
                  <w:tcW w:w="890" w:type="dxa"/>
                  <w:tcBorders>
                    <w:top w:val="single" w:color="auto" w:sz="12" w:space="0"/>
                  </w:tcBorders>
                  <w:shd w:val="clear" w:color="auto" w:fill="auto"/>
                  <w:vAlign w:val="center"/>
                </w:tcPr>
                <w:p w14:paraId="3FA81029">
                  <w:pPr>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氨氮</w:t>
                  </w:r>
                </w:p>
              </w:tc>
              <w:tc>
                <w:tcPr>
                  <w:tcW w:w="890" w:type="dxa"/>
                  <w:tcBorders>
                    <w:top w:val="single" w:color="auto" w:sz="12" w:space="0"/>
                  </w:tcBorders>
                  <w:shd w:val="clear" w:color="auto" w:fill="auto"/>
                  <w:vAlign w:val="center"/>
                </w:tcPr>
                <w:p w14:paraId="3756D7FD">
                  <w:pPr>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总氮</w:t>
                  </w:r>
                </w:p>
              </w:tc>
              <w:tc>
                <w:tcPr>
                  <w:tcW w:w="890" w:type="dxa"/>
                  <w:tcBorders>
                    <w:top w:val="single" w:color="auto" w:sz="12" w:space="0"/>
                  </w:tcBorders>
                  <w:shd w:val="clear" w:color="auto" w:fill="auto"/>
                  <w:vAlign w:val="center"/>
                </w:tcPr>
                <w:p w14:paraId="547E5AA8">
                  <w:pPr>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SS</w:t>
                  </w:r>
                </w:p>
              </w:tc>
              <w:tc>
                <w:tcPr>
                  <w:tcW w:w="890" w:type="dxa"/>
                  <w:tcBorders>
                    <w:top w:val="single" w:color="auto" w:sz="12" w:space="0"/>
                  </w:tcBorders>
                  <w:shd w:val="clear" w:color="auto" w:fill="auto"/>
                  <w:vAlign w:val="center"/>
                </w:tcPr>
                <w:p w14:paraId="73A72168">
                  <w:pPr>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总磷</w:t>
                  </w:r>
                </w:p>
              </w:tc>
              <w:tc>
                <w:tcPr>
                  <w:tcW w:w="890" w:type="dxa"/>
                  <w:tcBorders>
                    <w:top w:val="single" w:color="auto" w:sz="12" w:space="0"/>
                    <w:right w:val="single" w:color="auto" w:sz="12" w:space="0"/>
                  </w:tcBorders>
                  <w:shd w:val="clear" w:color="auto" w:fill="auto"/>
                  <w:vAlign w:val="center"/>
                </w:tcPr>
                <w:p w14:paraId="6E9E3283">
                  <w:pPr>
                    <w:jc w:val="center"/>
                    <w:rPr>
                      <w:rFonts w:hint="default" w:ascii="Times New Roman" w:hAnsi="Times New Roman" w:eastAsia="宋体" w:cs="Times New Roman"/>
                      <w:color w:val="auto"/>
                      <w:kern w:val="2"/>
                      <w:sz w:val="21"/>
                      <w:szCs w:val="21"/>
                      <w:lang w:val="en-US" w:eastAsia="zh-CN" w:bidi="ar-SA"/>
                    </w:rPr>
                  </w:pPr>
                  <w:r>
                    <w:rPr>
                      <w:rFonts w:hint="eastAsia"/>
                      <w:color w:val="auto"/>
                      <w:sz w:val="21"/>
                      <w:szCs w:val="21"/>
                      <w:lang w:val="en-US" w:eastAsia="zh-CN"/>
                    </w:rPr>
                    <w:t>动植物油</w:t>
                  </w:r>
                </w:p>
              </w:tc>
            </w:tr>
            <w:tr w14:paraId="28447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gridSpan w:val="2"/>
                  <w:tcBorders>
                    <w:left w:val="single" w:color="auto" w:sz="4" w:space="0"/>
                  </w:tcBorders>
                  <w:vAlign w:val="center"/>
                </w:tcPr>
                <w:p w14:paraId="5907ECE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生产废水进水水质</w:t>
                  </w:r>
                </w:p>
              </w:tc>
              <w:tc>
                <w:tcPr>
                  <w:tcW w:w="889" w:type="dxa"/>
                  <w:shd w:val="clear" w:color="auto" w:fill="auto"/>
                  <w:vAlign w:val="center"/>
                </w:tcPr>
                <w:p w14:paraId="352B357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0"/>
                      <w:sz w:val="21"/>
                      <w:szCs w:val="21"/>
                      <w:highlight w:val="none"/>
                      <w:u w:val="none" w:color="auto"/>
                      <w:vertAlign w:val="baseline"/>
                      <w:lang w:val="en-US" w:eastAsia="zh-CN"/>
                    </w:rPr>
                    <w:t>3535.8</w:t>
                  </w:r>
                </w:p>
              </w:tc>
              <w:tc>
                <w:tcPr>
                  <w:tcW w:w="889" w:type="dxa"/>
                  <w:shd w:val="clear" w:color="auto" w:fill="auto"/>
                  <w:vAlign w:val="center"/>
                </w:tcPr>
                <w:p w14:paraId="2A968C8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0"/>
                      <w:sz w:val="21"/>
                      <w:szCs w:val="21"/>
                      <w:highlight w:val="none"/>
                      <w:u w:val="none" w:color="auto"/>
                      <w:vertAlign w:val="baseline"/>
                      <w:lang w:val="en-US" w:eastAsia="zh-CN"/>
                    </w:rPr>
                    <w:t>1404.2</w:t>
                  </w:r>
                </w:p>
              </w:tc>
              <w:tc>
                <w:tcPr>
                  <w:tcW w:w="890" w:type="dxa"/>
                  <w:shd w:val="clear" w:color="auto" w:fill="auto"/>
                  <w:vAlign w:val="center"/>
                </w:tcPr>
                <w:p w14:paraId="4F324C4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0"/>
                      <w:sz w:val="21"/>
                      <w:szCs w:val="21"/>
                      <w:highlight w:val="none"/>
                      <w:u w:val="none" w:color="auto"/>
                      <w:vertAlign w:val="baseline"/>
                      <w:lang w:val="en-US" w:eastAsia="zh-CN"/>
                    </w:rPr>
                    <w:t>54.3</w:t>
                  </w:r>
                </w:p>
              </w:tc>
              <w:tc>
                <w:tcPr>
                  <w:tcW w:w="890" w:type="dxa"/>
                  <w:shd w:val="clear" w:color="auto" w:fill="auto"/>
                  <w:vAlign w:val="center"/>
                </w:tcPr>
                <w:p w14:paraId="25E495E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0"/>
                      <w:sz w:val="21"/>
                      <w:szCs w:val="21"/>
                      <w:highlight w:val="none"/>
                      <w:u w:val="none" w:color="auto"/>
                      <w:vertAlign w:val="baseline"/>
                      <w:lang w:val="en-US" w:eastAsia="zh-CN"/>
                    </w:rPr>
                    <w:t>117.7</w:t>
                  </w:r>
                </w:p>
              </w:tc>
              <w:tc>
                <w:tcPr>
                  <w:tcW w:w="890" w:type="dxa"/>
                  <w:shd w:val="clear" w:color="auto" w:fill="auto"/>
                  <w:vAlign w:val="center"/>
                </w:tcPr>
                <w:p w14:paraId="53D18F9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0"/>
                      <w:sz w:val="21"/>
                      <w:szCs w:val="21"/>
                      <w:highlight w:val="none"/>
                      <w:u w:val="none" w:color="auto"/>
                      <w:vertAlign w:val="baseline"/>
                      <w:lang w:val="en-US" w:eastAsia="zh-CN"/>
                    </w:rPr>
                    <w:t>499.9</w:t>
                  </w:r>
                </w:p>
              </w:tc>
              <w:tc>
                <w:tcPr>
                  <w:tcW w:w="890" w:type="dxa"/>
                  <w:shd w:val="clear" w:color="auto" w:fill="auto"/>
                  <w:vAlign w:val="center"/>
                </w:tcPr>
                <w:p w14:paraId="4EC91B9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0"/>
                      <w:sz w:val="21"/>
                      <w:szCs w:val="21"/>
                      <w:highlight w:val="none"/>
                      <w:u w:val="none" w:color="auto"/>
                      <w:vertAlign w:val="baseline"/>
                      <w:lang w:val="en-US" w:eastAsia="zh-CN"/>
                    </w:rPr>
                    <w:t>14.2</w:t>
                  </w:r>
                </w:p>
              </w:tc>
              <w:tc>
                <w:tcPr>
                  <w:tcW w:w="890" w:type="dxa"/>
                  <w:tcBorders>
                    <w:right w:val="single" w:color="auto" w:sz="12" w:space="0"/>
                  </w:tcBorders>
                  <w:shd w:val="clear" w:color="auto" w:fill="auto"/>
                  <w:vAlign w:val="center"/>
                </w:tcPr>
                <w:p w14:paraId="6FBBC6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0"/>
                      <w:sz w:val="21"/>
                      <w:szCs w:val="21"/>
                      <w:highlight w:val="none"/>
                      <w:u w:val="none" w:color="auto"/>
                      <w:vertAlign w:val="baseline"/>
                      <w:lang w:val="en-US" w:eastAsia="zh-CN"/>
                    </w:rPr>
                    <w:t>42.2</w:t>
                  </w:r>
                </w:p>
              </w:tc>
            </w:tr>
            <w:tr w14:paraId="187E7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Merge w:val="restart"/>
                  <w:tcBorders>
                    <w:left w:val="single" w:color="auto" w:sz="4" w:space="0"/>
                  </w:tcBorders>
                  <w:vAlign w:val="center"/>
                </w:tcPr>
                <w:p w14:paraId="6A0D0AB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格栅</w:t>
                  </w:r>
                </w:p>
              </w:tc>
              <w:tc>
                <w:tcPr>
                  <w:tcW w:w="889" w:type="dxa"/>
                  <w:vAlign w:val="center"/>
                </w:tcPr>
                <w:p w14:paraId="7846A81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去除率</w:t>
                  </w:r>
                </w:p>
              </w:tc>
              <w:tc>
                <w:tcPr>
                  <w:tcW w:w="889" w:type="dxa"/>
                  <w:vAlign w:val="center"/>
                </w:tcPr>
                <w:p w14:paraId="680F0BF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0%</w:t>
                  </w:r>
                </w:p>
              </w:tc>
              <w:tc>
                <w:tcPr>
                  <w:tcW w:w="889" w:type="dxa"/>
                  <w:vAlign w:val="center"/>
                </w:tcPr>
                <w:p w14:paraId="7C04D91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0%</w:t>
                  </w:r>
                </w:p>
              </w:tc>
              <w:tc>
                <w:tcPr>
                  <w:tcW w:w="890" w:type="dxa"/>
                  <w:vAlign w:val="center"/>
                </w:tcPr>
                <w:p w14:paraId="09311D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0%</w:t>
                  </w:r>
                </w:p>
              </w:tc>
              <w:tc>
                <w:tcPr>
                  <w:tcW w:w="890" w:type="dxa"/>
                  <w:vAlign w:val="center"/>
                </w:tcPr>
                <w:p w14:paraId="767158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0%</w:t>
                  </w:r>
                </w:p>
              </w:tc>
              <w:tc>
                <w:tcPr>
                  <w:tcW w:w="890" w:type="dxa"/>
                  <w:vAlign w:val="center"/>
                </w:tcPr>
                <w:p w14:paraId="4FC26F1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5%</w:t>
                  </w:r>
                </w:p>
              </w:tc>
              <w:tc>
                <w:tcPr>
                  <w:tcW w:w="890" w:type="dxa"/>
                  <w:vAlign w:val="center"/>
                </w:tcPr>
                <w:p w14:paraId="3C649F4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0%</w:t>
                  </w:r>
                </w:p>
              </w:tc>
              <w:tc>
                <w:tcPr>
                  <w:tcW w:w="890" w:type="dxa"/>
                  <w:tcBorders>
                    <w:right w:val="single" w:color="auto" w:sz="12" w:space="0"/>
                  </w:tcBorders>
                  <w:vAlign w:val="center"/>
                </w:tcPr>
                <w:p w14:paraId="2E8B88C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3%</w:t>
                  </w:r>
                </w:p>
              </w:tc>
            </w:tr>
            <w:tr w14:paraId="34606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Merge w:val="continue"/>
                  <w:tcBorders>
                    <w:left w:val="single" w:color="auto" w:sz="4" w:space="0"/>
                  </w:tcBorders>
                  <w:vAlign w:val="center"/>
                </w:tcPr>
                <w:p w14:paraId="29E8723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p>
              </w:tc>
              <w:tc>
                <w:tcPr>
                  <w:tcW w:w="889" w:type="dxa"/>
                  <w:vAlign w:val="center"/>
                </w:tcPr>
                <w:p w14:paraId="0D3FE4B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出水</w:t>
                  </w:r>
                </w:p>
              </w:tc>
              <w:tc>
                <w:tcPr>
                  <w:tcW w:w="889" w:type="dxa"/>
                  <w:shd w:val="clear" w:color="auto" w:fill="auto"/>
                  <w:vAlign w:val="center"/>
                </w:tcPr>
                <w:p w14:paraId="02C01D84">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3535.8</w:t>
                  </w:r>
                </w:p>
              </w:tc>
              <w:tc>
                <w:tcPr>
                  <w:tcW w:w="889" w:type="dxa"/>
                  <w:shd w:val="clear" w:color="auto" w:fill="auto"/>
                  <w:vAlign w:val="center"/>
                </w:tcPr>
                <w:p w14:paraId="0D4B3DBE">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1404.2</w:t>
                  </w:r>
                </w:p>
              </w:tc>
              <w:tc>
                <w:tcPr>
                  <w:tcW w:w="890" w:type="dxa"/>
                  <w:shd w:val="clear" w:color="auto" w:fill="auto"/>
                  <w:vAlign w:val="center"/>
                </w:tcPr>
                <w:p w14:paraId="37412B74">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54.3</w:t>
                  </w:r>
                </w:p>
              </w:tc>
              <w:tc>
                <w:tcPr>
                  <w:tcW w:w="890" w:type="dxa"/>
                  <w:shd w:val="clear" w:color="auto" w:fill="auto"/>
                  <w:vAlign w:val="center"/>
                </w:tcPr>
                <w:p w14:paraId="741D2ACC">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117.7</w:t>
                  </w:r>
                </w:p>
              </w:tc>
              <w:tc>
                <w:tcPr>
                  <w:tcW w:w="890" w:type="dxa"/>
                  <w:vAlign w:val="center"/>
                </w:tcPr>
                <w:p w14:paraId="4D6F9398">
                  <w:pPr>
                    <w:jc w:val="center"/>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474.9</w:t>
                  </w:r>
                </w:p>
              </w:tc>
              <w:tc>
                <w:tcPr>
                  <w:tcW w:w="890" w:type="dxa"/>
                  <w:vAlign w:val="center"/>
                </w:tcPr>
                <w:p w14:paraId="177AB543">
                  <w:pPr>
                    <w:jc w:val="center"/>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14.2</w:t>
                  </w:r>
                </w:p>
              </w:tc>
              <w:tc>
                <w:tcPr>
                  <w:tcW w:w="890" w:type="dxa"/>
                  <w:tcBorders>
                    <w:right w:val="single" w:color="auto" w:sz="12" w:space="0"/>
                  </w:tcBorders>
                  <w:vAlign w:val="center"/>
                </w:tcPr>
                <w:p w14:paraId="722FB581">
                  <w:pPr>
                    <w:jc w:val="center"/>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40.9</w:t>
                  </w:r>
                </w:p>
              </w:tc>
            </w:tr>
            <w:tr w14:paraId="346A02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Merge w:val="restart"/>
                  <w:tcBorders>
                    <w:left w:val="single" w:color="auto" w:sz="4" w:space="0"/>
                  </w:tcBorders>
                  <w:vAlign w:val="center"/>
                </w:tcPr>
                <w:p w14:paraId="0E13EC8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调节池</w:t>
                  </w:r>
                </w:p>
              </w:tc>
              <w:tc>
                <w:tcPr>
                  <w:tcW w:w="889" w:type="dxa"/>
                  <w:shd w:val="clear" w:color="auto" w:fill="auto"/>
                  <w:vAlign w:val="center"/>
                </w:tcPr>
                <w:p w14:paraId="7A33005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lang w:val="en-US" w:eastAsia="zh-CN" w:bidi="ar-SA"/>
                    </w:rPr>
                  </w:pPr>
                  <w:r>
                    <w:rPr>
                      <w:rFonts w:hint="eastAsia" w:cs="Times New Roman"/>
                      <w:b w:val="0"/>
                      <w:bCs w:val="0"/>
                      <w:color w:val="auto"/>
                      <w:kern w:val="0"/>
                      <w:sz w:val="21"/>
                      <w:szCs w:val="21"/>
                      <w:highlight w:val="none"/>
                      <w:u w:val="none" w:color="auto"/>
                      <w:vertAlign w:val="baseline"/>
                      <w:lang w:val="en-US" w:eastAsia="zh-CN"/>
                    </w:rPr>
                    <w:t>去除率</w:t>
                  </w:r>
                </w:p>
              </w:tc>
              <w:tc>
                <w:tcPr>
                  <w:tcW w:w="889" w:type="dxa"/>
                  <w:vAlign w:val="center"/>
                </w:tcPr>
                <w:p w14:paraId="734B4E1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0%</w:t>
                  </w:r>
                </w:p>
              </w:tc>
              <w:tc>
                <w:tcPr>
                  <w:tcW w:w="889" w:type="dxa"/>
                  <w:vAlign w:val="center"/>
                </w:tcPr>
                <w:p w14:paraId="7A0C138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0%</w:t>
                  </w:r>
                </w:p>
              </w:tc>
              <w:tc>
                <w:tcPr>
                  <w:tcW w:w="890" w:type="dxa"/>
                  <w:vAlign w:val="center"/>
                </w:tcPr>
                <w:p w14:paraId="48F244F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0%</w:t>
                  </w:r>
                </w:p>
              </w:tc>
              <w:tc>
                <w:tcPr>
                  <w:tcW w:w="890" w:type="dxa"/>
                  <w:vAlign w:val="center"/>
                </w:tcPr>
                <w:p w14:paraId="2643519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0%</w:t>
                  </w:r>
                </w:p>
              </w:tc>
              <w:tc>
                <w:tcPr>
                  <w:tcW w:w="890" w:type="dxa"/>
                  <w:vAlign w:val="center"/>
                </w:tcPr>
                <w:p w14:paraId="149AE9D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0%</w:t>
                  </w:r>
                </w:p>
              </w:tc>
              <w:tc>
                <w:tcPr>
                  <w:tcW w:w="890" w:type="dxa"/>
                  <w:vAlign w:val="center"/>
                </w:tcPr>
                <w:p w14:paraId="1DDAE2E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0%</w:t>
                  </w:r>
                </w:p>
              </w:tc>
              <w:tc>
                <w:tcPr>
                  <w:tcW w:w="890" w:type="dxa"/>
                  <w:tcBorders>
                    <w:right w:val="single" w:color="auto" w:sz="12" w:space="0"/>
                  </w:tcBorders>
                  <w:vAlign w:val="center"/>
                </w:tcPr>
                <w:p w14:paraId="0E1C517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0%</w:t>
                  </w:r>
                </w:p>
              </w:tc>
            </w:tr>
            <w:tr w14:paraId="30192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Merge w:val="continue"/>
                  <w:tcBorders>
                    <w:left w:val="single" w:color="auto" w:sz="4" w:space="0"/>
                  </w:tcBorders>
                  <w:vAlign w:val="center"/>
                </w:tcPr>
                <w:p w14:paraId="7CCF93D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p>
              </w:tc>
              <w:tc>
                <w:tcPr>
                  <w:tcW w:w="889" w:type="dxa"/>
                  <w:shd w:val="clear" w:color="auto" w:fill="auto"/>
                  <w:vAlign w:val="center"/>
                </w:tcPr>
                <w:p w14:paraId="3A290C9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lang w:val="en-US" w:eastAsia="zh-CN" w:bidi="ar-SA"/>
                    </w:rPr>
                  </w:pPr>
                  <w:r>
                    <w:rPr>
                      <w:rFonts w:hint="eastAsia" w:cs="Times New Roman"/>
                      <w:b w:val="0"/>
                      <w:bCs w:val="0"/>
                      <w:color w:val="auto"/>
                      <w:kern w:val="0"/>
                      <w:sz w:val="21"/>
                      <w:szCs w:val="21"/>
                      <w:highlight w:val="none"/>
                      <w:u w:val="none" w:color="auto"/>
                      <w:vertAlign w:val="baseline"/>
                      <w:lang w:val="en-US" w:eastAsia="zh-CN"/>
                    </w:rPr>
                    <w:t>出水</w:t>
                  </w:r>
                </w:p>
              </w:tc>
              <w:tc>
                <w:tcPr>
                  <w:tcW w:w="889" w:type="dxa"/>
                  <w:shd w:val="clear" w:color="auto" w:fill="auto"/>
                  <w:vAlign w:val="center"/>
                </w:tcPr>
                <w:p w14:paraId="74F1A682">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3535.8</w:t>
                  </w:r>
                </w:p>
              </w:tc>
              <w:tc>
                <w:tcPr>
                  <w:tcW w:w="889" w:type="dxa"/>
                  <w:shd w:val="clear" w:color="auto" w:fill="auto"/>
                  <w:vAlign w:val="center"/>
                </w:tcPr>
                <w:p w14:paraId="2387F086">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1404.2</w:t>
                  </w:r>
                </w:p>
              </w:tc>
              <w:tc>
                <w:tcPr>
                  <w:tcW w:w="890" w:type="dxa"/>
                  <w:shd w:val="clear" w:color="auto" w:fill="auto"/>
                  <w:vAlign w:val="center"/>
                </w:tcPr>
                <w:p w14:paraId="0B8A8F4C">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54.3</w:t>
                  </w:r>
                </w:p>
              </w:tc>
              <w:tc>
                <w:tcPr>
                  <w:tcW w:w="890" w:type="dxa"/>
                  <w:shd w:val="clear" w:color="auto" w:fill="auto"/>
                  <w:vAlign w:val="center"/>
                </w:tcPr>
                <w:p w14:paraId="16B8CC85">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117.7</w:t>
                  </w:r>
                </w:p>
              </w:tc>
              <w:tc>
                <w:tcPr>
                  <w:tcW w:w="890" w:type="dxa"/>
                  <w:vAlign w:val="center"/>
                </w:tcPr>
                <w:p w14:paraId="63A88BAD">
                  <w:pPr>
                    <w:jc w:val="center"/>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474.9</w:t>
                  </w:r>
                </w:p>
              </w:tc>
              <w:tc>
                <w:tcPr>
                  <w:tcW w:w="890" w:type="dxa"/>
                  <w:vAlign w:val="center"/>
                </w:tcPr>
                <w:p w14:paraId="7E051CC8">
                  <w:pPr>
                    <w:jc w:val="center"/>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14.2</w:t>
                  </w:r>
                </w:p>
              </w:tc>
              <w:tc>
                <w:tcPr>
                  <w:tcW w:w="890" w:type="dxa"/>
                  <w:tcBorders>
                    <w:right w:val="single" w:color="auto" w:sz="12" w:space="0"/>
                  </w:tcBorders>
                  <w:vAlign w:val="center"/>
                </w:tcPr>
                <w:p w14:paraId="402D1700">
                  <w:pPr>
                    <w:jc w:val="center"/>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40.9</w:t>
                  </w:r>
                </w:p>
              </w:tc>
            </w:tr>
            <w:tr w14:paraId="76ACE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Merge w:val="restart"/>
                  <w:tcBorders>
                    <w:left w:val="single" w:color="auto" w:sz="4" w:space="0"/>
                  </w:tcBorders>
                  <w:vAlign w:val="center"/>
                </w:tcPr>
                <w:p w14:paraId="27BE2E9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隔油池</w:t>
                  </w:r>
                </w:p>
              </w:tc>
              <w:tc>
                <w:tcPr>
                  <w:tcW w:w="889" w:type="dxa"/>
                  <w:shd w:val="clear" w:color="auto" w:fill="auto"/>
                  <w:vAlign w:val="center"/>
                </w:tcPr>
                <w:p w14:paraId="446EA34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lang w:val="en-US" w:eastAsia="zh-CN" w:bidi="ar-SA"/>
                    </w:rPr>
                  </w:pPr>
                  <w:r>
                    <w:rPr>
                      <w:rFonts w:hint="eastAsia" w:cs="Times New Roman"/>
                      <w:b w:val="0"/>
                      <w:bCs w:val="0"/>
                      <w:color w:val="auto"/>
                      <w:kern w:val="0"/>
                      <w:sz w:val="21"/>
                      <w:szCs w:val="21"/>
                      <w:highlight w:val="none"/>
                      <w:u w:val="none" w:color="auto"/>
                      <w:vertAlign w:val="baseline"/>
                      <w:lang w:val="en-US" w:eastAsia="zh-CN"/>
                    </w:rPr>
                    <w:t>去除率</w:t>
                  </w:r>
                </w:p>
              </w:tc>
              <w:tc>
                <w:tcPr>
                  <w:tcW w:w="889" w:type="dxa"/>
                  <w:vAlign w:val="center"/>
                </w:tcPr>
                <w:p w14:paraId="4E08D58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20%</w:t>
                  </w:r>
                </w:p>
              </w:tc>
              <w:tc>
                <w:tcPr>
                  <w:tcW w:w="889" w:type="dxa"/>
                  <w:vAlign w:val="center"/>
                </w:tcPr>
                <w:p w14:paraId="6E733B2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10%</w:t>
                  </w:r>
                </w:p>
              </w:tc>
              <w:tc>
                <w:tcPr>
                  <w:tcW w:w="890" w:type="dxa"/>
                  <w:vAlign w:val="center"/>
                </w:tcPr>
                <w:p w14:paraId="2B879FF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5%</w:t>
                  </w:r>
                </w:p>
              </w:tc>
              <w:tc>
                <w:tcPr>
                  <w:tcW w:w="890" w:type="dxa"/>
                  <w:vAlign w:val="center"/>
                </w:tcPr>
                <w:p w14:paraId="7B19B18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3%</w:t>
                  </w:r>
                </w:p>
              </w:tc>
              <w:tc>
                <w:tcPr>
                  <w:tcW w:w="890" w:type="dxa"/>
                  <w:vAlign w:val="center"/>
                </w:tcPr>
                <w:p w14:paraId="07136C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40%</w:t>
                  </w:r>
                </w:p>
              </w:tc>
              <w:tc>
                <w:tcPr>
                  <w:tcW w:w="890" w:type="dxa"/>
                  <w:vAlign w:val="center"/>
                </w:tcPr>
                <w:p w14:paraId="7037BE4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20%</w:t>
                  </w:r>
                </w:p>
              </w:tc>
              <w:tc>
                <w:tcPr>
                  <w:tcW w:w="890" w:type="dxa"/>
                  <w:tcBorders>
                    <w:right w:val="single" w:color="auto" w:sz="12" w:space="0"/>
                  </w:tcBorders>
                  <w:vAlign w:val="center"/>
                </w:tcPr>
                <w:p w14:paraId="50883F8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90%</w:t>
                  </w:r>
                </w:p>
              </w:tc>
            </w:tr>
            <w:tr w14:paraId="0DE4B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Merge w:val="continue"/>
                  <w:tcBorders>
                    <w:left w:val="single" w:color="auto" w:sz="4" w:space="0"/>
                  </w:tcBorders>
                  <w:vAlign w:val="center"/>
                </w:tcPr>
                <w:p w14:paraId="4AEF7E2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p>
              </w:tc>
              <w:tc>
                <w:tcPr>
                  <w:tcW w:w="889" w:type="dxa"/>
                  <w:shd w:val="clear" w:color="auto" w:fill="auto"/>
                  <w:vAlign w:val="center"/>
                </w:tcPr>
                <w:p w14:paraId="3A56E9A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lang w:val="en-US" w:eastAsia="zh-CN" w:bidi="ar-SA"/>
                    </w:rPr>
                  </w:pPr>
                  <w:r>
                    <w:rPr>
                      <w:rFonts w:hint="eastAsia" w:cs="Times New Roman"/>
                      <w:b w:val="0"/>
                      <w:bCs w:val="0"/>
                      <w:color w:val="auto"/>
                      <w:kern w:val="0"/>
                      <w:sz w:val="21"/>
                      <w:szCs w:val="21"/>
                      <w:highlight w:val="none"/>
                      <w:u w:val="none" w:color="auto"/>
                      <w:vertAlign w:val="baseline"/>
                      <w:lang w:val="en-US" w:eastAsia="zh-CN"/>
                    </w:rPr>
                    <w:t>出水</w:t>
                  </w:r>
                </w:p>
              </w:tc>
              <w:tc>
                <w:tcPr>
                  <w:tcW w:w="889" w:type="dxa"/>
                  <w:vAlign w:val="center"/>
                </w:tcPr>
                <w:p w14:paraId="77939578">
                  <w:pPr>
                    <w:jc w:val="center"/>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2828.6</w:t>
                  </w:r>
                </w:p>
              </w:tc>
              <w:tc>
                <w:tcPr>
                  <w:tcW w:w="889" w:type="dxa"/>
                  <w:vAlign w:val="center"/>
                </w:tcPr>
                <w:p w14:paraId="5B69CECA">
                  <w:pPr>
                    <w:jc w:val="center"/>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1263.8</w:t>
                  </w:r>
                </w:p>
              </w:tc>
              <w:tc>
                <w:tcPr>
                  <w:tcW w:w="890" w:type="dxa"/>
                  <w:vAlign w:val="center"/>
                </w:tcPr>
                <w:p w14:paraId="7B4F034F">
                  <w:pPr>
                    <w:jc w:val="center"/>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51.6</w:t>
                  </w:r>
                </w:p>
              </w:tc>
              <w:tc>
                <w:tcPr>
                  <w:tcW w:w="890" w:type="dxa"/>
                  <w:vAlign w:val="center"/>
                </w:tcPr>
                <w:p w14:paraId="5E3D9A23">
                  <w:pPr>
                    <w:jc w:val="center"/>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114.2</w:t>
                  </w:r>
                </w:p>
              </w:tc>
              <w:tc>
                <w:tcPr>
                  <w:tcW w:w="890" w:type="dxa"/>
                  <w:vAlign w:val="center"/>
                </w:tcPr>
                <w:p w14:paraId="0DF5AECC">
                  <w:pPr>
                    <w:jc w:val="center"/>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284.9</w:t>
                  </w:r>
                </w:p>
              </w:tc>
              <w:tc>
                <w:tcPr>
                  <w:tcW w:w="890" w:type="dxa"/>
                  <w:vAlign w:val="center"/>
                </w:tcPr>
                <w:p w14:paraId="539E58B6">
                  <w:pPr>
                    <w:jc w:val="center"/>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11.4</w:t>
                  </w:r>
                </w:p>
              </w:tc>
              <w:tc>
                <w:tcPr>
                  <w:tcW w:w="890" w:type="dxa"/>
                  <w:tcBorders>
                    <w:right w:val="single" w:color="auto" w:sz="12" w:space="0"/>
                  </w:tcBorders>
                  <w:vAlign w:val="center"/>
                </w:tcPr>
                <w:p w14:paraId="257245D0">
                  <w:pPr>
                    <w:jc w:val="center"/>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4.1</w:t>
                  </w:r>
                </w:p>
              </w:tc>
            </w:tr>
            <w:tr w14:paraId="61CD9D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Merge w:val="restart"/>
                  <w:tcBorders>
                    <w:left w:val="single" w:color="auto" w:sz="4" w:space="0"/>
                  </w:tcBorders>
                  <w:vAlign w:val="center"/>
                </w:tcPr>
                <w:p w14:paraId="544D0FC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气浮</w:t>
                  </w:r>
                </w:p>
              </w:tc>
              <w:tc>
                <w:tcPr>
                  <w:tcW w:w="889" w:type="dxa"/>
                  <w:shd w:val="clear" w:color="auto" w:fill="auto"/>
                  <w:vAlign w:val="center"/>
                </w:tcPr>
                <w:p w14:paraId="0FECFA3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lang w:val="en-US" w:eastAsia="zh-CN" w:bidi="ar-SA"/>
                    </w:rPr>
                  </w:pPr>
                  <w:r>
                    <w:rPr>
                      <w:rFonts w:hint="eastAsia" w:cs="Times New Roman"/>
                      <w:b w:val="0"/>
                      <w:bCs w:val="0"/>
                      <w:color w:val="auto"/>
                      <w:kern w:val="0"/>
                      <w:sz w:val="21"/>
                      <w:szCs w:val="21"/>
                      <w:highlight w:val="none"/>
                      <w:u w:val="none" w:color="auto"/>
                      <w:vertAlign w:val="baseline"/>
                      <w:lang w:val="en-US" w:eastAsia="zh-CN"/>
                    </w:rPr>
                    <w:t>去除率</w:t>
                  </w:r>
                </w:p>
              </w:tc>
              <w:tc>
                <w:tcPr>
                  <w:tcW w:w="889" w:type="dxa"/>
                  <w:vAlign w:val="center"/>
                </w:tcPr>
                <w:p w14:paraId="6F2B673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15%</w:t>
                  </w:r>
                </w:p>
              </w:tc>
              <w:tc>
                <w:tcPr>
                  <w:tcW w:w="889" w:type="dxa"/>
                  <w:vAlign w:val="center"/>
                </w:tcPr>
                <w:p w14:paraId="6DC9FC4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10%</w:t>
                  </w:r>
                </w:p>
              </w:tc>
              <w:tc>
                <w:tcPr>
                  <w:tcW w:w="890" w:type="dxa"/>
                  <w:vAlign w:val="center"/>
                </w:tcPr>
                <w:p w14:paraId="5CAF983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2%</w:t>
                  </w:r>
                </w:p>
              </w:tc>
              <w:tc>
                <w:tcPr>
                  <w:tcW w:w="890" w:type="dxa"/>
                  <w:vAlign w:val="center"/>
                </w:tcPr>
                <w:p w14:paraId="00ED9CB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2%</w:t>
                  </w:r>
                </w:p>
              </w:tc>
              <w:tc>
                <w:tcPr>
                  <w:tcW w:w="890" w:type="dxa"/>
                  <w:vAlign w:val="center"/>
                </w:tcPr>
                <w:p w14:paraId="24CE7FB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50%</w:t>
                  </w:r>
                </w:p>
              </w:tc>
              <w:tc>
                <w:tcPr>
                  <w:tcW w:w="890" w:type="dxa"/>
                  <w:vAlign w:val="center"/>
                </w:tcPr>
                <w:p w14:paraId="086983A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2%</w:t>
                  </w:r>
                </w:p>
              </w:tc>
              <w:tc>
                <w:tcPr>
                  <w:tcW w:w="890" w:type="dxa"/>
                  <w:tcBorders>
                    <w:right w:val="single" w:color="auto" w:sz="12" w:space="0"/>
                  </w:tcBorders>
                  <w:vAlign w:val="center"/>
                </w:tcPr>
                <w:p w14:paraId="5D508B8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60%</w:t>
                  </w:r>
                </w:p>
              </w:tc>
            </w:tr>
            <w:tr w14:paraId="72888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Merge w:val="continue"/>
                  <w:tcBorders>
                    <w:left w:val="single" w:color="auto" w:sz="4" w:space="0"/>
                  </w:tcBorders>
                  <w:vAlign w:val="center"/>
                </w:tcPr>
                <w:p w14:paraId="58262C0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p>
              </w:tc>
              <w:tc>
                <w:tcPr>
                  <w:tcW w:w="889" w:type="dxa"/>
                  <w:shd w:val="clear" w:color="auto" w:fill="auto"/>
                  <w:vAlign w:val="center"/>
                </w:tcPr>
                <w:p w14:paraId="3B7C53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lang w:val="en-US" w:eastAsia="zh-CN" w:bidi="ar-SA"/>
                    </w:rPr>
                  </w:pPr>
                  <w:r>
                    <w:rPr>
                      <w:rFonts w:hint="eastAsia" w:cs="Times New Roman"/>
                      <w:b w:val="0"/>
                      <w:bCs w:val="0"/>
                      <w:color w:val="auto"/>
                      <w:kern w:val="0"/>
                      <w:sz w:val="21"/>
                      <w:szCs w:val="21"/>
                      <w:highlight w:val="none"/>
                      <w:u w:val="none" w:color="auto"/>
                      <w:vertAlign w:val="baseline"/>
                      <w:lang w:val="en-US" w:eastAsia="zh-CN"/>
                    </w:rPr>
                    <w:t>出水</w:t>
                  </w:r>
                </w:p>
              </w:tc>
              <w:tc>
                <w:tcPr>
                  <w:tcW w:w="889" w:type="dxa"/>
                  <w:vAlign w:val="center"/>
                </w:tcPr>
                <w:p w14:paraId="1C293B2C">
                  <w:pPr>
                    <w:jc w:val="center"/>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2404.3</w:t>
                  </w:r>
                </w:p>
              </w:tc>
              <w:tc>
                <w:tcPr>
                  <w:tcW w:w="889" w:type="dxa"/>
                  <w:vAlign w:val="center"/>
                </w:tcPr>
                <w:p w14:paraId="167E3793">
                  <w:pPr>
                    <w:jc w:val="center"/>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1137.4</w:t>
                  </w:r>
                </w:p>
              </w:tc>
              <w:tc>
                <w:tcPr>
                  <w:tcW w:w="890" w:type="dxa"/>
                  <w:vAlign w:val="center"/>
                </w:tcPr>
                <w:p w14:paraId="64F2D71A">
                  <w:pPr>
                    <w:jc w:val="center"/>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50.6</w:t>
                  </w:r>
                </w:p>
              </w:tc>
              <w:tc>
                <w:tcPr>
                  <w:tcW w:w="890" w:type="dxa"/>
                  <w:vAlign w:val="center"/>
                </w:tcPr>
                <w:p w14:paraId="191D738D">
                  <w:pPr>
                    <w:jc w:val="center"/>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111.9</w:t>
                  </w:r>
                </w:p>
              </w:tc>
              <w:tc>
                <w:tcPr>
                  <w:tcW w:w="890" w:type="dxa"/>
                  <w:vAlign w:val="center"/>
                </w:tcPr>
                <w:p w14:paraId="005B656C">
                  <w:pPr>
                    <w:jc w:val="center"/>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142.5</w:t>
                  </w:r>
                </w:p>
              </w:tc>
              <w:tc>
                <w:tcPr>
                  <w:tcW w:w="890" w:type="dxa"/>
                  <w:vAlign w:val="center"/>
                </w:tcPr>
                <w:p w14:paraId="1CB2DEE1">
                  <w:pPr>
                    <w:jc w:val="center"/>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11.1</w:t>
                  </w:r>
                </w:p>
              </w:tc>
              <w:tc>
                <w:tcPr>
                  <w:tcW w:w="890" w:type="dxa"/>
                  <w:tcBorders>
                    <w:right w:val="single" w:color="auto" w:sz="12" w:space="0"/>
                  </w:tcBorders>
                  <w:vAlign w:val="center"/>
                </w:tcPr>
                <w:p w14:paraId="44AD3702">
                  <w:pPr>
                    <w:jc w:val="center"/>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1.6</w:t>
                  </w:r>
                </w:p>
              </w:tc>
            </w:tr>
            <w:tr w14:paraId="2C866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Merge w:val="restart"/>
                  <w:tcBorders>
                    <w:left w:val="single" w:color="auto" w:sz="4" w:space="0"/>
                  </w:tcBorders>
                  <w:vAlign w:val="center"/>
                </w:tcPr>
                <w:p w14:paraId="1CF9CC2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厌氧-缺氧-好氧</w:t>
                  </w:r>
                </w:p>
              </w:tc>
              <w:tc>
                <w:tcPr>
                  <w:tcW w:w="889" w:type="dxa"/>
                  <w:shd w:val="clear" w:color="auto" w:fill="auto"/>
                  <w:vAlign w:val="center"/>
                </w:tcPr>
                <w:p w14:paraId="44858E7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lang w:val="en-US" w:eastAsia="zh-CN" w:bidi="ar-SA"/>
                    </w:rPr>
                  </w:pPr>
                  <w:r>
                    <w:rPr>
                      <w:rFonts w:hint="eastAsia" w:cs="Times New Roman"/>
                      <w:b w:val="0"/>
                      <w:bCs w:val="0"/>
                      <w:color w:val="auto"/>
                      <w:kern w:val="0"/>
                      <w:sz w:val="21"/>
                      <w:szCs w:val="21"/>
                      <w:highlight w:val="none"/>
                      <w:u w:val="none" w:color="auto"/>
                      <w:vertAlign w:val="baseline"/>
                      <w:lang w:val="en-US" w:eastAsia="zh-CN"/>
                    </w:rPr>
                    <w:t>去除率</w:t>
                  </w:r>
                </w:p>
              </w:tc>
              <w:tc>
                <w:tcPr>
                  <w:tcW w:w="889" w:type="dxa"/>
                  <w:vAlign w:val="center"/>
                </w:tcPr>
                <w:p w14:paraId="1B70654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90%</w:t>
                  </w:r>
                </w:p>
              </w:tc>
              <w:tc>
                <w:tcPr>
                  <w:tcW w:w="889" w:type="dxa"/>
                  <w:vAlign w:val="center"/>
                </w:tcPr>
                <w:p w14:paraId="5D3F54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90%</w:t>
                  </w:r>
                </w:p>
              </w:tc>
              <w:tc>
                <w:tcPr>
                  <w:tcW w:w="890" w:type="dxa"/>
                  <w:vAlign w:val="center"/>
                </w:tcPr>
                <w:p w14:paraId="6CD0184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80%</w:t>
                  </w:r>
                </w:p>
              </w:tc>
              <w:tc>
                <w:tcPr>
                  <w:tcW w:w="890" w:type="dxa"/>
                  <w:vAlign w:val="center"/>
                </w:tcPr>
                <w:p w14:paraId="77C93FB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70%</w:t>
                  </w:r>
                </w:p>
              </w:tc>
              <w:tc>
                <w:tcPr>
                  <w:tcW w:w="890" w:type="dxa"/>
                  <w:vAlign w:val="center"/>
                </w:tcPr>
                <w:p w14:paraId="5BE0E10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80%</w:t>
                  </w:r>
                </w:p>
              </w:tc>
              <w:tc>
                <w:tcPr>
                  <w:tcW w:w="890" w:type="dxa"/>
                  <w:vAlign w:val="center"/>
                </w:tcPr>
                <w:p w14:paraId="495AA08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85%</w:t>
                  </w:r>
                </w:p>
              </w:tc>
              <w:tc>
                <w:tcPr>
                  <w:tcW w:w="890" w:type="dxa"/>
                  <w:tcBorders>
                    <w:right w:val="single" w:color="auto" w:sz="12" w:space="0"/>
                  </w:tcBorders>
                  <w:vAlign w:val="center"/>
                </w:tcPr>
                <w:p w14:paraId="2040F10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50%</w:t>
                  </w:r>
                </w:p>
              </w:tc>
            </w:tr>
            <w:tr w14:paraId="5880B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Merge w:val="continue"/>
                  <w:tcBorders>
                    <w:left w:val="single" w:color="auto" w:sz="4" w:space="0"/>
                  </w:tcBorders>
                  <w:vAlign w:val="center"/>
                </w:tcPr>
                <w:p w14:paraId="21807A9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p>
              </w:tc>
              <w:tc>
                <w:tcPr>
                  <w:tcW w:w="889" w:type="dxa"/>
                  <w:shd w:val="clear" w:color="auto" w:fill="auto"/>
                  <w:vAlign w:val="center"/>
                </w:tcPr>
                <w:p w14:paraId="64EA823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lang w:val="en-US" w:eastAsia="zh-CN" w:bidi="ar-SA"/>
                    </w:rPr>
                  </w:pPr>
                  <w:r>
                    <w:rPr>
                      <w:rFonts w:hint="eastAsia" w:cs="Times New Roman"/>
                      <w:b w:val="0"/>
                      <w:bCs w:val="0"/>
                      <w:color w:val="auto"/>
                      <w:kern w:val="0"/>
                      <w:sz w:val="21"/>
                      <w:szCs w:val="21"/>
                      <w:highlight w:val="none"/>
                      <w:u w:val="none" w:color="auto"/>
                      <w:vertAlign w:val="baseline"/>
                      <w:lang w:val="en-US" w:eastAsia="zh-CN"/>
                    </w:rPr>
                    <w:t>出水</w:t>
                  </w:r>
                </w:p>
              </w:tc>
              <w:tc>
                <w:tcPr>
                  <w:tcW w:w="889" w:type="dxa"/>
                  <w:vAlign w:val="center"/>
                </w:tcPr>
                <w:p w14:paraId="48F5706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240.4</w:t>
                  </w:r>
                </w:p>
              </w:tc>
              <w:tc>
                <w:tcPr>
                  <w:tcW w:w="889" w:type="dxa"/>
                  <w:vAlign w:val="center"/>
                </w:tcPr>
                <w:p w14:paraId="1AC160AD">
                  <w:pPr>
                    <w:jc w:val="center"/>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113.7</w:t>
                  </w:r>
                </w:p>
              </w:tc>
              <w:tc>
                <w:tcPr>
                  <w:tcW w:w="890" w:type="dxa"/>
                  <w:vAlign w:val="center"/>
                </w:tcPr>
                <w:p w14:paraId="7BA3FCCA">
                  <w:pPr>
                    <w:jc w:val="center"/>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10.1</w:t>
                  </w:r>
                </w:p>
              </w:tc>
              <w:tc>
                <w:tcPr>
                  <w:tcW w:w="890" w:type="dxa"/>
                  <w:vAlign w:val="center"/>
                </w:tcPr>
                <w:p w14:paraId="67713B52">
                  <w:pPr>
                    <w:jc w:val="center"/>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33.6</w:t>
                  </w:r>
                </w:p>
              </w:tc>
              <w:tc>
                <w:tcPr>
                  <w:tcW w:w="890" w:type="dxa"/>
                  <w:vAlign w:val="center"/>
                </w:tcPr>
                <w:p w14:paraId="7C8D1F53">
                  <w:pPr>
                    <w:jc w:val="center"/>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28.5</w:t>
                  </w:r>
                </w:p>
              </w:tc>
              <w:tc>
                <w:tcPr>
                  <w:tcW w:w="890" w:type="dxa"/>
                  <w:vAlign w:val="center"/>
                </w:tcPr>
                <w:p w14:paraId="169F6B6E">
                  <w:pPr>
                    <w:jc w:val="center"/>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1.7</w:t>
                  </w:r>
                </w:p>
              </w:tc>
              <w:tc>
                <w:tcPr>
                  <w:tcW w:w="890" w:type="dxa"/>
                  <w:tcBorders>
                    <w:right w:val="single" w:color="auto" w:sz="12" w:space="0"/>
                  </w:tcBorders>
                  <w:vAlign w:val="center"/>
                </w:tcPr>
                <w:p w14:paraId="5C6D318C">
                  <w:pPr>
                    <w:jc w:val="center"/>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0.8</w:t>
                  </w:r>
                </w:p>
              </w:tc>
            </w:tr>
            <w:tr w14:paraId="6AFE9F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 w:hRule="atLeast"/>
              </w:trPr>
              <w:tc>
                <w:tcPr>
                  <w:tcW w:w="889" w:type="dxa"/>
                  <w:vMerge w:val="restart"/>
                  <w:tcBorders>
                    <w:left w:val="single" w:color="auto" w:sz="4" w:space="0"/>
                  </w:tcBorders>
                  <w:vAlign w:val="center"/>
                </w:tcPr>
                <w:p w14:paraId="6D0169C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沉淀</w:t>
                  </w:r>
                </w:p>
              </w:tc>
              <w:tc>
                <w:tcPr>
                  <w:tcW w:w="889" w:type="dxa"/>
                  <w:shd w:val="clear" w:color="auto" w:fill="auto"/>
                  <w:vAlign w:val="center"/>
                </w:tcPr>
                <w:p w14:paraId="3E67536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lang w:val="en-US" w:eastAsia="zh-CN" w:bidi="ar-SA"/>
                    </w:rPr>
                  </w:pPr>
                  <w:r>
                    <w:rPr>
                      <w:rFonts w:hint="eastAsia" w:cs="Times New Roman"/>
                      <w:b w:val="0"/>
                      <w:bCs w:val="0"/>
                      <w:color w:val="auto"/>
                      <w:kern w:val="0"/>
                      <w:sz w:val="21"/>
                      <w:szCs w:val="21"/>
                      <w:highlight w:val="none"/>
                      <w:u w:val="none" w:color="auto"/>
                      <w:vertAlign w:val="baseline"/>
                      <w:lang w:val="en-US" w:eastAsia="zh-CN"/>
                    </w:rPr>
                    <w:t>去除率</w:t>
                  </w:r>
                </w:p>
              </w:tc>
              <w:tc>
                <w:tcPr>
                  <w:tcW w:w="889" w:type="dxa"/>
                  <w:vAlign w:val="center"/>
                </w:tcPr>
                <w:p w14:paraId="0FE582F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3%</w:t>
                  </w:r>
                </w:p>
              </w:tc>
              <w:tc>
                <w:tcPr>
                  <w:tcW w:w="889" w:type="dxa"/>
                  <w:vAlign w:val="center"/>
                </w:tcPr>
                <w:p w14:paraId="3610B01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1%</w:t>
                  </w:r>
                </w:p>
              </w:tc>
              <w:tc>
                <w:tcPr>
                  <w:tcW w:w="890" w:type="dxa"/>
                  <w:vAlign w:val="center"/>
                </w:tcPr>
                <w:p w14:paraId="26EB808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2%</w:t>
                  </w:r>
                </w:p>
              </w:tc>
              <w:tc>
                <w:tcPr>
                  <w:tcW w:w="890" w:type="dxa"/>
                  <w:vAlign w:val="center"/>
                </w:tcPr>
                <w:p w14:paraId="7757EC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2%</w:t>
                  </w:r>
                </w:p>
              </w:tc>
              <w:tc>
                <w:tcPr>
                  <w:tcW w:w="890" w:type="dxa"/>
                  <w:vAlign w:val="center"/>
                </w:tcPr>
                <w:p w14:paraId="17263C1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70%</w:t>
                  </w:r>
                </w:p>
              </w:tc>
              <w:tc>
                <w:tcPr>
                  <w:tcW w:w="890" w:type="dxa"/>
                  <w:vAlign w:val="center"/>
                </w:tcPr>
                <w:p w14:paraId="611DF3C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3%</w:t>
                  </w:r>
                </w:p>
              </w:tc>
              <w:tc>
                <w:tcPr>
                  <w:tcW w:w="890" w:type="dxa"/>
                  <w:tcBorders>
                    <w:right w:val="single" w:color="auto" w:sz="12" w:space="0"/>
                  </w:tcBorders>
                  <w:vAlign w:val="center"/>
                </w:tcPr>
                <w:p w14:paraId="713791F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10%</w:t>
                  </w:r>
                </w:p>
              </w:tc>
            </w:tr>
            <w:tr w14:paraId="2DBBB2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89" w:type="dxa"/>
                  <w:vMerge w:val="continue"/>
                  <w:tcBorders>
                    <w:left w:val="single" w:color="auto" w:sz="4" w:space="0"/>
                  </w:tcBorders>
                  <w:vAlign w:val="center"/>
                </w:tcPr>
                <w:p w14:paraId="14D24AD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p>
              </w:tc>
              <w:tc>
                <w:tcPr>
                  <w:tcW w:w="889" w:type="dxa"/>
                  <w:shd w:val="clear" w:color="auto" w:fill="auto"/>
                  <w:vAlign w:val="center"/>
                </w:tcPr>
                <w:p w14:paraId="517115C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lang w:val="en-US" w:eastAsia="zh-CN" w:bidi="ar-SA"/>
                    </w:rPr>
                  </w:pPr>
                  <w:r>
                    <w:rPr>
                      <w:rFonts w:hint="eastAsia" w:cs="Times New Roman"/>
                      <w:b w:val="0"/>
                      <w:bCs w:val="0"/>
                      <w:color w:val="auto"/>
                      <w:kern w:val="0"/>
                      <w:sz w:val="21"/>
                      <w:szCs w:val="21"/>
                      <w:highlight w:val="none"/>
                      <w:u w:val="none" w:color="auto"/>
                      <w:vertAlign w:val="baseline"/>
                      <w:lang w:val="en-US" w:eastAsia="zh-CN"/>
                    </w:rPr>
                    <w:t>出水</w:t>
                  </w:r>
                </w:p>
              </w:tc>
              <w:tc>
                <w:tcPr>
                  <w:tcW w:w="889" w:type="dxa"/>
                  <w:vAlign w:val="center"/>
                </w:tcPr>
                <w:p w14:paraId="6A8B1A49">
                  <w:pPr>
                    <w:jc w:val="center"/>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233.2</w:t>
                  </w:r>
                </w:p>
              </w:tc>
              <w:tc>
                <w:tcPr>
                  <w:tcW w:w="889" w:type="dxa"/>
                  <w:vAlign w:val="center"/>
                </w:tcPr>
                <w:p w14:paraId="59F340DD">
                  <w:pPr>
                    <w:jc w:val="center"/>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112.6</w:t>
                  </w:r>
                </w:p>
              </w:tc>
              <w:tc>
                <w:tcPr>
                  <w:tcW w:w="890" w:type="dxa"/>
                  <w:vAlign w:val="center"/>
                </w:tcPr>
                <w:p w14:paraId="5DF53AAD">
                  <w:pPr>
                    <w:jc w:val="center"/>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9.9</w:t>
                  </w:r>
                </w:p>
              </w:tc>
              <w:tc>
                <w:tcPr>
                  <w:tcW w:w="890" w:type="dxa"/>
                  <w:vAlign w:val="center"/>
                </w:tcPr>
                <w:p w14:paraId="499DF1C8">
                  <w:pPr>
                    <w:jc w:val="center"/>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32.9</w:t>
                  </w:r>
                </w:p>
              </w:tc>
              <w:tc>
                <w:tcPr>
                  <w:tcW w:w="890" w:type="dxa"/>
                  <w:vAlign w:val="center"/>
                </w:tcPr>
                <w:p w14:paraId="48A3AE00">
                  <w:pPr>
                    <w:jc w:val="center"/>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8.5</w:t>
                  </w:r>
                </w:p>
              </w:tc>
              <w:tc>
                <w:tcPr>
                  <w:tcW w:w="890" w:type="dxa"/>
                  <w:vAlign w:val="center"/>
                </w:tcPr>
                <w:p w14:paraId="35A9D92C">
                  <w:pPr>
                    <w:jc w:val="center"/>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1.6</w:t>
                  </w:r>
                </w:p>
              </w:tc>
              <w:tc>
                <w:tcPr>
                  <w:tcW w:w="890" w:type="dxa"/>
                  <w:tcBorders>
                    <w:right w:val="single" w:color="auto" w:sz="12" w:space="0"/>
                  </w:tcBorders>
                  <w:vAlign w:val="center"/>
                </w:tcPr>
                <w:p w14:paraId="2B95B35A">
                  <w:pPr>
                    <w:jc w:val="center"/>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0.08</w:t>
                  </w:r>
                </w:p>
              </w:tc>
            </w:tr>
            <w:tr w14:paraId="23311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78" w:type="dxa"/>
                  <w:gridSpan w:val="2"/>
                  <w:tcBorders>
                    <w:left w:val="single" w:color="auto" w:sz="4" w:space="0"/>
                    <w:bottom w:val="single" w:color="auto" w:sz="12" w:space="0"/>
                  </w:tcBorders>
                  <w:vAlign w:val="center"/>
                </w:tcPr>
                <w:p w14:paraId="5E43DF9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标准限值</w:t>
                  </w:r>
                </w:p>
              </w:tc>
              <w:tc>
                <w:tcPr>
                  <w:tcW w:w="889" w:type="dxa"/>
                  <w:tcBorders>
                    <w:bottom w:val="single" w:color="auto" w:sz="12" w:space="0"/>
                  </w:tcBorders>
                  <w:vAlign w:val="center"/>
                </w:tcPr>
                <w:p w14:paraId="44977BA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240</w:t>
                  </w:r>
                </w:p>
              </w:tc>
              <w:tc>
                <w:tcPr>
                  <w:tcW w:w="889" w:type="dxa"/>
                  <w:tcBorders>
                    <w:bottom w:val="single" w:color="auto" w:sz="12" w:space="0"/>
                  </w:tcBorders>
                  <w:vAlign w:val="center"/>
                </w:tcPr>
                <w:p w14:paraId="26341EB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150</w:t>
                  </w:r>
                </w:p>
              </w:tc>
              <w:tc>
                <w:tcPr>
                  <w:tcW w:w="890" w:type="dxa"/>
                  <w:tcBorders>
                    <w:bottom w:val="single" w:color="auto" w:sz="12" w:space="0"/>
                  </w:tcBorders>
                  <w:vAlign w:val="center"/>
                </w:tcPr>
                <w:p w14:paraId="4CCE0082">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30</w:t>
                  </w:r>
                </w:p>
              </w:tc>
              <w:tc>
                <w:tcPr>
                  <w:tcW w:w="890" w:type="dxa"/>
                  <w:tcBorders>
                    <w:bottom w:val="single" w:color="auto" w:sz="12" w:space="0"/>
                  </w:tcBorders>
                  <w:vAlign w:val="center"/>
                </w:tcPr>
                <w:p w14:paraId="29E44AA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35</w:t>
                  </w:r>
                </w:p>
              </w:tc>
              <w:tc>
                <w:tcPr>
                  <w:tcW w:w="890" w:type="dxa"/>
                  <w:tcBorders>
                    <w:bottom w:val="single" w:color="auto" w:sz="12" w:space="0"/>
                  </w:tcBorders>
                  <w:vAlign w:val="center"/>
                </w:tcPr>
                <w:p w14:paraId="6E44192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300</w:t>
                  </w:r>
                </w:p>
              </w:tc>
              <w:tc>
                <w:tcPr>
                  <w:tcW w:w="890" w:type="dxa"/>
                  <w:tcBorders>
                    <w:bottom w:val="single" w:color="auto" w:sz="12" w:space="0"/>
                  </w:tcBorders>
                  <w:vAlign w:val="center"/>
                </w:tcPr>
                <w:p w14:paraId="495CF18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3.5</w:t>
                  </w:r>
                </w:p>
              </w:tc>
              <w:tc>
                <w:tcPr>
                  <w:tcW w:w="890" w:type="dxa"/>
                  <w:tcBorders>
                    <w:bottom w:val="single" w:color="auto" w:sz="12" w:space="0"/>
                    <w:right w:val="single" w:color="auto" w:sz="12" w:space="0"/>
                  </w:tcBorders>
                  <w:vAlign w:val="center"/>
                </w:tcPr>
                <w:p w14:paraId="51B2004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0"/>
                      <w:sz w:val="21"/>
                      <w:szCs w:val="21"/>
                      <w:highlight w:val="none"/>
                      <w:u w:val="none" w:color="auto"/>
                      <w:vertAlign w:val="baseline"/>
                      <w:lang w:val="en-US" w:eastAsia="zh-CN"/>
                    </w:rPr>
                  </w:pPr>
                  <w:r>
                    <w:rPr>
                      <w:rFonts w:hint="eastAsia" w:cs="Times New Roman"/>
                      <w:b w:val="0"/>
                      <w:bCs w:val="0"/>
                      <w:color w:val="auto"/>
                      <w:kern w:val="0"/>
                      <w:sz w:val="21"/>
                      <w:szCs w:val="21"/>
                      <w:highlight w:val="none"/>
                      <w:u w:val="none" w:color="auto"/>
                      <w:vertAlign w:val="baseline"/>
                      <w:lang w:val="en-US" w:eastAsia="zh-CN"/>
                    </w:rPr>
                    <w:t>100</w:t>
                  </w:r>
                </w:p>
              </w:tc>
            </w:tr>
          </w:tbl>
          <w:p w14:paraId="2D97F23D">
            <w:pPr>
              <w:adjustRightInd w:val="0"/>
              <w:snapToGrid w:val="0"/>
              <w:spacing w:line="360" w:lineRule="auto"/>
              <w:ind w:firstLine="420" w:firstLineChars="200"/>
              <w:jc w:val="both"/>
              <w:rPr>
                <w:rFonts w:hint="default" w:ascii="Times New Roman" w:hAnsi="Times New Roman" w:eastAsia="宋体" w:cs="Times New Roman"/>
                <w:b w:val="0"/>
                <w:bCs w:val="0"/>
                <w:color w:val="auto"/>
                <w:kern w:val="0"/>
                <w:sz w:val="21"/>
                <w:szCs w:val="21"/>
                <w:highlight w:val="none"/>
                <w:u w:val="none" w:color="auto"/>
                <w:lang w:val="en-US" w:eastAsia="zh-CN"/>
              </w:rPr>
            </w:pPr>
            <w:r>
              <w:rPr>
                <w:rFonts w:hint="eastAsia" w:cs="Times New Roman"/>
                <w:b w:val="0"/>
                <w:bCs w:val="0"/>
                <w:color w:val="auto"/>
                <w:kern w:val="0"/>
                <w:sz w:val="21"/>
                <w:szCs w:val="21"/>
                <w:highlight w:val="none"/>
                <w:u w:val="none" w:color="auto"/>
                <w:lang w:val="en-US" w:eastAsia="zh-CN"/>
              </w:rPr>
              <w:t>注：本项目主要单元污染物去除率由污水设计单位根据处理经验提供。</w:t>
            </w:r>
          </w:p>
          <w:p w14:paraId="749905A8">
            <w:pPr>
              <w:adjustRightInd w:val="0"/>
              <w:snapToGrid w:val="0"/>
              <w:spacing w:line="360" w:lineRule="auto"/>
              <w:ind w:firstLine="480" w:firstLineChars="200"/>
              <w:rPr>
                <w:rFonts w:hint="default" w:ascii="Times New Roman" w:hAnsi="Times New Roman" w:eastAsia="宋体"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由上表可知，项目综合生产废水经自建污水处理站处理后，出水水质能够达到汨罗市大荆镇古仑片区污水处理站进水水质要求。</w:t>
            </w:r>
          </w:p>
          <w:p w14:paraId="7BBA9EA8">
            <w:pPr>
              <w:adjustRightInd w:val="0"/>
              <w:snapToGrid w:val="0"/>
              <w:spacing w:line="360" w:lineRule="auto"/>
              <w:ind w:firstLine="480" w:firstLineChars="200"/>
              <w:rPr>
                <w:rFonts w:hint="default" w:ascii="Times New Roman" w:hAnsi="Times New Roman" w:eastAsia="宋体"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3、废水处理可行性分析</w:t>
            </w:r>
          </w:p>
          <w:p w14:paraId="083FC5AC">
            <w:pPr>
              <w:adjustRightInd w:val="0"/>
              <w:snapToGrid w:val="0"/>
              <w:spacing w:line="360" w:lineRule="auto"/>
              <w:ind w:firstLine="480" w:firstLineChars="200"/>
              <w:rPr>
                <w:rFonts w:hint="default" w:ascii="Times New Roman" w:hAnsi="Times New Roman" w:eastAsia="宋体"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本项目生产废水处理工艺为“格栅+隔油+调节池+气浮+一体化处理（厌氧+缺氧+好氧+沉淀+消毒）”，项目主要污染物为COD</w:t>
            </w:r>
            <w:r>
              <w:rPr>
                <w:rFonts w:hint="eastAsia" w:cs="Times New Roman"/>
                <w:color w:val="auto"/>
                <w:kern w:val="0"/>
                <w:highlight w:val="none"/>
                <w:u w:val="none" w:color="auto"/>
                <w:vertAlign w:val="subscript"/>
                <w:lang w:val="en-US" w:eastAsia="zh-CN"/>
              </w:rPr>
              <w:t>cr</w:t>
            </w:r>
            <w:r>
              <w:rPr>
                <w:rFonts w:hint="eastAsia" w:cs="Times New Roman"/>
                <w:color w:val="auto"/>
                <w:kern w:val="0"/>
                <w:highlight w:val="none"/>
                <w:u w:val="none" w:color="auto"/>
                <w:lang w:val="en-US" w:eastAsia="zh-CN"/>
              </w:rPr>
              <w:t>、BOD</w:t>
            </w:r>
            <w:r>
              <w:rPr>
                <w:rFonts w:hint="eastAsia" w:cs="Times New Roman"/>
                <w:color w:val="auto"/>
                <w:kern w:val="0"/>
                <w:highlight w:val="none"/>
                <w:u w:val="none" w:color="auto"/>
                <w:vertAlign w:val="subscript"/>
                <w:lang w:val="en-US" w:eastAsia="zh-CN"/>
              </w:rPr>
              <w:t>5</w:t>
            </w:r>
            <w:r>
              <w:rPr>
                <w:rFonts w:hint="eastAsia" w:cs="Times New Roman"/>
                <w:color w:val="auto"/>
                <w:kern w:val="0"/>
                <w:highlight w:val="none"/>
                <w:u w:val="none" w:color="auto"/>
                <w:lang w:val="en-US" w:eastAsia="zh-CN"/>
              </w:rPr>
              <w:t>、SS、氨氮、总氮、总磷、动植物油。根据《排污许可证申请与核发技术规范—农副食品加工工业—屠宰及肉类加工工业》表7。具体如下。</w:t>
            </w:r>
          </w:p>
          <w:p w14:paraId="332025EF">
            <w:pPr>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center"/>
              <w:textAlignment w:val="auto"/>
              <w:rPr>
                <w:rFonts w:hint="default" w:ascii="Times New Roman" w:hAnsi="Times New Roman" w:eastAsia="宋体" w:cs="Times New Roman"/>
                <w:color w:val="auto"/>
                <w:kern w:val="0"/>
                <w:highlight w:val="none"/>
                <w:u w:val="none" w:color="auto"/>
                <w:lang w:val="en-US" w:eastAsia="zh-CN"/>
              </w:rPr>
            </w:pPr>
            <w:r>
              <w:rPr>
                <w:rFonts w:hint="default" w:ascii="Times New Roman" w:hAnsi="Times New Roman" w:eastAsia="宋体" w:cs="Times New Roman"/>
                <w:b/>
                <w:bCs/>
                <w:color w:val="auto"/>
                <w:kern w:val="0"/>
                <w:sz w:val="21"/>
                <w:szCs w:val="21"/>
                <w:highlight w:val="none"/>
                <w:u w:val="none" w:color="auto"/>
                <w:lang w:val="en-US" w:eastAsia="zh-CN"/>
              </w:rPr>
              <w:t>表4-1</w:t>
            </w:r>
            <w:r>
              <w:rPr>
                <w:rFonts w:hint="eastAsia" w:cs="Times New Roman"/>
                <w:b/>
                <w:bCs/>
                <w:color w:val="auto"/>
                <w:kern w:val="0"/>
                <w:sz w:val="21"/>
                <w:szCs w:val="21"/>
                <w:highlight w:val="none"/>
                <w:u w:val="none" w:color="auto"/>
                <w:lang w:val="en-US" w:eastAsia="zh-CN"/>
              </w:rPr>
              <w:t>4 项目废水污染治理技术与排污许可规范可行技术分析</w:t>
            </w:r>
          </w:p>
          <w:tbl>
            <w:tblPr>
              <w:tblStyle w:val="43"/>
              <w:tblW w:w="800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8"/>
              <w:gridCol w:w="1290"/>
              <w:gridCol w:w="2670"/>
              <w:gridCol w:w="1755"/>
              <w:gridCol w:w="1110"/>
            </w:tblGrid>
            <w:tr w14:paraId="00326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8" w:type="dxa"/>
                  <w:tcBorders>
                    <w:top w:val="single" w:color="auto" w:sz="12" w:space="0"/>
                  </w:tcBorders>
                  <w:vAlign w:val="center"/>
                </w:tcPr>
                <w:p w14:paraId="3B4AFD6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废水类别</w:t>
                  </w:r>
                </w:p>
              </w:tc>
              <w:tc>
                <w:tcPr>
                  <w:tcW w:w="1290" w:type="dxa"/>
                  <w:tcBorders>
                    <w:top w:val="single" w:color="auto" w:sz="12" w:space="0"/>
                  </w:tcBorders>
                  <w:vAlign w:val="center"/>
                </w:tcPr>
                <w:p w14:paraId="325E80F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排放去向</w:t>
                  </w:r>
                </w:p>
              </w:tc>
              <w:tc>
                <w:tcPr>
                  <w:tcW w:w="2670" w:type="dxa"/>
                  <w:tcBorders>
                    <w:top w:val="single" w:color="auto" w:sz="12" w:space="0"/>
                  </w:tcBorders>
                  <w:vAlign w:val="center"/>
                </w:tcPr>
                <w:p w14:paraId="069070C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可行技术</w:t>
                  </w:r>
                </w:p>
              </w:tc>
              <w:tc>
                <w:tcPr>
                  <w:tcW w:w="1755" w:type="dxa"/>
                  <w:tcBorders>
                    <w:top w:val="single" w:color="auto" w:sz="12" w:space="0"/>
                  </w:tcBorders>
                  <w:vAlign w:val="center"/>
                </w:tcPr>
                <w:p w14:paraId="4AA5B31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本项目采取措施</w:t>
                  </w:r>
                </w:p>
              </w:tc>
              <w:tc>
                <w:tcPr>
                  <w:tcW w:w="1110" w:type="dxa"/>
                  <w:tcBorders>
                    <w:top w:val="single" w:color="auto" w:sz="12" w:space="0"/>
                    <w:right w:val="single" w:color="auto" w:sz="12" w:space="0"/>
                  </w:tcBorders>
                  <w:vAlign w:val="center"/>
                </w:tcPr>
                <w:p w14:paraId="7F3A7D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是否为可行技术</w:t>
                  </w:r>
                </w:p>
              </w:tc>
            </w:tr>
            <w:tr w14:paraId="0BCA66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8" w:type="dxa"/>
                  <w:tcBorders>
                    <w:left w:val="single" w:color="auto" w:sz="4" w:space="0"/>
                    <w:bottom w:val="single" w:color="auto" w:sz="12" w:space="0"/>
                  </w:tcBorders>
                  <w:vAlign w:val="center"/>
                </w:tcPr>
                <w:p w14:paraId="2D79613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综合废水</w:t>
                  </w:r>
                </w:p>
              </w:tc>
              <w:tc>
                <w:tcPr>
                  <w:tcW w:w="1290" w:type="dxa"/>
                  <w:tcBorders>
                    <w:bottom w:val="single" w:color="auto" w:sz="12" w:space="0"/>
                  </w:tcBorders>
                  <w:vAlign w:val="center"/>
                </w:tcPr>
                <w:p w14:paraId="292857D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间接排放</w:t>
                  </w:r>
                </w:p>
              </w:tc>
              <w:tc>
                <w:tcPr>
                  <w:tcW w:w="2670" w:type="dxa"/>
                  <w:tcBorders>
                    <w:bottom w:val="single" w:color="auto" w:sz="12" w:space="0"/>
                  </w:tcBorders>
                  <w:vAlign w:val="center"/>
                </w:tcPr>
                <w:p w14:paraId="60FA5B81">
                  <w:pPr>
                    <w:keepNext w:val="0"/>
                    <w:keepLines w:val="0"/>
                    <w:pageBreakBefore w:val="0"/>
                    <w:widowControl w:val="0"/>
                    <w:numPr>
                      <w:ilvl w:val="0"/>
                      <w:numId w:val="6"/>
                    </w:numPr>
                    <w:kinsoku/>
                    <w:wordWrap/>
                    <w:overflowPunct/>
                    <w:topLinePunct w:val="0"/>
                    <w:autoSpaceDE/>
                    <w:autoSpaceDN/>
                    <w:bidi w:val="0"/>
                    <w:adjustRightInd w:val="0"/>
                    <w:snapToGrid w:val="0"/>
                    <w:spacing w:line="240" w:lineRule="auto"/>
                    <w:jc w:val="center"/>
                    <w:textAlignment w:val="auto"/>
                    <w:rPr>
                      <w:rFonts w:hint="default"/>
                      <w:color w:val="auto"/>
                      <w:lang w:val="en-US" w:eastAsia="zh-CN"/>
                    </w:rPr>
                  </w:pPr>
                  <w:r>
                    <w:rPr>
                      <w:rFonts w:hint="eastAsia" w:cs="Times New Roman"/>
                      <w:color w:val="auto"/>
                      <w:kern w:val="0"/>
                      <w:sz w:val="21"/>
                      <w:szCs w:val="21"/>
                      <w:highlight w:val="none"/>
                      <w:u w:val="none" w:color="auto"/>
                      <w:vertAlign w:val="baseline"/>
                      <w:lang w:val="en-US" w:eastAsia="zh-CN"/>
                    </w:rPr>
                    <w:t>预处理：粗（细）格栅：平流或旋流式沉砂、竖流或辐流式沉淀、混凝沉淀：斜板或平流式隔油池；气浮。2）生化法处理：活性污泥法、氧化沟法及其各类改型工艺。3）除磷处理：化学除磷（注明混凝剂）；生物除磷；生物与化学组合除磷。</w:t>
                  </w:r>
                </w:p>
              </w:tc>
              <w:tc>
                <w:tcPr>
                  <w:tcW w:w="1755" w:type="dxa"/>
                  <w:tcBorders>
                    <w:bottom w:val="single" w:color="auto" w:sz="12" w:space="0"/>
                  </w:tcBorders>
                  <w:vAlign w:val="center"/>
                </w:tcPr>
                <w:p w14:paraId="3E10E5D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default" w:ascii="Times New Roman" w:hAnsi="Times New Roman" w:eastAsia="宋体" w:cs="Times New Roman"/>
                      <w:color w:val="auto"/>
                      <w:kern w:val="0"/>
                      <w:sz w:val="21"/>
                      <w:szCs w:val="21"/>
                      <w:highlight w:val="none"/>
                      <w:u w:val="none" w:color="auto"/>
                      <w:vertAlign w:val="baseline"/>
                      <w:lang w:val="en-US" w:eastAsia="zh-CN"/>
                    </w:rPr>
                    <w:t>格栅+隔油+调节池+气浮+一体化处理（厌氧+缺氧+好氧+沉淀+消毒</w:t>
                  </w:r>
                </w:p>
              </w:tc>
              <w:tc>
                <w:tcPr>
                  <w:tcW w:w="1110" w:type="dxa"/>
                  <w:tcBorders>
                    <w:bottom w:val="single" w:color="auto" w:sz="12" w:space="0"/>
                    <w:right w:val="single" w:color="auto" w:sz="12" w:space="0"/>
                  </w:tcBorders>
                  <w:vAlign w:val="center"/>
                </w:tcPr>
                <w:p w14:paraId="5C8E61F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auto"/>
                      <w:kern w:val="0"/>
                      <w:sz w:val="21"/>
                      <w:szCs w:val="21"/>
                      <w:highlight w:val="none"/>
                      <w:u w:val="none" w:color="auto"/>
                      <w:vertAlign w:val="baseline"/>
                      <w:lang w:val="en-US" w:eastAsia="zh-CN"/>
                    </w:rPr>
                  </w:pPr>
                  <w:r>
                    <w:rPr>
                      <w:rFonts w:hint="eastAsia" w:cs="Times New Roman"/>
                      <w:color w:val="auto"/>
                      <w:kern w:val="0"/>
                      <w:sz w:val="21"/>
                      <w:szCs w:val="21"/>
                      <w:highlight w:val="none"/>
                      <w:u w:val="none" w:color="auto"/>
                      <w:vertAlign w:val="baseline"/>
                      <w:lang w:val="en-US" w:eastAsia="zh-CN"/>
                    </w:rPr>
                    <w:t>是</w:t>
                  </w:r>
                </w:p>
              </w:tc>
            </w:tr>
          </w:tbl>
          <w:p w14:paraId="67F7704A">
            <w:pPr>
              <w:adjustRightInd w:val="0"/>
              <w:snapToGrid w:val="0"/>
              <w:spacing w:line="360" w:lineRule="auto"/>
              <w:ind w:firstLine="480" w:firstLineChars="200"/>
              <w:rPr>
                <w:rFonts w:hint="eastAsia"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同时，根据《排放源统计调查产排污核算方法和系数手册》1392豆制品制造行业系数手册中，豆腐生产废水末端治理技术为“物理处理法+厌氧生物处理法+好氧生物处理法”，本项目采取的废水处理措施可行。</w:t>
            </w:r>
          </w:p>
          <w:p w14:paraId="064F2F98">
            <w:pPr>
              <w:adjustRightInd w:val="0"/>
              <w:snapToGrid w:val="0"/>
              <w:spacing w:line="360" w:lineRule="auto"/>
              <w:ind w:firstLine="480" w:firstLineChars="200"/>
              <w:rPr>
                <w:rFonts w:hint="default"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本项目废水排放量为48.29t/d，本项目污水处理站设计能力100t/d，处理能力能够满足本项目废水处理需求。同时，根据污水处理站处理后废水浓度（表4-13），处理后的废水能够达到汨罗市大荆镇古仑片区污水处理站进水水质标准。本项目经自建污水处理站处理达标后的废水先暂存于储水池，然后经槽车运往汨罗市大荆镇古仑片区污水处理站处理，储水池容积为120m</w:t>
            </w:r>
            <w:r>
              <w:rPr>
                <w:rFonts w:hint="eastAsia" w:cs="Times New Roman"/>
                <w:color w:val="auto"/>
                <w:kern w:val="0"/>
                <w:highlight w:val="none"/>
                <w:u w:val="none" w:color="auto"/>
                <w:vertAlign w:val="superscript"/>
                <w:lang w:val="en-US" w:eastAsia="zh-CN"/>
              </w:rPr>
              <w:t>3</w:t>
            </w:r>
            <w:r>
              <w:rPr>
                <w:rFonts w:hint="eastAsia" w:cs="Times New Roman"/>
                <w:color w:val="auto"/>
                <w:kern w:val="0"/>
                <w:highlight w:val="none"/>
                <w:u w:val="none" w:color="auto"/>
                <w:lang w:val="en-US" w:eastAsia="zh-CN"/>
              </w:rPr>
              <w:t>，能够容纳本项目两天以上的废水，及时清运，能够满足项目废水暂存需求。</w:t>
            </w:r>
          </w:p>
          <w:p w14:paraId="7BCEF707">
            <w:pPr>
              <w:adjustRightInd w:val="0"/>
              <w:snapToGrid w:val="0"/>
              <w:spacing w:line="360" w:lineRule="auto"/>
              <w:ind w:firstLine="480" w:firstLineChars="200"/>
              <w:rPr>
                <w:rFonts w:hint="eastAsia"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综上所述，本项目废水处理措施可行。</w:t>
            </w:r>
          </w:p>
          <w:p w14:paraId="3C3F4BC1">
            <w:pPr>
              <w:adjustRightInd w:val="0"/>
              <w:snapToGrid w:val="0"/>
              <w:spacing w:line="360" w:lineRule="auto"/>
              <w:ind w:firstLine="480" w:firstLineChars="200"/>
              <w:rPr>
                <w:rFonts w:hint="default"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4、依托汨罗市大荆镇古仑片区污水处理站可行性分析</w:t>
            </w:r>
          </w:p>
          <w:p w14:paraId="58BEC16F">
            <w:pPr>
              <w:adjustRightInd w:val="0"/>
              <w:snapToGrid w:val="0"/>
              <w:spacing w:line="360" w:lineRule="auto"/>
              <w:ind w:firstLine="480" w:firstLineChars="200"/>
              <w:rPr>
                <w:rFonts w:hint="default"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汨罗市大荆镇古仑片区污水处理站位于汨罗市大荆镇白杨村农科片8组，处理规模为近期200m</w:t>
            </w:r>
            <w:r>
              <w:rPr>
                <w:rFonts w:hint="eastAsia" w:cs="Times New Roman"/>
                <w:color w:val="auto"/>
                <w:kern w:val="0"/>
                <w:highlight w:val="none"/>
                <w:u w:val="none" w:color="auto"/>
                <w:vertAlign w:val="superscript"/>
                <w:lang w:val="en-US" w:eastAsia="zh-CN"/>
              </w:rPr>
              <w:t>3</w:t>
            </w:r>
            <w:r>
              <w:rPr>
                <w:rFonts w:hint="eastAsia" w:cs="Times New Roman"/>
                <w:color w:val="auto"/>
                <w:kern w:val="0"/>
                <w:highlight w:val="none"/>
                <w:u w:val="none" w:color="auto"/>
                <w:lang w:val="en-US" w:eastAsia="zh-CN"/>
              </w:rPr>
              <w:t>/d，远期300m</w:t>
            </w:r>
            <w:r>
              <w:rPr>
                <w:rFonts w:hint="eastAsia" w:cs="Times New Roman"/>
                <w:color w:val="auto"/>
                <w:kern w:val="0"/>
                <w:highlight w:val="none"/>
                <w:u w:val="none" w:color="auto"/>
                <w:vertAlign w:val="superscript"/>
                <w:lang w:val="en-US" w:eastAsia="zh-CN"/>
              </w:rPr>
              <w:t>3</w:t>
            </w:r>
            <w:r>
              <w:rPr>
                <w:rFonts w:hint="eastAsia" w:cs="Times New Roman"/>
                <w:color w:val="auto"/>
                <w:kern w:val="0"/>
                <w:highlight w:val="none"/>
                <w:u w:val="none" w:color="auto"/>
                <w:lang w:val="en-US" w:eastAsia="zh-CN"/>
              </w:rPr>
              <w:t>/d，处理工艺为一体化泵站+格栅+平流沉砂池+调节池+一体化设备+紫外消毒+电磁流量计+达标排放。实际处理规模约为100t/d，本项目生活污水排放量为14.89t/d，生产废水排放量为48.29t/d，废水共计63.18t/d。汨罗市大荆镇古仑片区污水处理站有足够的能力容纳本项目产生的废水。</w:t>
            </w:r>
          </w:p>
          <w:p w14:paraId="450C7D75">
            <w:pPr>
              <w:adjustRightInd w:val="0"/>
              <w:snapToGrid w:val="0"/>
              <w:spacing w:line="360" w:lineRule="auto"/>
              <w:ind w:firstLine="480" w:firstLineChars="200"/>
              <w:rPr>
                <w:rFonts w:hint="eastAsia" w:cs="Times New Roman"/>
                <w:color w:val="auto"/>
                <w:kern w:val="0"/>
                <w:highlight w:val="none"/>
                <w:u w:val="none" w:color="auto"/>
                <w:lang w:val="en-US" w:eastAsia="zh-CN"/>
              </w:rPr>
            </w:pPr>
            <w:r>
              <w:rPr>
                <w:rFonts w:hint="eastAsia" w:cs="Times New Roman"/>
                <w:color w:val="auto"/>
                <w:kern w:val="0"/>
                <w:highlight w:val="none"/>
                <w:u w:val="none" w:color="auto"/>
                <w:lang w:val="en-US" w:eastAsia="zh-CN"/>
              </w:rPr>
              <w:t>本项目为食品加工行业，产生的废水中的主要污染物为CODcr、BOD5、SS、氨氮、总氮、总磷和动植物油，与生活污水的污染物一致，依托汨罗市大荆镇古仑片区污水处理站处理可行。</w:t>
            </w:r>
          </w:p>
          <w:p w14:paraId="7FC8E5F2">
            <w:pPr>
              <w:adjustRightInd w:val="0"/>
              <w:snapToGrid w:val="0"/>
              <w:spacing w:line="360" w:lineRule="auto"/>
              <w:ind w:firstLine="480" w:firstLineChars="200"/>
              <w:rPr>
                <w:rStyle w:val="70"/>
                <w:rFonts w:hint="default" w:ascii="Times New Roman" w:hAnsi="Times New Roman" w:eastAsia="宋体" w:cs="Times New Roman"/>
                <w:b w:val="0"/>
                <w:bCs w:val="0"/>
                <w:color w:val="auto"/>
                <w:sz w:val="24"/>
                <w:szCs w:val="24"/>
                <w:highlight w:val="none"/>
                <w:u w:val="single" w:color="auto"/>
                <w:lang w:val="en-US" w:eastAsia="zh-CN"/>
              </w:rPr>
            </w:pPr>
            <w:r>
              <w:rPr>
                <w:rFonts w:hint="eastAsia" w:cs="Times New Roman"/>
                <w:color w:val="auto"/>
                <w:kern w:val="0"/>
                <w:highlight w:val="none"/>
                <w:u w:val="none" w:color="auto"/>
                <w:lang w:val="en-US" w:eastAsia="zh-CN"/>
              </w:rPr>
              <w:t>本项目未在汨罗市大荆镇古仑片区污水处理站纳污范围内，产生的污水处理达标后经槽车运往污水处理站。</w:t>
            </w:r>
          </w:p>
          <w:p w14:paraId="7C6764A4">
            <w:pPr>
              <w:spacing w:line="500" w:lineRule="exact"/>
              <w:ind w:firstLine="482" w:firstLineChars="200"/>
              <w:jc w:val="left"/>
              <w:rPr>
                <w:rStyle w:val="70"/>
                <w:rFonts w:hint="default" w:ascii="Times New Roman" w:hAnsi="Times New Roman" w:eastAsia="宋体" w:cs="Times New Roman"/>
                <w:color w:val="auto"/>
                <w:sz w:val="24"/>
                <w:szCs w:val="24"/>
                <w:highlight w:val="none"/>
                <w:u w:val="none" w:color="auto"/>
              </w:rPr>
            </w:pPr>
            <w:r>
              <w:rPr>
                <w:rStyle w:val="70"/>
                <w:rFonts w:hint="default" w:ascii="Times New Roman" w:hAnsi="Times New Roman" w:eastAsia="宋体" w:cs="Times New Roman"/>
                <w:color w:val="auto"/>
                <w:sz w:val="24"/>
                <w:szCs w:val="24"/>
                <w:highlight w:val="none"/>
                <w:u w:val="none" w:color="auto"/>
              </w:rPr>
              <w:t>三、噪声污染源分析</w:t>
            </w:r>
          </w:p>
          <w:p w14:paraId="54007F8F">
            <w:pPr>
              <w:spacing w:line="500" w:lineRule="exact"/>
              <w:ind w:firstLine="482" w:firstLineChars="200"/>
              <w:rPr>
                <w:rStyle w:val="70"/>
                <w:rFonts w:hint="default" w:ascii="Times New Roman" w:hAnsi="Times New Roman" w:eastAsia="宋体" w:cs="Times New Roman"/>
                <w:color w:val="auto"/>
                <w:sz w:val="24"/>
                <w:szCs w:val="24"/>
                <w:highlight w:val="none"/>
                <w:u w:val="none" w:color="auto"/>
              </w:rPr>
            </w:pPr>
            <w:r>
              <w:rPr>
                <w:rStyle w:val="70"/>
                <w:rFonts w:hint="default" w:ascii="Times New Roman" w:hAnsi="Times New Roman" w:eastAsia="宋体" w:cs="Times New Roman"/>
                <w:bCs w:val="0"/>
                <w:color w:val="auto"/>
                <w:sz w:val="24"/>
                <w:szCs w:val="24"/>
                <w:highlight w:val="none"/>
                <w:u w:val="none" w:color="auto"/>
              </w:rPr>
              <w:t>1</w:t>
            </w:r>
            <w:r>
              <w:rPr>
                <w:rStyle w:val="70"/>
                <w:rFonts w:hint="default" w:ascii="Times New Roman" w:hAnsi="Times New Roman" w:eastAsia="宋体" w:cs="Times New Roman"/>
                <w:color w:val="auto"/>
                <w:sz w:val="24"/>
                <w:szCs w:val="24"/>
                <w:highlight w:val="none"/>
                <w:u w:val="none" w:color="auto"/>
              </w:rPr>
              <w:t>、噪声污染源强核算</w:t>
            </w:r>
          </w:p>
          <w:p w14:paraId="39500F12">
            <w:pPr>
              <w:spacing w:line="500" w:lineRule="exact"/>
              <w:ind w:firstLine="480" w:firstLineChars="200"/>
              <w:rPr>
                <w:rStyle w:val="70"/>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highlight w:val="none"/>
                <w:u w:val="none" w:color="auto"/>
                <w:lang w:val="en-US" w:eastAsia="zh-CN"/>
              </w:rPr>
              <w:t>本</w:t>
            </w:r>
            <w:r>
              <w:rPr>
                <w:rFonts w:hint="default" w:ascii="Times New Roman" w:hAnsi="Times New Roman" w:eastAsia="宋体" w:cs="Times New Roman"/>
                <w:color w:val="auto"/>
                <w:highlight w:val="none"/>
                <w:u w:val="none" w:color="auto"/>
              </w:rPr>
              <w:t>项目噪声产生源主要为</w:t>
            </w:r>
            <w:r>
              <w:rPr>
                <w:rFonts w:hint="default" w:ascii="Times New Roman" w:hAnsi="Times New Roman" w:eastAsia="宋体" w:cs="Times New Roman"/>
                <w:color w:val="auto"/>
                <w:highlight w:val="none"/>
                <w:u w:val="none" w:color="auto"/>
                <w:lang w:val="en-US" w:eastAsia="zh-CN"/>
              </w:rPr>
              <w:t>破碎、清洗、分选</w:t>
            </w:r>
            <w:r>
              <w:rPr>
                <w:rFonts w:hint="default" w:ascii="Times New Roman" w:hAnsi="Times New Roman" w:eastAsia="宋体" w:cs="Times New Roman"/>
                <w:color w:val="auto"/>
                <w:highlight w:val="none"/>
                <w:u w:val="none" w:color="auto"/>
              </w:rPr>
              <w:t>产生的噪声，噪声为</w:t>
            </w:r>
            <w:r>
              <w:rPr>
                <w:rFonts w:hint="default" w:ascii="Times New Roman" w:hAnsi="Times New Roman" w:eastAsia="宋体" w:cs="Times New Roman"/>
                <w:color w:val="auto"/>
                <w:highlight w:val="none"/>
                <w:u w:val="none" w:color="auto"/>
                <w:lang w:val="en-US" w:eastAsia="zh-CN"/>
              </w:rPr>
              <w:t>85</w:t>
            </w:r>
            <w:r>
              <w:rPr>
                <w:rFonts w:hint="default" w:ascii="Times New Roman" w:hAnsi="Times New Roman" w:eastAsia="宋体" w:cs="Times New Roman"/>
                <w:color w:val="auto"/>
                <w:highlight w:val="none"/>
                <w:u w:val="none" w:color="auto"/>
              </w:rPr>
              <w:t>~</w:t>
            </w:r>
            <w:r>
              <w:rPr>
                <w:rFonts w:hint="default" w:ascii="Times New Roman" w:hAnsi="Times New Roman" w:eastAsia="宋体" w:cs="Times New Roman"/>
                <w:color w:val="auto"/>
                <w:highlight w:val="none"/>
                <w:u w:val="none" w:color="auto"/>
                <w:lang w:val="en-US" w:eastAsia="zh-CN"/>
              </w:rPr>
              <w:t>90</w:t>
            </w:r>
            <w:r>
              <w:rPr>
                <w:rFonts w:hint="default" w:ascii="Times New Roman" w:hAnsi="Times New Roman" w:eastAsia="宋体" w:cs="Times New Roman"/>
                <w:color w:val="auto"/>
                <w:highlight w:val="none"/>
                <w:u w:val="none" w:color="auto"/>
              </w:rPr>
              <w:t>dB（A）。项目噪声采取相关减震措施、建筑物隔声、距离衰减，加强对设备的维护及保养，以避免不正常的设备噪声产生。</w:t>
            </w:r>
            <w:r>
              <w:rPr>
                <w:rStyle w:val="70"/>
                <w:rFonts w:hint="default" w:ascii="Times New Roman" w:hAnsi="Times New Roman" w:eastAsia="宋体" w:cs="Times New Roman"/>
                <w:b w:val="0"/>
                <w:bCs w:val="0"/>
                <w:color w:val="auto"/>
                <w:sz w:val="24"/>
                <w:szCs w:val="24"/>
                <w:highlight w:val="none"/>
                <w:u w:val="none" w:color="auto"/>
              </w:rPr>
              <w:t>具体噪声源强见下表。</w:t>
            </w:r>
          </w:p>
          <w:p w14:paraId="52C5C727">
            <w:pPr>
              <w:spacing w:line="500" w:lineRule="exact"/>
              <w:ind w:firstLine="422" w:firstLineChars="200"/>
              <w:jc w:val="center"/>
              <w:rPr>
                <w:rStyle w:val="70"/>
                <w:rFonts w:hint="eastAsia" w:ascii="Times New Roman" w:hAnsi="Times New Roman" w:eastAsia="宋体" w:cs="Times New Roman"/>
                <w:color w:val="auto"/>
                <w:sz w:val="21"/>
                <w:szCs w:val="21"/>
                <w:highlight w:val="none"/>
                <w:u w:val="none" w:color="auto"/>
                <w:lang w:eastAsia="zh-CN"/>
              </w:rPr>
            </w:pPr>
            <w:r>
              <w:rPr>
                <w:rStyle w:val="70"/>
                <w:rFonts w:hint="default" w:ascii="Times New Roman" w:hAnsi="Times New Roman" w:eastAsia="宋体" w:cs="Times New Roman"/>
                <w:color w:val="auto"/>
                <w:sz w:val="21"/>
                <w:szCs w:val="21"/>
                <w:highlight w:val="none"/>
                <w:u w:val="none" w:color="auto"/>
              </w:rPr>
              <w:t>表4-</w:t>
            </w:r>
            <w:r>
              <w:rPr>
                <w:rStyle w:val="70"/>
                <w:rFonts w:hint="default" w:ascii="Times New Roman" w:hAnsi="Times New Roman" w:cs="Times New Roman"/>
                <w:color w:val="auto"/>
                <w:sz w:val="21"/>
                <w:szCs w:val="21"/>
                <w:highlight w:val="none"/>
                <w:u w:val="none" w:color="auto"/>
                <w:lang w:val="en-US" w:eastAsia="zh-CN"/>
              </w:rPr>
              <w:t>15</w:t>
            </w:r>
            <w:r>
              <w:rPr>
                <w:rStyle w:val="70"/>
                <w:rFonts w:hint="default" w:ascii="Times New Roman" w:hAnsi="Times New Roman" w:eastAsia="宋体" w:cs="Times New Roman"/>
                <w:color w:val="auto"/>
                <w:sz w:val="21"/>
                <w:szCs w:val="21"/>
                <w:highlight w:val="none"/>
                <w:u w:val="none" w:color="auto"/>
              </w:rPr>
              <w:t xml:space="preserve"> 工业企业噪声源强调查清单</w:t>
            </w:r>
            <w:r>
              <w:rPr>
                <w:rStyle w:val="70"/>
                <w:rFonts w:hint="eastAsia" w:cs="Times New Roman"/>
                <w:color w:val="auto"/>
                <w:sz w:val="21"/>
                <w:szCs w:val="21"/>
                <w:highlight w:val="none"/>
                <w:u w:val="none" w:color="auto"/>
                <w:lang w:eastAsia="zh-CN"/>
              </w:rPr>
              <w:t>（室内声源）</w:t>
            </w:r>
          </w:p>
          <w:tbl>
            <w:tblPr>
              <w:tblStyle w:val="42"/>
              <w:tblW w:w="4993"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73"/>
              <w:gridCol w:w="373"/>
              <w:gridCol w:w="627"/>
              <w:gridCol w:w="414"/>
              <w:gridCol w:w="760"/>
              <w:gridCol w:w="719"/>
              <w:gridCol w:w="1219"/>
              <w:gridCol w:w="587"/>
              <w:gridCol w:w="638"/>
              <w:gridCol w:w="545"/>
              <w:gridCol w:w="668"/>
              <w:gridCol w:w="668"/>
              <w:gridCol w:w="375"/>
            </w:tblGrid>
            <w:tr w14:paraId="404268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04" w:hRule="atLeast"/>
                <w:tblHeader/>
                <w:jc w:val="center"/>
              </w:trPr>
              <w:tc>
                <w:tcPr>
                  <w:tcW w:w="234" w:type="pct"/>
                  <w:vMerge w:val="restart"/>
                  <w:tcBorders>
                    <w:tl2br w:val="nil"/>
                    <w:tr2bl w:val="nil"/>
                  </w:tcBorders>
                  <w:vAlign w:val="center"/>
                </w:tcPr>
                <w:p w14:paraId="60122651">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r>
                    <w:rPr>
                      <w:rFonts w:hint="default" w:ascii="Times New Roman" w:hAnsi="Times New Roman" w:eastAsia="宋体" w:cs="Times New Roman"/>
                      <w:color w:val="auto"/>
                      <w:sz w:val="18"/>
                      <w:szCs w:val="18"/>
                      <w:highlight w:val="none"/>
                      <w:u w:val="none" w:color="auto"/>
                    </w:rPr>
                    <w:t>序号</w:t>
                  </w:r>
                </w:p>
              </w:tc>
              <w:tc>
                <w:tcPr>
                  <w:tcW w:w="234" w:type="pct"/>
                  <w:vMerge w:val="restart"/>
                  <w:tcBorders>
                    <w:tl2br w:val="nil"/>
                    <w:tr2bl w:val="nil"/>
                  </w:tcBorders>
                  <w:vAlign w:val="center"/>
                </w:tcPr>
                <w:p w14:paraId="3281176F">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r>
                    <w:rPr>
                      <w:rFonts w:hint="default" w:ascii="Times New Roman" w:hAnsi="Times New Roman" w:eastAsia="宋体" w:cs="Times New Roman"/>
                      <w:color w:val="auto"/>
                      <w:sz w:val="18"/>
                      <w:szCs w:val="18"/>
                      <w:highlight w:val="none"/>
                      <w:u w:val="none" w:color="auto"/>
                    </w:rPr>
                    <w:t>建筑物名称</w:t>
                  </w:r>
                </w:p>
                <w:p w14:paraId="2BAE6761">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393" w:type="pct"/>
                  <w:vMerge w:val="restart"/>
                  <w:tcBorders>
                    <w:tl2br w:val="nil"/>
                    <w:tr2bl w:val="nil"/>
                  </w:tcBorders>
                  <w:vAlign w:val="center"/>
                </w:tcPr>
                <w:p w14:paraId="3F034FB8">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r>
                    <w:rPr>
                      <w:rFonts w:hint="default" w:ascii="Times New Roman" w:hAnsi="Times New Roman" w:eastAsia="宋体" w:cs="Times New Roman"/>
                      <w:color w:val="auto"/>
                      <w:sz w:val="18"/>
                      <w:szCs w:val="18"/>
                      <w:highlight w:val="none"/>
                      <w:u w:val="none" w:color="auto"/>
                    </w:rPr>
                    <w:t>声源名称</w:t>
                  </w:r>
                </w:p>
              </w:tc>
              <w:tc>
                <w:tcPr>
                  <w:tcW w:w="259" w:type="pct"/>
                  <w:vMerge w:val="restart"/>
                  <w:tcBorders>
                    <w:tl2br w:val="nil"/>
                    <w:tr2bl w:val="nil"/>
                  </w:tcBorders>
                  <w:vAlign w:val="center"/>
                </w:tcPr>
                <w:p w14:paraId="1D3D267E">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r>
                    <w:rPr>
                      <w:rFonts w:hint="default" w:ascii="Times New Roman" w:hAnsi="Times New Roman" w:eastAsia="宋体" w:cs="Times New Roman"/>
                      <w:color w:val="auto"/>
                      <w:sz w:val="18"/>
                      <w:szCs w:val="18"/>
                      <w:highlight w:val="none"/>
                      <w:u w:val="none" w:color="auto"/>
                    </w:rPr>
                    <w:t>数量（台/套）</w:t>
                  </w:r>
                </w:p>
              </w:tc>
              <w:tc>
                <w:tcPr>
                  <w:tcW w:w="477" w:type="pct"/>
                  <w:vMerge w:val="restart"/>
                  <w:tcBorders>
                    <w:tl2br w:val="nil"/>
                    <w:tr2bl w:val="nil"/>
                  </w:tcBorders>
                  <w:vAlign w:val="center"/>
                </w:tcPr>
                <w:p w14:paraId="03975B59">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r>
                    <w:rPr>
                      <w:rFonts w:hint="default" w:ascii="Times New Roman" w:hAnsi="Times New Roman" w:eastAsia="宋体" w:cs="Times New Roman"/>
                      <w:color w:val="auto"/>
                      <w:sz w:val="18"/>
                      <w:szCs w:val="18"/>
                      <w:highlight w:val="none"/>
                      <w:u w:val="none" w:color="auto"/>
                    </w:rPr>
                    <w:t>声级源强dB(A)/1m</w:t>
                  </w:r>
                </w:p>
              </w:tc>
              <w:tc>
                <w:tcPr>
                  <w:tcW w:w="451" w:type="pct"/>
                  <w:vMerge w:val="restart"/>
                  <w:tcBorders>
                    <w:tl2br w:val="nil"/>
                    <w:tr2bl w:val="nil"/>
                  </w:tcBorders>
                  <w:vAlign w:val="center"/>
                </w:tcPr>
                <w:p w14:paraId="6FA53989">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r>
                    <w:rPr>
                      <w:rFonts w:hint="default" w:ascii="Times New Roman" w:hAnsi="Times New Roman" w:eastAsia="宋体" w:cs="Times New Roman"/>
                      <w:color w:val="auto"/>
                      <w:sz w:val="18"/>
                      <w:szCs w:val="18"/>
                      <w:highlight w:val="none"/>
                      <w:u w:val="none" w:color="auto"/>
                    </w:rPr>
                    <w:t>声源控制措施</w:t>
                  </w:r>
                </w:p>
              </w:tc>
              <w:tc>
                <w:tcPr>
                  <w:tcW w:w="765" w:type="pct"/>
                  <w:tcBorders>
                    <w:tl2br w:val="nil"/>
                    <w:tr2bl w:val="nil"/>
                  </w:tcBorders>
                  <w:vAlign w:val="center"/>
                </w:tcPr>
                <w:p w14:paraId="69F3AEFE">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r>
                    <w:rPr>
                      <w:rFonts w:hint="default" w:ascii="Times New Roman" w:hAnsi="Times New Roman" w:eastAsia="宋体" w:cs="Times New Roman"/>
                      <w:color w:val="auto"/>
                      <w:sz w:val="18"/>
                      <w:szCs w:val="18"/>
                      <w:highlight w:val="none"/>
                      <w:u w:val="none" w:color="auto"/>
                    </w:rPr>
                    <w:t>空间相对中心位置/m</w:t>
                  </w:r>
                </w:p>
              </w:tc>
              <w:tc>
                <w:tcPr>
                  <w:tcW w:w="368" w:type="pct"/>
                  <w:vMerge w:val="restart"/>
                  <w:tcBorders>
                    <w:tl2br w:val="nil"/>
                    <w:tr2bl w:val="nil"/>
                  </w:tcBorders>
                  <w:vAlign w:val="center"/>
                </w:tcPr>
                <w:p w14:paraId="5EC909B2">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lang w:eastAsia="zh-CN"/>
                    </w:rPr>
                  </w:pPr>
                  <w:r>
                    <w:rPr>
                      <w:rFonts w:hint="default" w:ascii="Times New Roman" w:hAnsi="Times New Roman" w:eastAsia="宋体" w:cs="Times New Roman"/>
                      <w:color w:val="auto"/>
                      <w:sz w:val="18"/>
                      <w:szCs w:val="18"/>
                      <w:highlight w:val="none"/>
                      <w:u w:val="none" w:color="auto"/>
                    </w:rPr>
                    <w:t>距室内边界距离</w:t>
                  </w:r>
                  <w:r>
                    <w:rPr>
                      <w:rFonts w:hint="default" w:ascii="Times New Roman" w:hAnsi="Times New Roman" w:eastAsia="宋体" w:cs="Times New Roman"/>
                      <w:color w:val="auto"/>
                      <w:sz w:val="18"/>
                      <w:szCs w:val="18"/>
                      <w:highlight w:val="none"/>
                      <w:u w:val="none" w:color="auto"/>
                      <w:lang w:eastAsia="zh-CN"/>
                    </w:rPr>
                    <w:t>（</w:t>
                  </w:r>
                  <w:r>
                    <w:rPr>
                      <w:rFonts w:hint="default" w:ascii="Times New Roman" w:hAnsi="Times New Roman" w:eastAsia="宋体" w:cs="Times New Roman"/>
                      <w:color w:val="auto"/>
                      <w:sz w:val="18"/>
                      <w:szCs w:val="18"/>
                      <w:highlight w:val="none"/>
                      <w:u w:val="none" w:color="auto"/>
                      <w:lang w:val="en-US" w:eastAsia="zh-CN"/>
                    </w:rPr>
                    <w:t>东,南,西,北</w:t>
                  </w:r>
                  <w:r>
                    <w:rPr>
                      <w:rFonts w:hint="default" w:ascii="Times New Roman" w:hAnsi="Times New Roman" w:eastAsia="宋体" w:cs="Times New Roman"/>
                      <w:color w:val="auto"/>
                      <w:sz w:val="18"/>
                      <w:szCs w:val="18"/>
                      <w:highlight w:val="none"/>
                      <w:u w:val="none" w:color="auto"/>
                      <w:lang w:eastAsia="zh-CN"/>
                    </w:rPr>
                    <w:t>）</w:t>
                  </w:r>
                </w:p>
              </w:tc>
              <w:tc>
                <w:tcPr>
                  <w:tcW w:w="400" w:type="pct"/>
                  <w:vMerge w:val="restart"/>
                  <w:tcBorders>
                    <w:tl2br w:val="nil"/>
                    <w:tr2bl w:val="nil"/>
                  </w:tcBorders>
                  <w:vAlign w:val="center"/>
                </w:tcPr>
                <w:p w14:paraId="47501308">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r>
                    <w:rPr>
                      <w:rFonts w:hint="default" w:ascii="Times New Roman" w:hAnsi="Times New Roman" w:eastAsia="宋体" w:cs="Times New Roman"/>
                      <w:color w:val="auto"/>
                      <w:sz w:val="18"/>
                      <w:szCs w:val="18"/>
                      <w:highlight w:val="none"/>
                      <w:u w:val="none" w:color="auto"/>
                    </w:rPr>
                    <w:t>室内边界声级dB(A)</w:t>
                  </w:r>
                  <w:r>
                    <w:rPr>
                      <w:rFonts w:hint="default" w:ascii="Times New Roman" w:hAnsi="Times New Roman" w:eastAsia="宋体" w:cs="Times New Roman"/>
                      <w:color w:val="auto"/>
                      <w:sz w:val="18"/>
                      <w:szCs w:val="18"/>
                      <w:highlight w:val="none"/>
                      <w:u w:val="none" w:color="auto"/>
                      <w:lang w:eastAsia="zh-CN"/>
                    </w:rPr>
                    <w:t>（</w:t>
                  </w:r>
                  <w:r>
                    <w:rPr>
                      <w:rFonts w:hint="default" w:ascii="Times New Roman" w:hAnsi="Times New Roman" w:eastAsia="宋体" w:cs="Times New Roman"/>
                      <w:color w:val="auto"/>
                      <w:sz w:val="18"/>
                      <w:szCs w:val="18"/>
                      <w:highlight w:val="none"/>
                      <w:u w:val="none" w:color="auto"/>
                      <w:lang w:val="en-US" w:eastAsia="zh-CN"/>
                    </w:rPr>
                    <w:t>东,南,西,北</w:t>
                  </w:r>
                  <w:r>
                    <w:rPr>
                      <w:rFonts w:hint="default" w:ascii="Times New Roman" w:hAnsi="Times New Roman" w:eastAsia="宋体" w:cs="Times New Roman"/>
                      <w:color w:val="auto"/>
                      <w:sz w:val="18"/>
                      <w:szCs w:val="18"/>
                      <w:highlight w:val="none"/>
                      <w:u w:val="none" w:color="auto"/>
                      <w:lang w:eastAsia="zh-CN"/>
                    </w:rPr>
                    <w:t>）</w:t>
                  </w:r>
                </w:p>
              </w:tc>
              <w:tc>
                <w:tcPr>
                  <w:tcW w:w="342" w:type="pct"/>
                  <w:vMerge w:val="restart"/>
                  <w:tcBorders>
                    <w:tl2br w:val="nil"/>
                    <w:tr2bl w:val="nil"/>
                  </w:tcBorders>
                  <w:vAlign w:val="center"/>
                </w:tcPr>
                <w:p w14:paraId="3403A5F4">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r>
                    <w:rPr>
                      <w:rFonts w:hint="default" w:ascii="Times New Roman" w:hAnsi="Times New Roman" w:eastAsia="宋体" w:cs="Times New Roman"/>
                      <w:color w:val="auto"/>
                      <w:sz w:val="18"/>
                      <w:szCs w:val="18"/>
                      <w:highlight w:val="none"/>
                      <w:u w:val="none" w:color="auto"/>
                    </w:rPr>
                    <w:t>运行时段</w:t>
                  </w:r>
                </w:p>
                <w:p w14:paraId="222A9DF9">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p w14:paraId="556A9E08">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419" w:type="pct"/>
                  <w:vMerge w:val="restart"/>
                  <w:tcBorders>
                    <w:tl2br w:val="nil"/>
                    <w:tr2bl w:val="nil"/>
                  </w:tcBorders>
                  <w:vAlign w:val="center"/>
                </w:tcPr>
                <w:p w14:paraId="543BC4C5">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r>
                    <w:rPr>
                      <w:rFonts w:hint="default" w:ascii="Times New Roman" w:hAnsi="Times New Roman" w:eastAsia="宋体" w:cs="Times New Roman"/>
                      <w:color w:val="auto"/>
                      <w:sz w:val="18"/>
                      <w:szCs w:val="18"/>
                      <w:highlight w:val="none"/>
                      <w:u w:val="none" w:color="auto"/>
                    </w:rPr>
                    <w:t>建筑物插入损失/ dB（A）</w:t>
                  </w:r>
                </w:p>
              </w:tc>
              <w:tc>
                <w:tcPr>
                  <w:tcW w:w="654" w:type="pct"/>
                  <w:gridSpan w:val="2"/>
                  <w:tcBorders>
                    <w:tl2br w:val="nil"/>
                    <w:tr2bl w:val="nil"/>
                  </w:tcBorders>
                  <w:vAlign w:val="center"/>
                </w:tcPr>
                <w:p w14:paraId="2F1BC043">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r>
                    <w:rPr>
                      <w:rFonts w:hint="default" w:ascii="Times New Roman" w:hAnsi="Times New Roman" w:eastAsia="宋体" w:cs="Times New Roman"/>
                      <w:color w:val="auto"/>
                      <w:sz w:val="18"/>
                      <w:szCs w:val="18"/>
                      <w:highlight w:val="none"/>
                      <w:u w:val="none" w:color="auto"/>
                    </w:rPr>
                    <w:t>建筑物外噪声</w:t>
                  </w:r>
                </w:p>
              </w:tc>
            </w:tr>
            <w:tr w14:paraId="4D996F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13" w:hRule="atLeast"/>
                <w:tblHeader/>
                <w:jc w:val="center"/>
              </w:trPr>
              <w:tc>
                <w:tcPr>
                  <w:tcW w:w="234" w:type="pct"/>
                  <w:vMerge w:val="continue"/>
                  <w:tcBorders>
                    <w:tl2br w:val="nil"/>
                    <w:tr2bl w:val="nil"/>
                  </w:tcBorders>
                  <w:vAlign w:val="center"/>
                </w:tcPr>
                <w:p w14:paraId="5413E342">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234" w:type="pct"/>
                  <w:vMerge w:val="continue"/>
                  <w:tcBorders>
                    <w:tl2br w:val="nil"/>
                    <w:tr2bl w:val="nil"/>
                  </w:tcBorders>
                  <w:vAlign w:val="center"/>
                </w:tcPr>
                <w:p w14:paraId="13865167">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393" w:type="pct"/>
                  <w:vMerge w:val="continue"/>
                  <w:tcBorders>
                    <w:tl2br w:val="nil"/>
                    <w:tr2bl w:val="nil"/>
                  </w:tcBorders>
                  <w:vAlign w:val="center"/>
                </w:tcPr>
                <w:p w14:paraId="2E017025">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259" w:type="pct"/>
                  <w:vMerge w:val="continue"/>
                  <w:tcBorders>
                    <w:tl2br w:val="nil"/>
                    <w:tr2bl w:val="nil"/>
                  </w:tcBorders>
                  <w:vAlign w:val="center"/>
                </w:tcPr>
                <w:p w14:paraId="43D5416A">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477" w:type="pct"/>
                  <w:vMerge w:val="continue"/>
                  <w:tcBorders>
                    <w:tl2br w:val="nil"/>
                    <w:tr2bl w:val="nil"/>
                  </w:tcBorders>
                  <w:vAlign w:val="center"/>
                </w:tcPr>
                <w:p w14:paraId="0CC7AA1F">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451" w:type="pct"/>
                  <w:vMerge w:val="continue"/>
                  <w:tcBorders>
                    <w:tl2br w:val="nil"/>
                    <w:tr2bl w:val="nil"/>
                  </w:tcBorders>
                  <w:vAlign w:val="center"/>
                </w:tcPr>
                <w:p w14:paraId="42B22DD0">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765" w:type="pct"/>
                  <w:tcBorders>
                    <w:tl2br w:val="nil"/>
                    <w:tr2bl w:val="nil"/>
                  </w:tcBorders>
                  <w:vAlign w:val="center"/>
                </w:tcPr>
                <w:p w14:paraId="53CAB0DB">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r>
                    <w:rPr>
                      <w:rFonts w:hint="default" w:ascii="Times New Roman" w:hAnsi="Times New Roman" w:eastAsia="宋体" w:cs="Times New Roman"/>
                      <w:color w:val="auto"/>
                      <w:sz w:val="18"/>
                      <w:szCs w:val="18"/>
                      <w:highlight w:val="none"/>
                      <w:u w:val="none" w:color="auto"/>
                    </w:rPr>
                    <w:t>X,Y,Z</w:t>
                  </w:r>
                </w:p>
              </w:tc>
              <w:tc>
                <w:tcPr>
                  <w:tcW w:w="368" w:type="pct"/>
                  <w:vMerge w:val="continue"/>
                  <w:tcBorders>
                    <w:tl2br w:val="nil"/>
                    <w:tr2bl w:val="nil"/>
                  </w:tcBorders>
                  <w:vAlign w:val="center"/>
                </w:tcPr>
                <w:p w14:paraId="414E024A">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400" w:type="pct"/>
                  <w:vMerge w:val="continue"/>
                  <w:tcBorders>
                    <w:tl2br w:val="nil"/>
                    <w:tr2bl w:val="nil"/>
                  </w:tcBorders>
                  <w:vAlign w:val="center"/>
                </w:tcPr>
                <w:p w14:paraId="503A5681">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342" w:type="pct"/>
                  <w:vMerge w:val="continue"/>
                  <w:tcBorders>
                    <w:tl2br w:val="nil"/>
                    <w:tr2bl w:val="nil"/>
                  </w:tcBorders>
                  <w:vAlign w:val="center"/>
                </w:tcPr>
                <w:p w14:paraId="277E214D">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419" w:type="pct"/>
                  <w:vMerge w:val="continue"/>
                  <w:tcBorders>
                    <w:tl2br w:val="nil"/>
                    <w:tr2bl w:val="nil"/>
                  </w:tcBorders>
                  <w:vAlign w:val="center"/>
                </w:tcPr>
                <w:p w14:paraId="7A54BE11">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419" w:type="pct"/>
                  <w:tcBorders>
                    <w:tl2br w:val="nil"/>
                    <w:tr2bl w:val="nil"/>
                  </w:tcBorders>
                  <w:vAlign w:val="center"/>
                </w:tcPr>
                <w:p w14:paraId="0ECB9800">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r>
                    <w:rPr>
                      <w:rFonts w:hint="default" w:ascii="Times New Roman" w:hAnsi="Times New Roman" w:eastAsia="宋体" w:cs="Times New Roman"/>
                      <w:color w:val="auto"/>
                      <w:sz w:val="18"/>
                      <w:szCs w:val="18"/>
                      <w:highlight w:val="none"/>
                      <w:u w:val="none" w:color="auto"/>
                    </w:rPr>
                    <w:t>声压级/ dB（A）</w:t>
                  </w:r>
                  <w:r>
                    <w:rPr>
                      <w:rFonts w:hint="default" w:ascii="Times New Roman" w:hAnsi="Times New Roman" w:eastAsia="宋体" w:cs="Times New Roman"/>
                      <w:color w:val="auto"/>
                      <w:sz w:val="18"/>
                      <w:szCs w:val="18"/>
                      <w:highlight w:val="none"/>
                      <w:u w:val="none" w:color="auto"/>
                      <w:lang w:eastAsia="zh-CN"/>
                    </w:rPr>
                    <w:t>（</w:t>
                  </w:r>
                  <w:r>
                    <w:rPr>
                      <w:rFonts w:hint="default" w:ascii="Times New Roman" w:hAnsi="Times New Roman" w:eastAsia="宋体" w:cs="Times New Roman"/>
                      <w:color w:val="auto"/>
                      <w:sz w:val="18"/>
                      <w:szCs w:val="18"/>
                      <w:highlight w:val="none"/>
                      <w:u w:val="none" w:color="auto"/>
                      <w:lang w:val="en-US" w:eastAsia="zh-CN"/>
                    </w:rPr>
                    <w:t>东,南,西,北</w:t>
                  </w:r>
                  <w:r>
                    <w:rPr>
                      <w:rFonts w:hint="default" w:ascii="Times New Roman" w:hAnsi="Times New Roman" w:eastAsia="宋体" w:cs="Times New Roman"/>
                      <w:color w:val="auto"/>
                      <w:sz w:val="18"/>
                      <w:szCs w:val="18"/>
                      <w:highlight w:val="none"/>
                      <w:u w:val="none" w:color="auto"/>
                      <w:lang w:eastAsia="zh-CN"/>
                    </w:rPr>
                    <w:t>）</w:t>
                  </w:r>
                </w:p>
              </w:tc>
              <w:tc>
                <w:tcPr>
                  <w:tcW w:w="235" w:type="pct"/>
                  <w:tcBorders>
                    <w:tl2br w:val="nil"/>
                    <w:tr2bl w:val="nil"/>
                  </w:tcBorders>
                  <w:vAlign w:val="center"/>
                </w:tcPr>
                <w:p w14:paraId="6E3C3FC2">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r>
                    <w:rPr>
                      <w:rFonts w:hint="default" w:ascii="Times New Roman" w:hAnsi="Times New Roman" w:eastAsia="宋体" w:cs="Times New Roman"/>
                      <w:color w:val="auto"/>
                      <w:sz w:val="18"/>
                      <w:szCs w:val="18"/>
                      <w:highlight w:val="none"/>
                      <w:u w:val="none" w:color="auto"/>
                    </w:rPr>
                    <w:t>建筑物外距离</w:t>
                  </w:r>
                </w:p>
              </w:tc>
            </w:tr>
            <w:tr w14:paraId="717617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4" w:type="pct"/>
                  <w:vMerge w:val="restart"/>
                  <w:tcBorders>
                    <w:tl2br w:val="nil"/>
                    <w:tr2bl w:val="nil"/>
                  </w:tcBorders>
                  <w:vAlign w:val="center"/>
                </w:tcPr>
                <w:p w14:paraId="4368AD8B">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r>
                    <w:rPr>
                      <w:rFonts w:hint="default" w:ascii="Times New Roman" w:hAnsi="Times New Roman" w:eastAsia="宋体" w:cs="Times New Roman"/>
                      <w:color w:val="auto"/>
                      <w:sz w:val="18"/>
                      <w:szCs w:val="18"/>
                      <w:highlight w:val="none"/>
                      <w:u w:val="none" w:color="auto"/>
                    </w:rPr>
                    <w:t>1</w:t>
                  </w:r>
                </w:p>
              </w:tc>
              <w:tc>
                <w:tcPr>
                  <w:tcW w:w="234" w:type="pct"/>
                  <w:vMerge w:val="restart"/>
                  <w:tcBorders>
                    <w:tl2br w:val="nil"/>
                    <w:tr2bl w:val="nil"/>
                  </w:tcBorders>
                  <w:vAlign w:val="center"/>
                </w:tcPr>
                <w:p w14:paraId="3C6C0A09">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lang w:val="en-US" w:eastAsia="zh-CN"/>
                    </w:rPr>
                  </w:pPr>
                  <w:r>
                    <w:rPr>
                      <w:rFonts w:hint="eastAsia" w:ascii="Times New Roman" w:hAnsi="Times New Roman" w:cs="Times New Roman"/>
                      <w:color w:val="auto"/>
                      <w:sz w:val="18"/>
                      <w:szCs w:val="18"/>
                      <w:highlight w:val="none"/>
                      <w:u w:val="none" w:color="auto"/>
                      <w:lang w:val="en-US" w:eastAsia="zh-CN"/>
                    </w:rPr>
                    <w:t>肉制品生产车间</w:t>
                  </w:r>
                </w:p>
              </w:tc>
              <w:tc>
                <w:tcPr>
                  <w:tcW w:w="393" w:type="pct"/>
                  <w:vMerge w:val="restart"/>
                  <w:tcBorders>
                    <w:tl2br w:val="nil"/>
                    <w:tr2bl w:val="nil"/>
                  </w:tcBorders>
                  <w:vAlign w:val="center"/>
                </w:tcPr>
                <w:p w14:paraId="12F78AEC">
                  <w:pPr>
                    <w:jc w:val="center"/>
                    <w:rPr>
                      <w:rFonts w:hint="default" w:ascii="Times New Roman" w:hAnsi="Times New Roman" w:eastAsia="宋体" w:cs="Times New Roman"/>
                      <w:color w:val="auto"/>
                      <w:kern w:val="2"/>
                      <w:sz w:val="18"/>
                      <w:szCs w:val="18"/>
                      <w:highlight w:val="none"/>
                      <w:u w:val="none" w:color="auto"/>
                      <w:lang w:val="en-US" w:eastAsia="zh-CN" w:bidi="ar-SA"/>
                    </w:rPr>
                  </w:pPr>
                  <w:r>
                    <w:rPr>
                      <w:rFonts w:hint="eastAsia" w:cs="Times New Roman"/>
                      <w:color w:val="auto"/>
                      <w:kern w:val="2"/>
                      <w:sz w:val="18"/>
                      <w:szCs w:val="18"/>
                      <w:highlight w:val="none"/>
                      <w:u w:val="none" w:color="auto"/>
                      <w:lang w:val="en-US" w:eastAsia="zh-CN" w:bidi="ar-SA"/>
                    </w:rPr>
                    <w:t>绞肉机</w:t>
                  </w:r>
                </w:p>
              </w:tc>
              <w:tc>
                <w:tcPr>
                  <w:tcW w:w="259" w:type="pct"/>
                  <w:vMerge w:val="restart"/>
                  <w:tcBorders>
                    <w:tl2br w:val="nil"/>
                    <w:tr2bl w:val="nil"/>
                  </w:tcBorders>
                  <w:vAlign w:val="center"/>
                </w:tcPr>
                <w:p w14:paraId="4AD42F0C">
                  <w:pPr>
                    <w:pStyle w:val="94"/>
                    <w:spacing w:beforeLines="0" w:afterLines="0" w:line="240" w:lineRule="auto"/>
                    <w:jc w:val="center"/>
                    <w:rPr>
                      <w:rFonts w:hint="default" w:ascii="Times New Roman" w:hAnsi="Times New Roman" w:eastAsia="宋体" w:cs="Times New Roman"/>
                      <w:color w:val="auto"/>
                      <w:kern w:val="0"/>
                      <w:sz w:val="18"/>
                      <w:szCs w:val="18"/>
                      <w:highlight w:val="none"/>
                      <w:u w:val="none" w:color="auto"/>
                      <w:lang w:val="en-US" w:eastAsia="zh-CN" w:bidi="ar-SA"/>
                    </w:rPr>
                  </w:pPr>
                  <w:r>
                    <w:rPr>
                      <w:rFonts w:hint="default" w:ascii="Times New Roman" w:hAnsi="Times New Roman" w:eastAsia="宋体" w:cs="Times New Roman"/>
                      <w:color w:val="auto"/>
                      <w:sz w:val="18"/>
                      <w:szCs w:val="18"/>
                      <w:highlight w:val="none"/>
                      <w:u w:val="none" w:color="auto"/>
                      <w:lang w:val="en-US" w:eastAsia="zh-CN"/>
                    </w:rPr>
                    <w:t>1</w:t>
                  </w:r>
                </w:p>
              </w:tc>
              <w:tc>
                <w:tcPr>
                  <w:tcW w:w="477" w:type="pct"/>
                  <w:vMerge w:val="restart"/>
                  <w:tcBorders>
                    <w:tl2br w:val="nil"/>
                    <w:tr2bl w:val="nil"/>
                  </w:tcBorders>
                  <w:vAlign w:val="center"/>
                </w:tcPr>
                <w:p w14:paraId="238B442E">
                  <w:pPr>
                    <w:pStyle w:val="94"/>
                    <w:spacing w:before="24" w:after="24"/>
                    <w:jc w:val="center"/>
                    <w:rPr>
                      <w:rFonts w:hint="default" w:ascii="Times New Roman" w:hAnsi="Times New Roman" w:eastAsia="宋体" w:cs="Times New Roman"/>
                      <w:b w:val="0"/>
                      <w:bCs w:val="0"/>
                      <w:color w:val="auto"/>
                      <w:kern w:val="2"/>
                      <w:sz w:val="18"/>
                      <w:szCs w:val="18"/>
                      <w:highlight w:val="none"/>
                      <w:u w:val="none" w:color="auto"/>
                      <w:lang w:val="en-US" w:eastAsia="zh-CN" w:bidi="ar-SA"/>
                    </w:rPr>
                  </w:pPr>
                  <w:r>
                    <w:rPr>
                      <w:rFonts w:hint="default" w:ascii="Times New Roman" w:hAnsi="Times New Roman" w:eastAsia="宋体" w:cs="Times New Roman"/>
                      <w:color w:val="auto"/>
                      <w:sz w:val="18"/>
                      <w:szCs w:val="18"/>
                      <w:highlight w:val="none"/>
                      <w:u w:val="none" w:color="auto"/>
                      <w:lang w:val="en-US" w:eastAsia="zh-CN"/>
                    </w:rPr>
                    <w:t>90</w:t>
                  </w:r>
                </w:p>
              </w:tc>
              <w:tc>
                <w:tcPr>
                  <w:tcW w:w="451" w:type="pct"/>
                  <w:vMerge w:val="restart"/>
                  <w:tcBorders>
                    <w:tl2br w:val="nil"/>
                    <w:tr2bl w:val="nil"/>
                  </w:tcBorders>
                  <w:vAlign w:val="center"/>
                </w:tcPr>
                <w:p w14:paraId="1DCF762A">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lang w:val="en-US" w:eastAsia="zh-CN"/>
                    </w:rPr>
                  </w:pPr>
                  <w:r>
                    <w:rPr>
                      <w:rFonts w:hint="default" w:ascii="Times New Roman" w:hAnsi="Times New Roman" w:eastAsia="宋体" w:cs="Times New Roman"/>
                      <w:color w:val="auto"/>
                      <w:sz w:val="18"/>
                      <w:szCs w:val="18"/>
                      <w:highlight w:val="none"/>
                      <w:u w:val="none" w:color="auto"/>
                      <w:lang w:val="en-US" w:eastAsia="zh-CN"/>
                    </w:rPr>
                    <w:t>减振、厂房隔声</w:t>
                  </w:r>
                </w:p>
              </w:tc>
              <w:tc>
                <w:tcPr>
                  <w:tcW w:w="765" w:type="pct"/>
                  <w:vMerge w:val="restart"/>
                  <w:tcBorders>
                    <w:tl2br w:val="nil"/>
                    <w:tr2bl w:val="nil"/>
                  </w:tcBorders>
                  <w:vAlign w:val="center"/>
                </w:tcPr>
                <w:p w14:paraId="5E78ACD2">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lang w:val="en-US" w:eastAsia="zh-CN"/>
                    </w:rPr>
                  </w:pPr>
                  <w:r>
                    <w:rPr>
                      <w:rFonts w:hint="eastAsia" w:ascii="Times New Roman" w:hAnsi="Times New Roman" w:cs="Times New Roman"/>
                      <w:color w:val="auto"/>
                      <w:sz w:val="18"/>
                      <w:szCs w:val="18"/>
                      <w:highlight w:val="none"/>
                      <w:u w:val="none" w:color="auto"/>
                      <w:lang w:val="en-US" w:eastAsia="zh-CN"/>
                    </w:rPr>
                    <w:t>-11.7,37.4,1.2</w:t>
                  </w:r>
                </w:p>
              </w:tc>
              <w:tc>
                <w:tcPr>
                  <w:tcW w:w="368" w:type="pct"/>
                  <w:tcBorders>
                    <w:tl2br w:val="nil"/>
                    <w:tr2bl w:val="nil"/>
                  </w:tcBorders>
                  <w:vAlign w:val="center"/>
                </w:tcPr>
                <w:p w14:paraId="7678DDFB">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62.7</w:t>
                  </w:r>
                </w:p>
              </w:tc>
              <w:tc>
                <w:tcPr>
                  <w:tcW w:w="400" w:type="pct"/>
                  <w:tcBorders>
                    <w:tl2br w:val="nil"/>
                    <w:tr2bl w:val="nil"/>
                  </w:tcBorders>
                  <w:vAlign w:val="center"/>
                </w:tcPr>
                <w:p w14:paraId="0A172513">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73.6</w:t>
                  </w:r>
                </w:p>
              </w:tc>
              <w:tc>
                <w:tcPr>
                  <w:tcW w:w="342" w:type="pct"/>
                  <w:vMerge w:val="restart"/>
                  <w:tcBorders>
                    <w:tl2br w:val="nil"/>
                    <w:tr2bl w:val="nil"/>
                  </w:tcBorders>
                  <w:vAlign w:val="center"/>
                </w:tcPr>
                <w:p w14:paraId="69339565">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lang w:val="en-US" w:eastAsia="zh-CN"/>
                    </w:rPr>
                  </w:pPr>
                  <w:r>
                    <w:rPr>
                      <w:rFonts w:hint="eastAsia" w:ascii="Times New Roman" w:hAnsi="Times New Roman" w:cs="Times New Roman"/>
                      <w:color w:val="auto"/>
                      <w:sz w:val="18"/>
                      <w:szCs w:val="18"/>
                      <w:highlight w:val="none"/>
                      <w:u w:val="none" w:color="auto"/>
                      <w:lang w:val="en-US" w:eastAsia="zh-CN"/>
                    </w:rPr>
                    <w:t>9</w:t>
                  </w:r>
                  <w:r>
                    <w:rPr>
                      <w:rFonts w:hint="default" w:ascii="Times New Roman" w:hAnsi="Times New Roman" w:eastAsia="宋体" w:cs="Times New Roman"/>
                      <w:color w:val="auto"/>
                      <w:sz w:val="18"/>
                      <w:szCs w:val="18"/>
                      <w:highlight w:val="none"/>
                      <w:u w:val="none" w:color="auto"/>
                      <w:lang w:val="en-US" w:eastAsia="zh-CN"/>
                    </w:rPr>
                    <w:t>h</w:t>
                  </w:r>
                </w:p>
              </w:tc>
              <w:tc>
                <w:tcPr>
                  <w:tcW w:w="419" w:type="pct"/>
                  <w:tcBorders>
                    <w:tl2br w:val="nil"/>
                    <w:tr2bl w:val="nil"/>
                  </w:tcBorders>
                  <w:vAlign w:val="center"/>
                </w:tcPr>
                <w:p w14:paraId="1D78A6F6">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26</w:t>
                  </w:r>
                </w:p>
              </w:tc>
              <w:tc>
                <w:tcPr>
                  <w:tcW w:w="419" w:type="pct"/>
                  <w:tcBorders>
                    <w:tl2br w:val="nil"/>
                    <w:tr2bl w:val="nil"/>
                  </w:tcBorders>
                  <w:vAlign w:val="center"/>
                </w:tcPr>
                <w:p w14:paraId="600CD082">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47.6</w:t>
                  </w:r>
                </w:p>
              </w:tc>
              <w:tc>
                <w:tcPr>
                  <w:tcW w:w="235" w:type="pct"/>
                  <w:vMerge w:val="restart"/>
                  <w:tcBorders>
                    <w:tl2br w:val="nil"/>
                    <w:tr2bl w:val="nil"/>
                  </w:tcBorders>
                  <w:vAlign w:val="center"/>
                </w:tcPr>
                <w:p w14:paraId="4571BBAF">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r>
                    <w:rPr>
                      <w:rFonts w:hint="default" w:ascii="Times New Roman" w:hAnsi="Times New Roman" w:eastAsia="宋体" w:cs="Times New Roman"/>
                      <w:color w:val="auto"/>
                      <w:sz w:val="18"/>
                      <w:szCs w:val="18"/>
                      <w:highlight w:val="none"/>
                      <w:u w:val="none" w:color="auto"/>
                    </w:rPr>
                    <w:t>1</w:t>
                  </w:r>
                </w:p>
              </w:tc>
            </w:tr>
            <w:tr w14:paraId="42BFE9F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4" w:type="pct"/>
                  <w:vMerge w:val="continue"/>
                  <w:tcBorders>
                    <w:tl2br w:val="nil"/>
                    <w:tr2bl w:val="nil"/>
                  </w:tcBorders>
                  <w:vAlign w:val="center"/>
                </w:tcPr>
                <w:p w14:paraId="4E014DDA">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234" w:type="pct"/>
                  <w:vMerge w:val="continue"/>
                  <w:tcBorders>
                    <w:tl2br w:val="nil"/>
                    <w:tr2bl w:val="nil"/>
                  </w:tcBorders>
                  <w:vAlign w:val="center"/>
                </w:tcPr>
                <w:p w14:paraId="10554523">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lang w:val="en-US" w:eastAsia="zh-CN"/>
                    </w:rPr>
                  </w:pPr>
                </w:p>
              </w:tc>
              <w:tc>
                <w:tcPr>
                  <w:tcW w:w="393" w:type="pct"/>
                  <w:vMerge w:val="continue"/>
                  <w:tcBorders>
                    <w:tl2br w:val="nil"/>
                    <w:tr2bl w:val="nil"/>
                  </w:tcBorders>
                  <w:vAlign w:val="center"/>
                </w:tcPr>
                <w:p w14:paraId="7C9D8ED8">
                  <w:pPr>
                    <w:jc w:val="center"/>
                    <w:rPr>
                      <w:rFonts w:hint="default" w:ascii="Times New Roman" w:hAnsi="Times New Roman" w:eastAsia="宋体" w:cs="Times New Roman"/>
                      <w:color w:val="auto"/>
                      <w:sz w:val="18"/>
                      <w:szCs w:val="18"/>
                      <w:highlight w:val="none"/>
                      <w:u w:val="none" w:color="auto"/>
                    </w:rPr>
                  </w:pPr>
                </w:p>
              </w:tc>
              <w:tc>
                <w:tcPr>
                  <w:tcW w:w="259" w:type="pct"/>
                  <w:vMerge w:val="continue"/>
                  <w:tcBorders>
                    <w:tl2br w:val="nil"/>
                    <w:tr2bl w:val="nil"/>
                  </w:tcBorders>
                  <w:vAlign w:val="center"/>
                </w:tcPr>
                <w:p w14:paraId="00B30F6F">
                  <w:pPr>
                    <w:pStyle w:val="94"/>
                    <w:spacing w:beforeLines="0" w:afterLines="0" w:line="240" w:lineRule="auto"/>
                    <w:jc w:val="center"/>
                    <w:rPr>
                      <w:rFonts w:hint="default" w:ascii="Times New Roman" w:hAnsi="Times New Roman" w:eastAsia="宋体" w:cs="Times New Roman"/>
                      <w:color w:val="auto"/>
                      <w:sz w:val="18"/>
                      <w:szCs w:val="18"/>
                      <w:highlight w:val="none"/>
                      <w:u w:val="none" w:color="auto"/>
                    </w:rPr>
                  </w:pPr>
                </w:p>
              </w:tc>
              <w:tc>
                <w:tcPr>
                  <w:tcW w:w="477" w:type="pct"/>
                  <w:vMerge w:val="continue"/>
                  <w:tcBorders>
                    <w:tl2br w:val="nil"/>
                    <w:tr2bl w:val="nil"/>
                  </w:tcBorders>
                  <w:vAlign w:val="center"/>
                </w:tcPr>
                <w:p w14:paraId="09D242EA">
                  <w:pPr>
                    <w:pStyle w:val="94"/>
                    <w:spacing w:before="24" w:after="24"/>
                    <w:jc w:val="center"/>
                    <w:rPr>
                      <w:rFonts w:hint="default" w:ascii="Times New Roman" w:hAnsi="Times New Roman" w:eastAsia="宋体" w:cs="Times New Roman"/>
                      <w:color w:val="auto"/>
                      <w:sz w:val="18"/>
                      <w:szCs w:val="18"/>
                      <w:highlight w:val="none"/>
                      <w:u w:val="none" w:color="auto"/>
                    </w:rPr>
                  </w:pPr>
                </w:p>
              </w:tc>
              <w:tc>
                <w:tcPr>
                  <w:tcW w:w="451" w:type="pct"/>
                  <w:vMerge w:val="continue"/>
                  <w:tcBorders>
                    <w:tl2br w:val="nil"/>
                    <w:tr2bl w:val="nil"/>
                  </w:tcBorders>
                  <w:vAlign w:val="center"/>
                </w:tcPr>
                <w:p w14:paraId="099F788E">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765" w:type="pct"/>
                  <w:vMerge w:val="continue"/>
                  <w:tcBorders>
                    <w:tl2br w:val="nil"/>
                    <w:tr2bl w:val="nil"/>
                  </w:tcBorders>
                  <w:vAlign w:val="center"/>
                </w:tcPr>
                <w:p w14:paraId="56F884C9">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lang w:val="en-US" w:eastAsia="zh-CN"/>
                    </w:rPr>
                  </w:pPr>
                </w:p>
              </w:tc>
              <w:tc>
                <w:tcPr>
                  <w:tcW w:w="368" w:type="pct"/>
                  <w:tcBorders>
                    <w:tl2br w:val="nil"/>
                    <w:tr2bl w:val="nil"/>
                  </w:tcBorders>
                  <w:vAlign w:val="center"/>
                </w:tcPr>
                <w:p w14:paraId="524E2873">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48.2</w:t>
                  </w:r>
                </w:p>
              </w:tc>
              <w:tc>
                <w:tcPr>
                  <w:tcW w:w="400" w:type="pct"/>
                  <w:tcBorders>
                    <w:tl2br w:val="nil"/>
                    <w:tr2bl w:val="nil"/>
                  </w:tcBorders>
                  <w:vAlign w:val="center"/>
                </w:tcPr>
                <w:p w14:paraId="07BEE223">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73.6</w:t>
                  </w:r>
                </w:p>
              </w:tc>
              <w:tc>
                <w:tcPr>
                  <w:tcW w:w="342" w:type="pct"/>
                  <w:vMerge w:val="continue"/>
                  <w:tcBorders>
                    <w:tl2br w:val="nil"/>
                    <w:tr2bl w:val="nil"/>
                  </w:tcBorders>
                  <w:vAlign w:val="center"/>
                </w:tcPr>
                <w:p w14:paraId="0F097426">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419" w:type="pct"/>
                  <w:tcBorders>
                    <w:tl2br w:val="nil"/>
                    <w:tr2bl w:val="nil"/>
                  </w:tcBorders>
                  <w:vAlign w:val="center"/>
                </w:tcPr>
                <w:p w14:paraId="2DFD2E45">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16</w:t>
                  </w:r>
                </w:p>
              </w:tc>
              <w:tc>
                <w:tcPr>
                  <w:tcW w:w="419" w:type="pct"/>
                  <w:tcBorders>
                    <w:tl2br w:val="nil"/>
                    <w:tr2bl w:val="nil"/>
                  </w:tcBorders>
                  <w:vAlign w:val="center"/>
                </w:tcPr>
                <w:p w14:paraId="268FF2CC">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57.6</w:t>
                  </w:r>
                </w:p>
              </w:tc>
              <w:tc>
                <w:tcPr>
                  <w:tcW w:w="235" w:type="pct"/>
                  <w:vMerge w:val="continue"/>
                  <w:tcBorders>
                    <w:tl2br w:val="nil"/>
                    <w:tr2bl w:val="nil"/>
                  </w:tcBorders>
                  <w:vAlign w:val="center"/>
                </w:tcPr>
                <w:p w14:paraId="1A1A36CB">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r>
            <w:tr w14:paraId="1FB594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4" w:type="pct"/>
                  <w:vMerge w:val="continue"/>
                  <w:tcBorders>
                    <w:tl2br w:val="nil"/>
                    <w:tr2bl w:val="nil"/>
                  </w:tcBorders>
                  <w:vAlign w:val="center"/>
                </w:tcPr>
                <w:p w14:paraId="2C7CA066">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234" w:type="pct"/>
                  <w:vMerge w:val="continue"/>
                  <w:tcBorders>
                    <w:tl2br w:val="nil"/>
                    <w:tr2bl w:val="nil"/>
                  </w:tcBorders>
                  <w:vAlign w:val="center"/>
                </w:tcPr>
                <w:p w14:paraId="7A1DBA50">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lang w:val="en-US" w:eastAsia="zh-CN"/>
                    </w:rPr>
                  </w:pPr>
                </w:p>
              </w:tc>
              <w:tc>
                <w:tcPr>
                  <w:tcW w:w="393" w:type="pct"/>
                  <w:vMerge w:val="continue"/>
                  <w:tcBorders>
                    <w:tl2br w:val="nil"/>
                    <w:tr2bl w:val="nil"/>
                  </w:tcBorders>
                  <w:vAlign w:val="center"/>
                </w:tcPr>
                <w:p w14:paraId="37D3BEDD">
                  <w:pPr>
                    <w:jc w:val="center"/>
                    <w:rPr>
                      <w:rFonts w:hint="default" w:ascii="Times New Roman" w:hAnsi="Times New Roman" w:eastAsia="宋体" w:cs="Times New Roman"/>
                      <w:color w:val="auto"/>
                      <w:sz w:val="18"/>
                      <w:szCs w:val="18"/>
                      <w:highlight w:val="none"/>
                      <w:u w:val="none" w:color="auto"/>
                    </w:rPr>
                  </w:pPr>
                </w:p>
              </w:tc>
              <w:tc>
                <w:tcPr>
                  <w:tcW w:w="259" w:type="pct"/>
                  <w:vMerge w:val="continue"/>
                  <w:tcBorders>
                    <w:tl2br w:val="nil"/>
                    <w:tr2bl w:val="nil"/>
                  </w:tcBorders>
                  <w:vAlign w:val="center"/>
                </w:tcPr>
                <w:p w14:paraId="3A3E0DAC">
                  <w:pPr>
                    <w:pStyle w:val="94"/>
                    <w:spacing w:beforeLines="0" w:afterLines="0" w:line="240" w:lineRule="auto"/>
                    <w:jc w:val="center"/>
                    <w:rPr>
                      <w:rFonts w:hint="default" w:ascii="Times New Roman" w:hAnsi="Times New Roman" w:eastAsia="宋体" w:cs="Times New Roman"/>
                      <w:color w:val="auto"/>
                      <w:sz w:val="18"/>
                      <w:szCs w:val="18"/>
                      <w:highlight w:val="none"/>
                      <w:u w:val="none" w:color="auto"/>
                    </w:rPr>
                  </w:pPr>
                </w:p>
              </w:tc>
              <w:tc>
                <w:tcPr>
                  <w:tcW w:w="477" w:type="pct"/>
                  <w:vMerge w:val="continue"/>
                  <w:tcBorders>
                    <w:tl2br w:val="nil"/>
                    <w:tr2bl w:val="nil"/>
                  </w:tcBorders>
                  <w:vAlign w:val="center"/>
                </w:tcPr>
                <w:p w14:paraId="748AD361">
                  <w:pPr>
                    <w:pStyle w:val="94"/>
                    <w:spacing w:before="24" w:after="24"/>
                    <w:jc w:val="center"/>
                    <w:rPr>
                      <w:rFonts w:hint="default" w:ascii="Times New Roman" w:hAnsi="Times New Roman" w:eastAsia="宋体" w:cs="Times New Roman"/>
                      <w:color w:val="auto"/>
                      <w:sz w:val="18"/>
                      <w:szCs w:val="18"/>
                      <w:highlight w:val="none"/>
                      <w:u w:val="none" w:color="auto"/>
                    </w:rPr>
                  </w:pPr>
                </w:p>
              </w:tc>
              <w:tc>
                <w:tcPr>
                  <w:tcW w:w="451" w:type="pct"/>
                  <w:vMerge w:val="continue"/>
                  <w:tcBorders>
                    <w:tl2br w:val="nil"/>
                    <w:tr2bl w:val="nil"/>
                  </w:tcBorders>
                  <w:vAlign w:val="center"/>
                </w:tcPr>
                <w:p w14:paraId="0EF99113">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765" w:type="pct"/>
                  <w:vMerge w:val="continue"/>
                  <w:tcBorders>
                    <w:tl2br w:val="nil"/>
                    <w:tr2bl w:val="nil"/>
                  </w:tcBorders>
                  <w:vAlign w:val="center"/>
                </w:tcPr>
                <w:p w14:paraId="5E1EBA5E">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lang w:val="en-US" w:eastAsia="zh-CN"/>
                    </w:rPr>
                  </w:pPr>
                </w:p>
              </w:tc>
              <w:tc>
                <w:tcPr>
                  <w:tcW w:w="368" w:type="pct"/>
                  <w:tcBorders>
                    <w:tl2br w:val="nil"/>
                    <w:tr2bl w:val="nil"/>
                  </w:tcBorders>
                  <w:vAlign w:val="center"/>
                </w:tcPr>
                <w:p w14:paraId="76353D27">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28.6</w:t>
                  </w:r>
                </w:p>
              </w:tc>
              <w:tc>
                <w:tcPr>
                  <w:tcW w:w="400" w:type="pct"/>
                  <w:tcBorders>
                    <w:tl2br w:val="nil"/>
                    <w:tr2bl w:val="nil"/>
                  </w:tcBorders>
                  <w:vAlign w:val="center"/>
                </w:tcPr>
                <w:p w14:paraId="64DC6D55">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73.6</w:t>
                  </w:r>
                </w:p>
              </w:tc>
              <w:tc>
                <w:tcPr>
                  <w:tcW w:w="342" w:type="pct"/>
                  <w:vMerge w:val="continue"/>
                  <w:tcBorders>
                    <w:tl2br w:val="nil"/>
                    <w:tr2bl w:val="nil"/>
                  </w:tcBorders>
                  <w:vAlign w:val="center"/>
                </w:tcPr>
                <w:p w14:paraId="59244C12">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419" w:type="pct"/>
                  <w:tcBorders>
                    <w:tl2br w:val="nil"/>
                    <w:tr2bl w:val="nil"/>
                  </w:tcBorders>
                  <w:vAlign w:val="center"/>
                </w:tcPr>
                <w:p w14:paraId="793CF4F6">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26</w:t>
                  </w:r>
                </w:p>
              </w:tc>
              <w:tc>
                <w:tcPr>
                  <w:tcW w:w="419" w:type="pct"/>
                  <w:tcBorders>
                    <w:tl2br w:val="nil"/>
                    <w:tr2bl w:val="nil"/>
                  </w:tcBorders>
                  <w:vAlign w:val="center"/>
                </w:tcPr>
                <w:p w14:paraId="67EDDE7A">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47.6</w:t>
                  </w:r>
                </w:p>
              </w:tc>
              <w:tc>
                <w:tcPr>
                  <w:tcW w:w="235" w:type="pct"/>
                  <w:vMerge w:val="continue"/>
                  <w:tcBorders>
                    <w:tl2br w:val="nil"/>
                    <w:tr2bl w:val="nil"/>
                  </w:tcBorders>
                  <w:vAlign w:val="center"/>
                </w:tcPr>
                <w:p w14:paraId="5E11523D">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r>
            <w:tr w14:paraId="4A5CE1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4" w:type="pct"/>
                  <w:vMerge w:val="continue"/>
                  <w:tcBorders>
                    <w:tl2br w:val="nil"/>
                    <w:tr2bl w:val="nil"/>
                  </w:tcBorders>
                  <w:vAlign w:val="center"/>
                </w:tcPr>
                <w:p w14:paraId="5417F6A9">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234" w:type="pct"/>
                  <w:vMerge w:val="continue"/>
                  <w:tcBorders>
                    <w:tl2br w:val="nil"/>
                    <w:tr2bl w:val="nil"/>
                  </w:tcBorders>
                  <w:vAlign w:val="center"/>
                </w:tcPr>
                <w:p w14:paraId="4D230E14">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lang w:val="en-US" w:eastAsia="zh-CN"/>
                    </w:rPr>
                  </w:pPr>
                </w:p>
              </w:tc>
              <w:tc>
                <w:tcPr>
                  <w:tcW w:w="393" w:type="pct"/>
                  <w:vMerge w:val="continue"/>
                  <w:tcBorders>
                    <w:tl2br w:val="nil"/>
                    <w:tr2bl w:val="nil"/>
                  </w:tcBorders>
                  <w:vAlign w:val="center"/>
                </w:tcPr>
                <w:p w14:paraId="5858F1AE">
                  <w:pPr>
                    <w:jc w:val="center"/>
                    <w:rPr>
                      <w:rFonts w:hint="default" w:ascii="Times New Roman" w:hAnsi="Times New Roman" w:eastAsia="宋体" w:cs="Times New Roman"/>
                      <w:color w:val="auto"/>
                      <w:sz w:val="18"/>
                      <w:szCs w:val="18"/>
                      <w:highlight w:val="none"/>
                      <w:u w:val="none" w:color="auto"/>
                    </w:rPr>
                  </w:pPr>
                </w:p>
              </w:tc>
              <w:tc>
                <w:tcPr>
                  <w:tcW w:w="259" w:type="pct"/>
                  <w:vMerge w:val="continue"/>
                  <w:tcBorders>
                    <w:tl2br w:val="nil"/>
                    <w:tr2bl w:val="nil"/>
                  </w:tcBorders>
                  <w:vAlign w:val="center"/>
                </w:tcPr>
                <w:p w14:paraId="30598CB6">
                  <w:pPr>
                    <w:pStyle w:val="94"/>
                    <w:spacing w:beforeLines="0" w:afterLines="0" w:line="240" w:lineRule="auto"/>
                    <w:jc w:val="center"/>
                    <w:rPr>
                      <w:rFonts w:hint="default" w:ascii="Times New Roman" w:hAnsi="Times New Roman" w:eastAsia="宋体" w:cs="Times New Roman"/>
                      <w:color w:val="auto"/>
                      <w:sz w:val="18"/>
                      <w:szCs w:val="18"/>
                      <w:highlight w:val="none"/>
                      <w:u w:val="none" w:color="auto"/>
                    </w:rPr>
                  </w:pPr>
                </w:p>
              </w:tc>
              <w:tc>
                <w:tcPr>
                  <w:tcW w:w="477" w:type="pct"/>
                  <w:vMerge w:val="continue"/>
                  <w:tcBorders>
                    <w:tl2br w:val="nil"/>
                    <w:tr2bl w:val="nil"/>
                  </w:tcBorders>
                  <w:vAlign w:val="center"/>
                </w:tcPr>
                <w:p w14:paraId="5ACE5835">
                  <w:pPr>
                    <w:pStyle w:val="94"/>
                    <w:spacing w:before="24" w:after="24"/>
                    <w:jc w:val="center"/>
                    <w:rPr>
                      <w:rFonts w:hint="default" w:ascii="Times New Roman" w:hAnsi="Times New Roman" w:eastAsia="宋体" w:cs="Times New Roman"/>
                      <w:color w:val="auto"/>
                      <w:sz w:val="18"/>
                      <w:szCs w:val="18"/>
                      <w:highlight w:val="none"/>
                      <w:u w:val="none" w:color="auto"/>
                    </w:rPr>
                  </w:pPr>
                </w:p>
              </w:tc>
              <w:tc>
                <w:tcPr>
                  <w:tcW w:w="451" w:type="pct"/>
                  <w:vMerge w:val="continue"/>
                  <w:tcBorders>
                    <w:tl2br w:val="nil"/>
                    <w:tr2bl w:val="nil"/>
                  </w:tcBorders>
                  <w:vAlign w:val="center"/>
                </w:tcPr>
                <w:p w14:paraId="2710109A">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765" w:type="pct"/>
                  <w:vMerge w:val="continue"/>
                  <w:tcBorders>
                    <w:tl2br w:val="nil"/>
                    <w:tr2bl w:val="nil"/>
                  </w:tcBorders>
                  <w:vAlign w:val="center"/>
                </w:tcPr>
                <w:p w14:paraId="611C3512">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lang w:val="en-US" w:eastAsia="zh-CN"/>
                    </w:rPr>
                  </w:pPr>
                </w:p>
              </w:tc>
              <w:tc>
                <w:tcPr>
                  <w:tcW w:w="368" w:type="pct"/>
                  <w:tcBorders>
                    <w:tl2br w:val="nil"/>
                    <w:tr2bl w:val="nil"/>
                  </w:tcBorders>
                  <w:vAlign w:val="center"/>
                </w:tcPr>
                <w:p w14:paraId="369E64D7">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29.6</w:t>
                  </w:r>
                </w:p>
              </w:tc>
              <w:tc>
                <w:tcPr>
                  <w:tcW w:w="400" w:type="pct"/>
                  <w:tcBorders>
                    <w:tl2br w:val="nil"/>
                    <w:tr2bl w:val="nil"/>
                  </w:tcBorders>
                  <w:vAlign w:val="center"/>
                </w:tcPr>
                <w:p w14:paraId="3D08B64E">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73.6</w:t>
                  </w:r>
                </w:p>
              </w:tc>
              <w:tc>
                <w:tcPr>
                  <w:tcW w:w="342" w:type="pct"/>
                  <w:vMerge w:val="continue"/>
                  <w:tcBorders>
                    <w:tl2br w:val="nil"/>
                    <w:tr2bl w:val="nil"/>
                  </w:tcBorders>
                  <w:vAlign w:val="center"/>
                </w:tcPr>
                <w:p w14:paraId="63B754FD">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419" w:type="pct"/>
                  <w:tcBorders>
                    <w:tl2br w:val="nil"/>
                    <w:tr2bl w:val="nil"/>
                  </w:tcBorders>
                  <w:vAlign w:val="center"/>
                </w:tcPr>
                <w:p w14:paraId="392DC9F5">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16</w:t>
                  </w:r>
                </w:p>
              </w:tc>
              <w:tc>
                <w:tcPr>
                  <w:tcW w:w="419" w:type="pct"/>
                  <w:tcBorders>
                    <w:tl2br w:val="nil"/>
                    <w:tr2bl w:val="nil"/>
                  </w:tcBorders>
                  <w:vAlign w:val="center"/>
                </w:tcPr>
                <w:p w14:paraId="21BB57BA">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57.6</w:t>
                  </w:r>
                </w:p>
              </w:tc>
              <w:tc>
                <w:tcPr>
                  <w:tcW w:w="235" w:type="pct"/>
                  <w:vMerge w:val="continue"/>
                  <w:tcBorders>
                    <w:tl2br w:val="nil"/>
                    <w:tr2bl w:val="nil"/>
                  </w:tcBorders>
                  <w:vAlign w:val="center"/>
                </w:tcPr>
                <w:p w14:paraId="3662672D">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r>
            <w:tr w14:paraId="0A6D61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4" w:type="pct"/>
                  <w:vMerge w:val="restart"/>
                  <w:tcBorders>
                    <w:tl2br w:val="nil"/>
                    <w:tr2bl w:val="nil"/>
                  </w:tcBorders>
                  <w:vAlign w:val="center"/>
                </w:tcPr>
                <w:p w14:paraId="0D2917C5">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r>
                    <w:rPr>
                      <w:rFonts w:hint="default" w:ascii="Times New Roman" w:hAnsi="Times New Roman" w:eastAsia="宋体" w:cs="Times New Roman"/>
                      <w:color w:val="auto"/>
                      <w:sz w:val="18"/>
                      <w:szCs w:val="18"/>
                      <w:highlight w:val="none"/>
                      <w:u w:val="none" w:color="auto"/>
                    </w:rPr>
                    <w:t>2</w:t>
                  </w:r>
                </w:p>
              </w:tc>
              <w:tc>
                <w:tcPr>
                  <w:tcW w:w="234" w:type="pct"/>
                  <w:vMerge w:val="continue"/>
                  <w:tcBorders>
                    <w:tl2br w:val="nil"/>
                    <w:tr2bl w:val="nil"/>
                  </w:tcBorders>
                  <w:vAlign w:val="center"/>
                </w:tcPr>
                <w:p w14:paraId="29AC5A6A">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lang w:val="en-US" w:eastAsia="zh-CN"/>
                    </w:rPr>
                  </w:pPr>
                </w:p>
              </w:tc>
              <w:tc>
                <w:tcPr>
                  <w:tcW w:w="393" w:type="pct"/>
                  <w:vMerge w:val="restart"/>
                  <w:tcBorders>
                    <w:tl2br w:val="nil"/>
                    <w:tr2bl w:val="nil"/>
                  </w:tcBorders>
                  <w:vAlign w:val="center"/>
                </w:tcPr>
                <w:p w14:paraId="6442CC97">
                  <w:pPr>
                    <w:jc w:val="center"/>
                    <w:textAlignment w:val="center"/>
                    <w:rPr>
                      <w:rFonts w:hint="default" w:ascii="Times New Roman" w:hAnsi="Times New Roman" w:eastAsia="宋体" w:cs="Times New Roman"/>
                      <w:color w:val="auto"/>
                      <w:kern w:val="2"/>
                      <w:sz w:val="18"/>
                      <w:szCs w:val="18"/>
                      <w:highlight w:val="none"/>
                      <w:u w:val="none" w:color="auto"/>
                      <w:lang w:val="en-US" w:eastAsia="zh-CN" w:bidi="ar-SA"/>
                    </w:rPr>
                  </w:pPr>
                  <w:r>
                    <w:rPr>
                      <w:rFonts w:hint="eastAsia" w:cs="Times New Roman"/>
                      <w:color w:val="auto"/>
                      <w:sz w:val="18"/>
                      <w:szCs w:val="18"/>
                      <w:highlight w:val="none"/>
                      <w:u w:val="none" w:color="auto"/>
                      <w:lang w:val="en-US" w:eastAsia="zh-CN"/>
                    </w:rPr>
                    <w:t>搅拌机</w:t>
                  </w:r>
                </w:p>
              </w:tc>
              <w:tc>
                <w:tcPr>
                  <w:tcW w:w="259" w:type="pct"/>
                  <w:vMerge w:val="restart"/>
                  <w:tcBorders>
                    <w:tl2br w:val="nil"/>
                    <w:tr2bl w:val="nil"/>
                  </w:tcBorders>
                  <w:vAlign w:val="center"/>
                </w:tcPr>
                <w:p w14:paraId="272CE55D">
                  <w:pPr>
                    <w:pStyle w:val="94"/>
                    <w:spacing w:beforeLines="0" w:afterLines="0" w:line="240" w:lineRule="auto"/>
                    <w:jc w:val="center"/>
                    <w:rPr>
                      <w:rFonts w:hint="default" w:ascii="Times New Roman" w:hAnsi="Times New Roman" w:eastAsia="宋体" w:cs="Times New Roman"/>
                      <w:color w:val="auto"/>
                      <w:kern w:val="0"/>
                      <w:sz w:val="18"/>
                      <w:szCs w:val="18"/>
                      <w:highlight w:val="none"/>
                      <w:u w:val="none" w:color="auto"/>
                      <w:lang w:val="en-US" w:eastAsia="zh-CN" w:bidi="ar-SA"/>
                    </w:rPr>
                  </w:pPr>
                  <w:r>
                    <w:rPr>
                      <w:rFonts w:hint="default" w:ascii="Times New Roman" w:hAnsi="Times New Roman" w:eastAsia="宋体" w:cs="Times New Roman"/>
                      <w:color w:val="auto"/>
                      <w:kern w:val="0"/>
                      <w:sz w:val="18"/>
                      <w:szCs w:val="18"/>
                      <w:highlight w:val="none"/>
                      <w:u w:val="none" w:color="auto"/>
                      <w:lang w:val="en-US" w:eastAsia="zh-CN" w:bidi="ar-SA"/>
                    </w:rPr>
                    <w:t>1</w:t>
                  </w:r>
                </w:p>
              </w:tc>
              <w:tc>
                <w:tcPr>
                  <w:tcW w:w="477" w:type="pct"/>
                  <w:vMerge w:val="restart"/>
                  <w:tcBorders>
                    <w:tl2br w:val="nil"/>
                    <w:tr2bl w:val="nil"/>
                  </w:tcBorders>
                  <w:vAlign w:val="center"/>
                </w:tcPr>
                <w:p w14:paraId="1780656D">
                  <w:pPr>
                    <w:pStyle w:val="94"/>
                    <w:spacing w:before="24" w:after="24"/>
                    <w:jc w:val="center"/>
                    <w:rPr>
                      <w:rFonts w:hint="default" w:ascii="Times New Roman" w:hAnsi="Times New Roman" w:eastAsia="宋体" w:cs="Times New Roman"/>
                      <w:b w:val="0"/>
                      <w:bCs w:val="0"/>
                      <w:color w:val="auto"/>
                      <w:kern w:val="2"/>
                      <w:sz w:val="18"/>
                      <w:szCs w:val="18"/>
                      <w:highlight w:val="none"/>
                      <w:u w:val="none" w:color="auto"/>
                      <w:lang w:val="en-US" w:eastAsia="zh-CN" w:bidi="ar-SA"/>
                    </w:rPr>
                  </w:pPr>
                  <w:r>
                    <w:rPr>
                      <w:rFonts w:hint="eastAsia" w:ascii="Times New Roman" w:cs="Times New Roman"/>
                      <w:color w:val="auto"/>
                      <w:sz w:val="18"/>
                      <w:szCs w:val="18"/>
                      <w:highlight w:val="none"/>
                      <w:u w:val="none" w:color="auto"/>
                      <w:lang w:val="en-US" w:eastAsia="zh-CN"/>
                    </w:rPr>
                    <w:t>90</w:t>
                  </w:r>
                </w:p>
              </w:tc>
              <w:tc>
                <w:tcPr>
                  <w:tcW w:w="451" w:type="pct"/>
                  <w:vMerge w:val="restart"/>
                  <w:tcBorders>
                    <w:tl2br w:val="nil"/>
                    <w:tr2bl w:val="nil"/>
                  </w:tcBorders>
                  <w:vAlign w:val="center"/>
                </w:tcPr>
                <w:p w14:paraId="66BF160B">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r>
                    <w:rPr>
                      <w:rFonts w:hint="default" w:ascii="Times New Roman" w:hAnsi="Times New Roman" w:eastAsia="宋体" w:cs="Times New Roman"/>
                      <w:color w:val="auto"/>
                      <w:sz w:val="18"/>
                      <w:szCs w:val="18"/>
                      <w:highlight w:val="none"/>
                      <w:u w:val="none" w:color="auto"/>
                      <w:lang w:val="en-US" w:eastAsia="zh-CN"/>
                    </w:rPr>
                    <w:t>减振、厂房隔声</w:t>
                  </w:r>
                </w:p>
              </w:tc>
              <w:tc>
                <w:tcPr>
                  <w:tcW w:w="765" w:type="pct"/>
                  <w:vMerge w:val="restart"/>
                  <w:tcBorders>
                    <w:tl2br w:val="nil"/>
                    <w:tr2bl w:val="nil"/>
                  </w:tcBorders>
                  <w:vAlign w:val="center"/>
                </w:tcPr>
                <w:p w14:paraId="23AFAAA9">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lang w:val="en-US" w:eastAsia="zh-CN"/>
                    </w:rPr>
                  </w:pPr>
                  <w:r>
                    <w:rPr>
                      <w:rFonts w:hint="eastAsia" w:ascii="Times New Roman" w:hAnsi="Times New Roman" w:cs="Times New Roman"/>
                      <w:color w:val="auto"/>
                      <w:sz w:val="18"/>
                      <w:szCs w:val="18"/>
                      <w:highlight w:val="none"/>
                      <w:u w:val="none" w:color="auto"/>
                      <w:lang w:val="en-US" w:eastAsia="zh-CN"/>
                    </w:rPr>
                    <w:t>-0.2,31.2,1.2</w:t>
                  </w:r>
                </w:p>
              </w:tc>
              <w:tc>
                <w:tcPr>
                  <w:tcW w:w="368" w:type="pct"/>
                  <w:tcBorders>
                    <w:tl2br w:val="nil"/>
                    <w:tr2bl w:val="nil"/>
                  </w:tcBorders>
                  <w:vAlign w:val="center"/>
                </w:tcPr>
                <w:p w14:paraId="0D8FB4B5">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49.7</w:t>
                  </w:r>
                </w:p>
              </w:tc>
              <w:tc>
                <w:tcPr>
                  <w:tcW w:w="400" w:type="pct"/>
                  <w:tcBorders>
                    <w:tl2br w:val="nil"/>
                    <w:tr2bl w:val="nil"/>
                  </w:tcBorders>
                  <w:vAlign w:val="center"/>
                </w:tcPr>
                <w:p w14:paraId="5629697E">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73.6</w:t>
                  </w:r>
                </w:p>
              </w:tc>
              <w:tc>
                <w:tcPr>
                  <w:tcW w:w="342" w:type="pct"/>
                  <w:vMerge w:val="continue"/>
                  <w:tcBorders>
                    <w:tl2br w:val="nil"/>
                    <w:tr2bl w:val="nil"/>
                  </w:tcBorders>
                  <w:vAlign w:val="center"/>
                </w:tcPr>
                <w:p w14:paraId="691C56BB">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419" w:type="pct"/>
                  <w:tcBorders>
                    <w:tl2br w:val="nil"/>
                    <w:tr2bl w:val="nil"/>
                  </w:tcBorders>
                  <w:vAlign w:val="center"/>
                </w:tcPr>
                <w:p w14:paraId="58913D72">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26</w:t>
                  </w:r>
                </w:p>
              </w:tc>
              <w:tc>
                <w:tcPr>
                  <w:tcW w:w="419" w:type="pct"/>
                  <w:tcBorders>
                    <w:tl2br w:val="nil"/>
                    <w:tr2bl w:val="nil"/>
                  </w:tcBorders>
                  <w:vAlign w:val="center"/>
                </w:tcPr>
                <w:p w14:paraId="2D1D040B">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47.6</w:t>
                  </w:r>
                </w:p>
              </w:tc>
              <w:tc>
                <w:tcPr>
                  <w:tcW w:w="235" w:type="pct"/>
                  <w:vMerge w:val="restart"/>
                  <w:tcBorders>
                    <w:tl2br w:val="nil"/>
                    <w:tr2bl w:val="nil"/>
                  </w:tcBorders>
                  <w:vAlign w:val="center"/>
                </w:tcPr>
                <w:p w14:paraId="66BD65E5">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r>
                    <w:rPr>
                      <w:rFonts w:hint="default" w:ascii="Times New Roman" w:hAnsi="Times New Roman" w:eastAsia="宋体" w:cs="Times New Roman"/>
                      <w:color w:val="auto"/>
                      <w:sz w:val="18"/>
                      <w:szCs w:val="18"/>
                      <w:highlight w:val="none"/>
                      <w:u w:val="none" w:color="auto"/>
                    </w:rPr>
                    <w:t>1</w:t>
                  </w:r>
                </w:p>
              </w:tc>
            </w:tr>
            <w:tr w14:paraId="453976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4" w:type="pct"/>
                  <w:vMerge w:val="continue"/>
                  <w:tcBorders>
                    <w:tl2br w:val="nil"/>
                    <w:tr2bl w:val="nil"/>
                  </w:tcBorders>
                  <w:vAlign w:val="center"/>
                </w:tcPr>
                <w:p w14:paraId="7D95EFD8">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234" w:type="pct"/>
                  <w:vMerge w:val="continue"/>
                  <w:tcBorders>
                    <w:tl2br w:val="nil"/>
                    <w:tr2bl w:val="nil"/>
                  </w:tcBorders>
                  <w:vAlign w:val="center"/>
                </w:tcPr>
                <w:p w14:paraId="1FDAE6E3">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lang w:val="en-US" w:eastAsia="zh-CN"/>
                    </w:rPr>
                  </w:pPr>
                </w:p>
              </w:tc>
              <w:tc>
                <w:tcPr>
                  <w:tcW w:w="393" w:type="pct"/>
                  <w:vMerge w:val="continue"/>
                  <w:tcBorders>
                    <w:tl2br w:val="nil"/>
                    <w:tr2bl w:val="nil"/>
                  </w:tcBorders>
                  <w:vAlign w:val="center"/>
                </w:tcPr>
                <w:p w14:paraId="49EFCD14">
                  <w:pPr>
                    <w:jc w:val="center"/>
                    <w:rPr>
                      <w:rFonts w:hint="default" w:ascii="Times New Roman" w:hAnsi="Times New Roman" w:eastAsia="宋体" w:cs="Times New Roman"/>
                      <w:color w:val="auto"/>
                      <w:sz w:val="18"/>
                      <w:szCs w:val="18"/>
                      <w:highlight w:val="none"/>
                      <w:u w:val="none" w:color="auto"/>
                    </w:rPr>
                  </w:pPr>
                </w:p>
              </w:tc>
              <w:tc>
                <w:tcPr>
                  <w:tcW w:w="259" w:type="pct"/>
                  <w:vMerge w:val="continue"/>
                  <w:tcBorders>
                    <w:tl2br w:val="nil"/>
                    <w:tr2bl w:val="nil"/>
                  </w:tcBorders>
                  <w:vAlign w:val="center"/>
                </w:tcPr>
                <w:p w14:paraId="4D778FE0">
                  <w:pPr>
                    <w:pStyle w:val="94"/>
                    <w:spacing w:beforeLines="0" w:afterLines="0" w:line="240" w:lineRule="auto"/>
                    <w:jc w:val="center"/>
                    <w:rPr>
                      <w:rFonts w:hint="default" w:ascii="Times New Roman" w:hAnsi="Times New Roman" w:eastAsia="宋体" w:cs="Times New Roman"/>
                      <w:color w:val="auto"/>
                      <w:sz w:val="18"/>
                      <w:szCs w:val="18"/>
                      <w:highlight w:val="none"/>
                      <w:u w:val="none" w:color="auto"/>
                    </w:rPr>
                  </w:pPr>
                </w:p>
              </w:tc>
              <w:tc>
                <w:tcPr>
                  <w:tcW w:w="477" w:type="pct"/>
                  <w:vMerge w:val="continue"/>
                  <w:tcBorders>
                    <w:tl2br w:val="nil"/>
                    <w:tr2bl w:val="nil"/>
                  </w:tcBorders>
                  <w:vAlign w:val="center"/>
                </w:tcPr>
                <w:p w14:paraId="655B03C8">
                  <w:pPr>
                    <w:pStyle w:val="94"/>
                    <w:spacing w:before="24" w:after="24"/>
                    <w:jc w:val="center"/>
                    <w:rPr>
                      <w:rFonts w:hint="default" w:ascii="Times New Roman" w:hAnsi="Times New Roman" w:eastAsia="宋体" w:cs="Times New Roman"/>
                      <w:color w:val="auto"/>
                      <w:sz w:val="18"/>
                      <w:szCs w:val="18"/>
                      <w:highlight w:val="none"/>
                      <w:u w:val="none" w:color="auto"/>
                    </w:rPr>
                  </w:pPr>
                </w:p>
              </w:tc>
              <w:tc>
                <w:tcPr>
                  <w:tcW w:w="451" w:type="pct"/>
                  <w:vMerge w:val="continue"/>
                  <w:tcBorders>
                    <w:tl2br w:val="nil"/>
                    <w:tr2bl w:val="nil"/>
                  </w:tcBorders>
                  <w:vAlign w:val="center"/>
                </w:tcPr>
                <w:p w14:paraId="40AD80A5">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765" w:type="pct"/>
                  <w:vMerge w:val="continue"/>
                  <w:tcBorders>
                    <w:tl2br w:val="nil"/>
                    <w:tr2bl w:val="nil"/>
                  </w:tcBorders>
                  <w:vAlign w:val="center"/>
                </w:tcPr>
                <w:p w14:paraId="3A86778F">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lang w:val="en-US" w:eastAsia="zh-CN"/>
                    </w:rPr>
                  </w:pPr>
                </w:p>
              </w:tc>
              <w:tc>
                <w:tcPr>
                  <w:tcW w:w="368" w:type="pct"/>
                  <w:tcBorders>
                    <w:tl2br w:val="nil"/>
                    <w:tr2bl w:val="nil"/>
                  </w:tcBorders>
                  <w:vAlign w:val="center"/>
                </w:tcPr>
                <w:p w14:paraId="07BF2C8C">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39.0</w:t>
                  </w:r>
                </w:p>
              </w:tc>
              <w:tc>
                <w:tcPr>
                  <w:tcW w:w="400" w:type="pct"/>
                  <w:tcBorders>
                    <w:tl2br w:val="nil"/>
                    <w:tr2bl w:val="nil"/>
                  </w:tcBorders>
                  <w:vAlign w:val="center"/>
                </w:tcPr>
                <w:p w14:paraId="13BD1217">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73.6</w:t>
                  </w:r>
                </w:p>
              </w:tc>
              <w:tc>
                <w:tcPr>
                  <w:tcW w:w="342" w:type="pct"/>
                  <w:vMerge w:val="continue"/>
                  <w:tcBorders>
                    <w:tl2br w:val="nil"/>
                    <w:tr2bl w:val="nil"/>
                  </w:tcBorders>
                  <w:vAlign w:val="center"/>
                </w:tcPr>
                <w:p w14:paraId="167F5A27">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419" w:type="pct"/>
                  <w:tcBorders>
                    <w:tl2br w:val="nil"/>
                    <w:tr2bl w:val="nil"/>
                  </w:tcBorders>
                  <w:vAlign w:val="center"/>
                </w:tcPr>
                <w:p w14:paraId="3C762CCD">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16</w:t>
                  </w:r>
                </w:p>
              </w:tc>
              <w:tc>
                <w:tcPr>
                  <w:tcW w:w="419" w:type="pct"/>
                  <w:tcBorders>
                    <w:tl2br w:val="nil"/>
                    <w:tr2bl w:val="nil"/>
                  </w:tcBorders>
                  <w:vAlign w:val="center"/>
                </w:tcPr>
                <w:p w14:paraId="5148EF8B">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57.6</w:t>
                  </w:r>
                </w:p>
              </w:tc>
              <w:tc>
                <w:tcPr>
                  <w:tcW w:w="235" w:type="pct"/>
                  <w:vMerge w:val="continue"/>
                  <w:tcBorders>
                    <w:tl2br w:val="nil"/>
                    <w:tr2bl w:val="nil"/>
                  </w:tcBorders>
                  <w:vAlign w:val="center"/>
                </w:tcPr>
                <w:p w14:paraId="51A9C0AD">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r>
            <w:tr w14:paraId="1EF469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4" w:type="pct"/>
                  <w:vMerge w:val="continue"/>
                  <w:tcBorders>
                    <w:tl2br w:val="nil"/>
                    <w:tr2bl w:val="nil"/>
                  </w:tcBorders>
                  <w:vAlign w:val="center"/>
                </w:tcPr>
                <w:p w14:paraId="0CBD57B9">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234" w:type="pct"/>
                  <w:vMerge w:val="continue"/>
                  <w:tcBorders>
                    <w:tl2br w:val="nil"/>
                    <w:tr2bl w:val="nil"/>
                  </w:tcBorders>
                  <w:vAlign w:val="center"/>
                </w:tcPr>
                <w:p w14:paraId="53775ADA">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lang w:val="en-US" w:eastAsia="zh-CN"/>
                    </w:rPr>
                  </w:pPr>
                </w:p>
              </w:tc>
              <w:tc>
                <w:tcPr>
                  <w:tcW w:w="393" w:type="pct"/>
                  <w:vMerge w:val="continue"/>
                  <w:tcBorders>
                    <w:tl2br w:val="nil"/>
                    <w:tr2bl w:val="nil"/>
                  </w:tcBorders>
                  <w:vAlign w:val="center"/>
                </w:tcPr>
                <w:p w14:paraId="4EC581BA">
                  <w:pPr>
                    <w:jc w:val="center"/>
                    <w:rPr>
                      <w:rFonts w:hint="default" w:ascii="Times New Roman" w:hAnsi="Times New Roman" w:eastAsia="宋体" w:cs="Times New Roman"/>
                      <w:color w:val="auto"/>
                      <w:sz w:val="18"/>
                      <w:szCs w:val="18"/>
                      <w:highlight w:val="none"/>
                      <w:u w:val="none" w:color="auto"/>
                    </w:rPr>
                  </w:pPr>
                </w:p>
              </w:tc>
              <w:tc>
                <w:tcPr>
                  <w:tcW w:w="259" w:type="pct"/>
                  <w:vMerge w:val="continue"/>
                  <w:tcBorders>
                    <w:tl2br w:val="nil"/>
                    <w:tr2bl w:val="nil"/>
                  </w:tcBorders>
                  <w:vAlign w:val="center"/>
                </w:tcPr>
                <w:p w14:paraId="7D087BEE">
                  <w:pPr>
                    <w:pStyle w:val="94"/>
                    <w:spacing w:beforeLines="0" w:afterLines="0" w:line="240" w:lineRule="auto"/>
                    <w:jc w:val="center"/>
                    <w:rPr>
                      <w:rFonts w:hint="default" w:ascii="Times New Roman" w:hAnsi="Times New Roman" w:eastAsia="宋体" w:cs="Times New Roman"/>
                      <w:color w:val="auto"/>
                      <w:sz w:val="18"/>
                      <w:szCs w:val="18"/>
                      <w:highlight w:val="none"/>
                      <w:u w:val="none" w:color="auto"/>
                    </w:rPr>
                  </w:pPr>
                </w:p>
              </w:tc>
              <w:tc>
                <w:tcPr>
                  <w:tcW w:w="477" w:type="pct"/>
                  <w:vMerge w:val="continue"/>
                  <w:tcBorders>
                    <w:tl2br w:val="nil"/>
                    <w:tr2bl w:val="nil"/>
                  </w:tcBorders>
                  <w:vAlign w:val="center"/>
                </w:tcPr>
                <w:p w14:paraId="5AE106AE">
                  <w:pPr>
                    <w:pStyle w:val="94"/>
                    <w:spacing w:before="24" w:after="24"/>
                    <w:jc w:val="center"/>
                    <w:rPr>
                      <w:rFonts w:hint="default" w:ascii="Times New Roman" w:hAnsi="Times New Roman" w:eastAsia="宋体" w:cs="Times New Roman"/>
                      <w:color w:val="auto"/>
                      <w:sz w:val="18"/>
                      <w:szCs w:val="18"/>
                      <w:highlight w:val="none"/>
                      <w:u w:val="none" w:color="auto"/>
                    </w:rPr>
                  </w:pPr>
                </w:p>
              </w:tc>
              <w:tc>
                <w:tcPr>
                  <w:tcW w:w="451" w:type="pct"/>
                  <w:vMerge w:val="continue"/>
                  <w:tcBorders>
                    <w:tl2br w:val="nil"/>
                    <w:tr2bl w:val="nil"/>
                  </w:tcBorders>
                  <w:vAlign w:val="center"/>
                </w:tcPr>
                <w:p w14:paraId="315AD6F8">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765" w:type="pct"/>
                  <w:vMerge w:val="continue"/>
                  <w:tcBorders>
                    <w:tl2br w:val="nil"/>
                    <w:tr2bl w:val="nil"/>
                  </w:tcBorders>
                  <w:vAlign w:val="center"/>
                </w:tcPr>
                <w:p w14:paraId="753A01E6">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lang w:val="en-US" w:eastAsia="zh-CN"/>
                    </w:rPr>
                  </w:pPr>
                </w:p>
              </w:tc>
              <w:tc>
                <w:tcPr>
                  <w:tcW w:w="368" w:type="pct"/>
                  <w:tcBorders>
                    <w:tl2br w:val="nil"/>
                    <w:tr2bl w:val="nil"/>
                  </w:tcBorders>
                  <w:vAlign w:val="center"/>
                </w:tcPr>
                <w:p w14:paraId="7A60C642">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41.7</w:t>
                  </w:r>
                </w:p>
              </w:tc>
              <w:tc>
                <w:tcPr>
                  <w:tcW w:w="400" w:type="pct"/>
                  <w:tcBorders>
                    <w:tl2br w:val="nil"/>
                    <w:tr2bl w:val="nil"/>
                  </w:tcBorders>
                  <w:vAlign w:val="center"/>
                </w:tcPr>
                <w:p w14:paraId="40489E2A">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73.6</w:t>
                  </w:r>
                </w:p>
              </w:tc>
              <w:tc>
                <w:tcPr>
                  <w:tcW w:w="342" w:type="pct"/>
                  <w:vMerge w:val="continue"/>
                  <w:tcBorders>
                    <w:tl2br w:val="nil"/>
                    <w:tr2bl w:val="nil"/>
                  </w:tcBorders>
                  <w:vAlign w:val="center"/>
                </w:tcPr>
                <w:p w14:paraId="0B6C7551">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419" w:type="pct"/>
                  <w:tcBorders>
                    <w:tl2br w:val="nil"/>
                    <w:tr2bl w:val="nil"/>
                  </w:tcBorders>
                  <w:vAlign w:val="center"/>
                </w:tcPr>
                <w:p w14:paraId="794312EE">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26</w:t>
                  </w:r>
                </w:p>
              </w:tc>
              <w:tc>
                <w:tcPr>
                  <w:tcW w:w="419" w:type="pct"/>
                  <w:tcBorders>
                    <w:tl2br w:val="nil"/>
                    <w:tr2bl w:val="nil"/>
                  </w:tcBorders>
                  <w:vAlign w:val="center"/>
                </w:tcPr>
                <w:p w14:paraId="7302FAE3">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47.6</w:t>
                  </w:r>
                </w:p>
              </w:tc>
              <w:tc>
                <w:tcPr>
                  <w:tcW w:w="235" w:type="pct"/>
                  <w:vMerge w:val="continue"/>
                  <w:tcBorders>
                    <w:tl2br w:val="nil"/>
                    <w:tr2bl w:val="nil"/>
                  </w:tcBorders>
                  <w:vAlign w:val="center"/>
                </w:tcPr>
                <w:p w14:paraId="213E9E52">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r>
            <w:tr w14:paraId="6BBFDBC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4" w:type="pct"/>
                  <w:vMerge w:val="continue"/>
                  <w:tcBorders>
                    <w:tl2br w:val="nil"/>
                    <w:tr2bl w:val="nil"/>
                  </w:tcBorders>
                  <w:vAlign w:val="center"/>
                </w:tcPr>
                <w:p w14:paraId="0C1133EC">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234" w:type="pct"/>
                  <w:vMerge w:val="continue"/>
                  <w:tcBorders>
                    <w:tl2br w:val="nil"/>
                    <w:tr2bl w:val="nil"/>
                  </w:tcBorders>
                  <w:vAlign w:val="center"/>
                </w:tcPr>
                <w:p w14:paraId="271B8FD0">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393" w:type="pct"/>
                  <w:vMerge w:val="continue"/>
                  <w:tcBorders>
                    <w:tl2br w:val="nil"/>
                    <w:tr2bl w:val="nil"/>
                  </w:tcBorders>
                  <w:vAlign w:val="center"/>
                </w:tcPr>
                <w:p w14:paraId="4A4B90B4">
                  <w:pPr>
                    <w:jc w:val="center"/>
                    <w:textAlignment w:val="center"/>
                    <w:rPr>
                      <w:rFonts w:hint="default" w:ascii="Times New Roman" w:hAnsi="Times New Roman" w:eastAsia="宋体" w:cs="Times New Roman"/>
                      <w:color w:val="auto"/>
                      <w:kern w:val="2"/>
                      <w:sz w:val="18"/>
                      <w:szCs w:val="18"/>
                      <w:highlight w:val="none"/>
                      <w:u w:val="none" w:color="auto"/>
                      <w:lang w:val="en-US" w:eastAsia="zh-CN" w:bidi="ar-SA"/>
                    </w:rPr>
                  </w:pPr>
                </w:p>
              </w:tc>
              <w:tc>
                <w:tcPr>
                  <w:tcW w:w="259" w:type="pct"/>
                  <w:vMerge w:val="continue"/>
                  <w:tcBorders>
                    <w:tl2br w:val="nil"/>
                    <w:tr2bl w:val="nil"/>
                  </w:tcBorders>
                  <w:vAlign w:val="center"/>
                </w:tcPr>
                <w:p w14:paraId="7C785860">
                  <w:pPr>
                    <w:pStyle w:val="94"/>
                    <w:spacing w:beforeLines="0" w:afterLines="0" w:line="240" w:lineRule="auto"/>
                    <w:jc w:val="center"/>
                    <w:rPr>
                      <w:rFonts w:hint="default" w:ascii="Times New Roman" w:hAnsi="Times New Roman" w:eastAsia="宋体" w:cs="Times New Roman"/>
                      <w:color w:val="auto"/>
                      <w:kern w:val="0"/>
                      <w:sz w:val="18"/>
                      <w:szCs w:val="18"/>
                      <w:highlight w:val="none"/>
                      <w:u w:val="none" w:color="auto"/>
                      <w:lang w:val="en-US" w:eastAsia="zh-CN" w:bidi="ar-SA"/>
                    </w:rPr>
                  </w:pPr>
                </w:p>
              </w:tc>
              <w:tc>
                <w:tcPr>
                  <w:tcW w:w="477" w:type="pct"/>
                  <w:vMerge w:val="continue"/>
                  <w:tcBorders>
                    <w:tl2br w:val="nil"/>
                    <w:tr2bl w:val="nil"/>
                  </w:tcBorders>
                  <w:vAlign w:val="center"/>
                </w:tcPr>
                <w:p w14:paraId="1742FCF6">
                  <w:pPr>
                    <w:pStyle w:val="94"/>
                    <w:spacing w:before="24" w:after="24"/>
                    <w:jc w:val="center"/>
                    <w:rPr>
                      <w:rFonts w:hint="default" w:ascii="Times New Roman" w:hAnsi="Times New Roman" w:eastAsia="宋体" w:cs="Times New Roman"/>
                      <w:b w:val="0"/>
                      <w:bCs w:val="0"/>
                      <w:color w:val="auto"/>
                      <w:kern w:val="2"/>
                      <w:sz w:val="18"/>
                      <w:szCs w:val="18"/>
                      <w:highlight w:val="none"/>
                      <w:u w:val="none" w:color="auto"/>
                      <w:lang w:val="en-US" w:eastAsia="zh-CN" w:bidi="ar-SA"/>
                    </w:rPr>
                  </w:pPr>
                </w:p>
              </w:tc>
              <w:tc>
                <w:tcPr>
                  <w:tcW w:w="451" w:type="pct"/>
                  <w:vMerge w:val="continue"/>
                  <w:tcBorders>
                    <w:tl2br w:val="nil"/>
                    <w:tr2bl w:val="nil"/>
                  </w:tcBorders>
                  <w:vAlign w:val="center"/>
                </w:tcPr>
                <w:p w14:paraId="1C48B424">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765" w:type="pct"/>
                  <w:vMerge w:val="continue"/>
                  <w:tcBorders>
                    <w:tl2br w:val="nil"/>
                    <w:tr2bl w:val="nil"/>
                  </w:tcBorders>
                  <w:vAlign w:val="center"/>
                </w:tcPr>
                <w:p w14:paraId="1A892413">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lang w:val="en-US" w:eastAsia="zh-CN"/>
                    </w:rPr>
                  </w:pPr>
                </w:p>
              </w:tc>
              <w:tc>
                <w:tcPr>
                  <w:tcW w:w="368" w:type="pct"/>
                  <w:tcBorders>
                    <w:tl2br w:val="nil"/>
                    <w:tr2bl w:val="nil"/>
                  </w:tcBorders>
                  <w:vAlign w:val="center"/>
                </w:tcPr>
                <w:p w14:paraId="01F214BC">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19.5</w:t>
                  </w:r>
                </w:p>
              </w:tc>
              <w:tc>
                <w:tcPr>
                  <w:tcW w:w="400" w:type="pct"/>
                  <w:tcBorders>
                    <w:tl2br w:val="nil"/>
                    <w:tr2bl w:val="nil"/>
                  </w:tcBorders>
                  <w:vAlign w:val="center"/>
                </w:tcPr>
                <w:p w14:paraId="7181A766">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73.6</w:t>
                  </w:r>
                </w:p>
              </w:tc>
              <w:tc>
                <w:tcPr>
                  <w:tcW w:w="342" w:type="pct"/>
                  <w:vMerge w:val="continue"/>
                  <w:tcBorders>
                    <w:tl2br w:val="nil"/>
                    <w:tr2bl w:val="nil"/>
                  </w:tcBorders>
                  <w:vAlign w:val="center"/>
                </w:tcPr>
                <w:p w14:paraId="4A9BD8F4">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419" w:type="pct"/>
                  <w:tcBorders>
                    <w:tl2br w:val="nil"/>
                    <w:tr2bl w:val="nil"/>
                  </w:tcBorders>
                  <w:vAlign w:val="center"/>
                </w:tcPr>
                <w:p w14:paraId="5A83E211">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16</w:t>
                  </w:r>
                </w:p>
              </w:tc>
              <w:tc>
                <w:tcPr>
                  <w:tcW w:w="419" w:type="pct"/>
                  <w:tcBorders>
                    <w:tl2br w:val="nil"/>
                    <w:tr2bl w:val="nil"/>
                  </w:tcBorders>
                  <w:vAlign w:val="center"/>
                </w:tcPr>
                <w:p w14:paraId="7707A8C1">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57.6</w:t>
                  </w:r>
                </w:p>
              </w:tc>
              <w:tc>
                <w:tcPr>
                  <w:tcW w:w="235" w:type="pct"/>
                  <w:vMerge w:val="continue"/>
                  <w:tcBorders>
                    <w:tl2br w:val="nil"/>
                    <w:tr2bl w:val="nil"/>
                  </w:tcBorders>
                  <w:vAlign w:val="center"/>
                </w:tcPr>
                <w:p w14:paraId="5E9A1096">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r>
            <w:tr w14:paraId="7B16810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4" w:type="pct"/>
                  <w:vMerge w:val="restart"/>
                  <w:tcBorders>
                    <w:tl2br w:val="nil"/>
                    <w:tr2bl w:val="nil"/>
                  </w:tcBorders>
                  <w:shd w:val="clear" w:color="auto" w:fill="auto"/>
                  <w:vAlign w:val="center"/>
                </w:tcPr>
                <w:p w14:paraId="7F98B7CE">
                  <w:pPr>
                    <w:pStyle w:val="26"/>
                    <w:spacing w:line="240" w:lineRule="auto"/>
                    <w:ind w:firstLine="0" w:firstLineChars="0"/>
                    <w:jc w:val="center"/>
                    <w:rPr>
                      <w:rFonts w:hint="default" w:ascii="Times New Roman" w:hAnsi="Times New Roman" w:eastAsia="宋体" w:cs="Times New Roman"/>
                      <w:color w:val="auto"/>
                      <w:kern w:val="0"/>
                      <w:sz w:val="18"/>
                      <w:szCs w:val="18"/>
                      <w:highlight w:val="none"/>
                      <w:u w:val="none" w:color="auto"/>
                      <w:lang w:val="en-US" w:eastAsia="zh-CN" w:bidi="ar-SA"/>
                    </w:rPr>
                  </w:pPr>
                  <w:r>
                    <w:rPr>
                      <w:rFonts w:hint="default" w:ascii="Times New Roman" w:hAnsi="Times New Roman" w:eastAsia="宋体" w:cs="Times New Roman"/>
                      <w:color w:val="auto"/>
                      <w:sz w:val="18"/>
                      <w:szCs w:val="18"/>
                      <w:highlight w:val="none"/>
                      <w:u w:val="none" w:color="auto"/>
                    </w:rPr>
                    <w:t>3</w:t>
                  </w:r>
                </w:p>
                <w:p w14:paraId="048C163E">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234" w:type="pct"/>
                  <w:vMerge w:val="continue"/>
                  <w:tcBorders>
                    <w:tl2br w:val="nil"/>
                    <w:tr2bl w:val="nil"/>
                  </w:tcBorders>
                  <w:vAlign w:val="center"/>
                </w:tcPr>
                <w:p w14:paraId="4480381C">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393" w:type="pct"/>
                  <w:vMerge w:val="restart"/>
                  <w:tcBorders>
                    <w:tl2br w:val="nil"/>
                    <w:tr2bl w:val="nil"/>
                  </w:tcBorders>
                  <w:vAlign w:val="center"/>
                </w:tcPr>
                <w:p w14:paraId="1C773E6D">
                  <w:pPr>
                    <w:jc w:val="center"/>
                    <w:textAlignment w:val="center"/>
                    <w:rPr>
                      <w:rFonts w:hint="default" w:ascii="Times New Roman" w:hAnsi="Times New Roman" w:eastAsia="宋体" w:cs="Times New Roman"/>
                      <w:color w:val="auto"/>
                      <w:kern w:val="2"/>
                      <w:sz w:val="18"/>
                      <w:szCs w:val="18"/>
                      <w:highlight w:val="none"/>
                      <w:u w:val="none" w:color="auto"/>
                      <w:lang w:val="en-US" w:eastAsia="zh-CN" w:bidi="ar-SA"/>
                    </w:rPr>
                  </w:pPr>
                  <w:r>
                    <w:rPr>
                      <w:rFonts w:hint="eastAsia" w:cs="Times New Roman"/>
                      <w:color w:val="auto"/>
                      <w:kern w:val="2"/>
                      <w:sz w:val="18"/>
                      <w:szCs w:val="18"/>
                      <w:highlight w:val="none"/>
                      <w:u w:val="none" w:color="auto"/>
                      <w:lang w:val="en-US" w:eastAsia="zh-CN" w:bidi="ar-SA"/>
                    </w:rPr>
                    <w:t>包装机</w:t>
                  </w:r>
                </w:p>
              </w:tc>
              <w:tc>
                <w:tcPr>
                  <w:tcW w:w="259" w:type="pct"/>
                  <w:vMerge w:val="restart"/>
                  <w:tcBorders>
                    <w:tl2br w:val="nil"/>
                    <w:tr2bl w:val="nil"/>
                  </w:tcBorders>
                  <w:vAlign w:val="center"/>
                </w:tcPr>
                <w:p w14:paraId="7FB74590">
                  <w:pPr>
                    <w:pStyle w:val="94"/>
                    <w:spacing w:beforeLines="0" w:afterLines="0" w:line="240" w:lineRule="auto"/>
                    <w:jc w:val="center"/>
                    <w:rPr>
                      <w:rFonts w:hint="default" w:ascii="Times New Roman" w:hAnsi="Times New Roman" w:eastAsia="宋体" w:cs="Times New Roman"/>
                      <w:color w:val="auto"/>
                      <w:kern w:val="0"/>
                      <w:sz w:val="18"/>
                      <w:szCs w:val="18"/>
                      <w:highlight w:val="none"/>
                      <w:u w:val="none" w:color="auto"/>
                      <w:lang w:val="en-US" w:eastAsia="zh-CN" w:bidi="ar-SA"/>
                    </w:rPr>
                  </w:pPr>
                  <w:r>
                    <w:rPr>
                      <w:rFonts w:hint="eastAsia" w:ascii="Times New Roman" w:cs="Times New Roman"/>
                      <w:color w:val="auto"/>
                      <w:kern w:val="0"/>
                      <w:sz w:val="18"/>
                      <w:szCs w:val="18"/>
                      <w:highlight w:val="none"/>
                      <w:u w:val="none" w:color="auto"/>
                      <w:lang w:val="en-US" w:eastAsia="zh-CN" w:bidi="ar-SA"/>
                    </w:rPr>
                    <w:t>5</w:t>
                  </w:r>
                </w:p>
              </w:tc>
              <w:tc>
                <w:tcPr>
                  <w:tcW w:w="477" w:type="pct"/>
                  <w:vMerge w:val="restart"/>
                  <w:tcBorders>
                    <w:tl2br w:val="nil"/>
                    <w:tr2bl w:val="nil"/>
                  </w:tcBorders>
                  <w:vAlign w:val="center"/>
                </w:tcPr>
                <w:p w14:paraId="644ED7A7">
                  <w:pPr>
                    <w:pStyle w:val="94"/>
                    <w:spacing w:before="24" w:after="24"/>
                    <w:jc w:val="center"/>
                    <w:rPr>
                      <w:rFonts w:hint="default" w:ascii="Times New Roman" w:hAnsi="Times New Roman" w:eastAsia="宋体" w:cs="Times New Roman"/>
                      <w:b w:val="0"/>
                      <w:bCs w:val="0"/>
                      <w:color w:val="auto"/>
                      <w:kern w:val="2"/>
                      <w:sz w:val="18"/>
                      <w:szCs w:val="18"/>
                      <w:highlight w:val="none"/>
                      <w:u w:val="none" w:color="auto"/>
                      <w:lang w:val="en-US" w:eastAsia="zh-CN" w:bidi="ar-SA"/>
                    </w:rPr>
                  </w:pPr>
                  <w:r>
                    <w:rPr>
                      <w:rFonts w:hint="eastAsia" w:ascii="Times New Roman" w:cs="Times New Roman"/>
                      <w:b w:val="0"/>
                      <w:bCs w:val="0"/>
                      <w:color w:val="auto"/>
                      <w:kern w:val="2"/>
                      <w:sz w:val="18"/>
                      <w:szCs w:val="18"/>
                      <w:highlight w:val="none"/>
                      <w:u w:val="none" w:color="auto"/>
                      <w:lang w:val="en-US" w:eastAsia="zh-CN" w:bidi="ar-SA"/>
                    </w:rPr>
                    <w:t>65</w:t>
                  </w:r>
                  <w:r>
                    <w:rPr>
                      <w:rFonts w:hint="default" w:ascii="Times New Roman" w:hAnsi="Times New Roman" w:eastAsia="宋体" w:cs="Times New Roman"/>
                      <w:b w:val="0"/>
                      <w:bCs w:val="0"/>
                      <w:color w:val="auto"/>
                      <w:kern w:val="2"/>
                      <w:sz w:val="18"/>
                      <w:szCs w:val="18"/>
                      <w:highlight w:val="none"/>
                      <w:u w:val="none" w:color="auto"/>
                      <w:lang w:val="en-US" w:eastAsia="zh-CN" w:bidi="ar-SA"/>
                    </w:rPr>
                    <w:t>（等效后</w:t>
                  </w:r>
                  <w:r>
                    <w:rPr>
                      <w:rFonts w:hint="eastAsia" w:ascii="Times New Roman" w:cs="Times New Roman"/>
                      <w:b w:val="0"/>
                      <w:bCs w:val="0"/>
                      <w:color w:val="auto"/>
                      <w:kern w:val="2"/>
                      <w:sz w:val="18"/>
                      <w:szCs w:val="18"/>
                      <w:highlight w:val="none"/>
                      <w:u w:val="none" w:color="auto"/>
                      <w:lang w:val="en-US" w:eastAsia="zh-CN" w:bidi="ar-SA"/>
                    </w:rPr>
                    <w:t>72</w:t>
                  </w:r>
                  <w:r>
                    <w:rPr>
                      <w:rFonts w:hint="default" w:ascii="Times New Roman" w:hAnsi="Times New Roman" w:eastAsia="宋体" w:cs="Times New Roman"/>
                      <w:b w:val="0"/>
                      <w:bCs w:val="0"/>
                      <w:color w:val="auto"/>
                      <w:kern w:val="2"/>
                      <w:sz w:val="18"/>
                      <w:szCs w:val="18"/>
                      <w:highlight w:val="none"/>
                      <w:u w:val="none" w:color="auto"/>
                      <w:lang w:val="en-US" w:eastAsia="zh-CN" w:bidi="ar-SA"/>
                    </w:rPr>
                    <w:t>）</w:t>
                  </w:r>
                </w:p>
              </w:tc>
              <w:tc>
                <w:tcPr>
                  <w:tcW w:w="451" w:type="pct"/>
                  <w:vMerge w:val="restart"/>
                  <w:tcBorders>
                    <w:tl2br w:val="nil"/>
                    <w:tr2bl w:val="nil"/>
                  </w:tcBorders>
                  <w:vAlign w:val="center"/>
                </w:tcPr>
                <w:p w14:paraId="2DDA34F1">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r>
                    <w:rPr>
                      <w:rFonts w:hint="default" w:ascii="Times New Roman" w:hAnsi="Times New Roman" w:eastAsia="宋体" w:cs="Times New Roman"/>
                      <w:color w:val="auto"/>
                      <w:sz w:val="18"/>
                      <w:szCs w:val="18"/>
                      <w:highlight w:val="none"/>
                      <w:u w:val="none" w:color="auto"/>
                      <w:lang w:val="en-US" w:eastAsia="zh-CN"/>
                    </w:rPr>
                    <w:t>减振、厂房隔声</w:t>
                  </w:r>
                </w:p>
              </w:tc>
              <w:tc>
                <w:tcPr>
                  <w:tcW w:w="765" w:type="pct"/>
                  <w:vMerge w:val="restart"/>
                  <w:tcBorders>
                    <w:tl2br w:val="nil"/>
                    <w:tr2bl w:val="nil"/>
                  </w:tcBorders>
                  <w:vAlign w:val="center"/>
                </w:tcPr>
                <w:p w14:paraId="3968BECA">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lang w:val="en-US" w:eastAsia="zh-CN"/>
                    </w:rPr>
                  </w:pPr>
                  <w:r>
                    <w:rPr>
                      <w:rFonts w:hint="eastAsia" w:ascii="Times New Roman" w:hAnsi="Times New Roman" w:cs="Times New Roman"/>
                      <w:color w:val="auto"/>
                      <w:sz w:val="18"/>
                      <w:szCs w:val="18"/>
                      <w:highlight w:val="none"/>
                      <w:u w:val="none" w:color="auto"/>
                      <w:lang w:val="en-US" w:eastAsia="zh-CN"/>
                    </w:rPr>
                    <w:t>22.1,8.3,1.2</w:t>
                  </w:r>
                </w:p>
              </w:tc>
              <w:tc>
                <w:tcPr>
                  <w:tcW w:w="368" w:type="pct"/>
                  <w:tcBorders>
                    <w:tl2br w:val="nil"/>
                    <w:tr2bl w:val="nil"/>
                  </w:tcBorders>
                  <w:vAlign w:val="center"/>
                </w:tcPr>
                <w:p w14:paraId="7612321D">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18.8.</w:t>
                  </w:r>
                </w:p>
              </w:tc>
              <w:tc>
                <w:tcPr>
                  <w:tcW w:w="400" w:type="pct"/>
                  <w:tcBorders>
                    <w:tl2br w:val="nil"/>
                    <w:tr2bl w:val="nil"/>
                  </w:tcBorders>
                  <w:vAlign w:val="center"/>
                </w:tcPr>
                <w:p w14:paraId="71D9B6AF">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55.6</w:t>
                  </w:r>
                </w:p>
              </w:tc>
              <w:tc>
                <w:tcPr>
                  <w:tcW w:w="342" w:type="pct"/>
                  <w:vMerge w:val="continue"/>
                  <w:tcBorders>
                    <w:tl2br w:val="nil"/>
                    <w:tr2bl w:val="nil"/>
                  </w:tcBorders>
                  <w:vAlign w:val="center"/>
                </w:tcPr>
                <w:p w14:paraId="0AD44FCF">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419" w:type="pct"/>
                  <w:tcBorders>
                    <w:tl2br w:val="nil"/>
                    <w:tr2bl w:val="nil"/>
                  </w:tcBorders>
                  <w:shd w:val="clear" w:color="auto" w:fill="auto"/>
                  <w:vAlign w:val="center"/>
                </w:tcPr>
                <w:p w14:paraId="6A0622C2">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u w:val="none" w:color="auto"/>
                      <w:lang w:val="en-US" w:eastAsia="zh-CN" w:bidi="ar-SA"/>
                    </w:rPr>
                  </w:pPr>
                  <w:r>
                    <w:rPr>
                      <w:rFonts w:hint="eastAsia" w:cs="Times New Roman"/>
                      <w:color w:val="auto"/>
                      <w:kern w:val="0"/>
                      <w:sz w:val="18"/>
                      <w:szCs w:val="18"/>
                      <w:highlight w:val="none"/>
                      <w:u w:val="none" w:color="auto"/>
                      <w:lang w:val="en-US" w:eastAsia="zh-CN" w:bidi="ar-SA"/>
                    </w:rPr>
                    <w:t>26</w:t>
                  </w:r>
                </w:p>
              </w:tc>
              <w:tc>
                <w:tcPr>
                  <w:tcW w:w="419" w:type="pct"/>
                  <w:tcBorders>
                    <w:tl2br w:val="nil"/>
                    <w:tr2bl w:val="nil"/>
                  </w:tcBorders>
                  <w:vAlign w:val="center"/>
                </w:tcPr>
                <w:p w14:paraId="6904AB1D">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29.6</w:t>
                  </w:r>
                </w:p>
              </w:tc>
              <w:tc>
                <w:tcPr>
                  <w:tcW w:w="235" w:type="pct"/>
                  <w:vMerge w:val="restart"/>
                  <w:tcBorders>
                    <w:tl2br w:val="nil"/>
                    <w:tr2bl w:val="nil"/>
                  </w:tcBorders>
                  <w:vAlign w:val="center"/>
                </w:tcPr>
                <w:p w14:paraId="54906717">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lang w:val="en-US" w:eastAsia="zh-CN"/>
                    </w:rPr>
                  </w:pPr>
                  <w:r>
                    <w:rPr>
                      <w:rFonts w:hint="default" w:ascii="Times New Roman" w:hAnsi="Times New Roman" w:eastAsia="宋体" w:cs="Times New Roman"/>
                      <w:color w:val="auto"/>
                      <w:sz w:val="18"/>
                      <w:szCs w:val="18"/>
                      <w:highlight w:val="none"/>
                      <w:u w:val="none" w:color="auto"/>
                      <w:lang w:val="en-US" w:eastAsia="zh-CN"/>
                    </w:rPr>
                    <w:t>1</w:t>
                  </w:r>
                </w:p>
              </w:tc>
            </w:tr>
            <w:tr w14:paraId="12E3C1C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4" w:type="pct"/>
                  <w:vMerge w:val="continue"/>
                  <w:tcBorders>
                    <w:tl2br w:val="nil"/>
                    <w:tr2bl w:val="nil"/>
                  </w:tcBorders>
                  <w:vAlign w:val="center"/>
                </w:tcPr>
                <w:p w14:paraId="544699A9">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234" w:type="pct"/>
                  <w:vMerge w:val="continue"/>
                  <w:tcBorders>
                    <w:tl2br w:val="nil"/>
                    <w:tr2bl w:val="nil"/>
                  </w:tcBorders>
                  <w:vAlign w:val="center"/>
                </w:tcPr>
                <w:p w14:paraId="3BD2D26D">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393" w:type="pct"/>
                  <w:vMerge w:val="continue"/>
                  <w:tcBorders>
                    <w:tl2br w:val="nil"/>
                    <w:tr2bl w:val="nil"/>
                  </w:tcBorders>
                  <w:vAlign w:val="center"/>
                </w:tcPr>
                <w:p w14:paraId="7E0B0290">
                  <w:pPr>
                    <w:jc w:val="center"/>
                    <w:textAlignment w:val="center"/>
                    <w:rPr>
                      <w:rFonts w:hint="default" w:ascii="Times New Roman" w:hAnsi="Times New Roman" w:eastAsia="宋体" w:cs="Times New Roman"/>
                      <w:color w:val="auto"/>
                      <w:kern w:val="2"/>
                      <w:sz w:val="18"/>
                      <w:szCs w:val="18"/>
                      <w:highlight w:val="none"/>
                      <w:u w:val="none" w:color="auto"/>
                      <w:lang w:val="en-US" w:eastAsia="zh-CN" w:bidi="ar-SA"/>
                    </w:rPr>
                  </w:pPr>
                </w:p>
              </w:tc>
              <w:tc>
                <w:tcPr>
                  <w:tcW w:w="259" w:type="pct"/>
                  <w:vMerge w:val="continue"/>
                  <w:tcBorders>
                    <w:tl2br w:val="nil"/>
                    <w:tr2bl w:val="nil"/>
                  </w:tcBorders>
                  <w:vAlign w:val="center"/>
                </w:tcPr>
                <w:p w14:paraId="68EBCD4E">
                  <w:pPr>
                    <w:pStyle w:val="94"/>
                    <w:spacing w:beforeLines="0" w:afterLines="0" w:line="240" w:lineRule="auto"/>
                    <w:jc w:val="center"/>
                    <w:rPr>
                      <w:rFonts w:hint="default" w:ascii="Times New Roman" w:hAnsi="Times New Roman" w:eastAsia="宋体" w:cs="Times New Roman"/>
                      <w:color w:val="auto"/>
                      <w:kern w:val="0"/>
                      <w:sz w:val="18"/>
                      <w:szCs w:val="18"/>
                      <w:highlight w:val="none"/>
                      <w:u w:val="none" w:color="auto"/>
                      <w:lang w:val="en-US" w:eastAsia="zh-CN" w:bidi="ar-SA"/>
                    </w:rPr>
                  </w:pPr>
                </w:p>
              </w:tc>
              <w:tc>
                <w:tcPr>
                  <w:tcW w:w="477" w:type="pct"/>
                  <w:vMerge w:val="continue"/>
                  <w:tcBorders>
                    <w:tl2br w:val="nil"/>
                    <w:tr2bl w:val="nil"/>
                  </w:tcBorders>
                  <w:vAlign w:val="center"/>
                </w:tcPr>
                <w:p w14:paraId="4E224590">
                  <w:pPr>
                    <w:pStyle w:val="94"/>
                    <w:spacing w:before="24" w:after="24"/>
                    <w:jc w:val="center"/>
                    <w:rPr>
                      <w:rFonts w:hint="default" w:ascii="Times New Roman" w:hAnsi="Times New Roman" w:eastAsia="宋体" w:cs="Times New Roman"/>
                      <w:b w:val="0"/>
                      <w:bCs w:val="0"/>
                      <w:color w:val="auto"/>
                      <w:kern w:val="2"/>
                      <w:sz w:val="18"/>
                      <w:szCs w:val="18"/>
                      <w:highlight w:val="none"/>
                      <w:u w:val="none" w:color="auto"/>
                      <w:lang w:val="en-US" w:eastAsia="zh-CN" w:bidi="ar-SA"/>
                    </w:rPr>
                  </w:pPr>
                </w:p>
              </w:tc>
              <w:tc>
                <w:tcPr>
                  <w:tcW w:w="451" w:type="pct"/>
                  <w:vMerge w:val="continue"/>
                  <w:tcBorders>
                    <w:tl2br w:val="nil"/>
                    <w:tr2bl w:val="nil"/>
                  </w:tcBorders>
                  <w:vAlign w:val="center"/>
                </w:tcPr>
                <w:p w14:paraId="12BF6C11">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765" w:type="pct"/>
                  <w:vMerge w:val="continue"/>
                  <w:tcBorders>
                    <w:tl2br w:val="nil"/>
                    <w:tr2bl w:val="nil"/>
                  </w:tcBorders>
                  <w:vAlign w:val="center"/>
                </w:tcPr>
                <w:p w14:paraId="2547217D">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lang w:val="en-US" w:eastAsia="zh-CN"/>
                    </w:rPr>
                  </w:pPr>
                </w:p>
              </w:tc>
              <w:tc>
                <w:tcPr>
                  <w:tcW w:w="368" w:type="pct"/>
                  <w:tcBorders>
                    <w:tl2br w:val="nil"/>
                    <w:tr2bl w:val="nil"/>
                  </w:tcBorders>
                  <w:vAlign w:val="center"/>
                </w:tcPr>
                <w:p w14:paraId="3030AA61">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22.2.</w:t>
                  </w:r>
                </w:p>
              </w:tc>
              <w:tc>
                <w:tcPr>
                  <w:tcW w:w="400" w:type="pct"/>
                  <w:tcBorders>
                    <w:tl2br w:val="nil"/>
                    <w:tr2bl w:val="nil"/>
                  </w:tcBorders>
                  <w:vAlign w:val="center"/>
                </w:tcPr>
                <w:p w14:paraId="50DDCEC7">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55.6</w:t>
                  </w:r>
                </w:p>
              </w:tc>
              <w:tc>
                <w:tcPr>
                  <w:tcW w:w="342" w:type="pct"/>
                  <w:vMerge w:val="continue"/>
                  <w:tcBorders>
                    <w:tl2br w:val="nil"/>
                    <w:tr2bl w:val="nil"/>
                  </w:tcBorders>
                  <w:vAlign w:val="center"/>
                </w:tcPr>
                <w:p w14:paraId="50009403">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419" w:type="pct"/>
                  <w:tcBorders>
                    <w:tl2br w:val="nil"/>
                    <w:tr2bl w:val="nil"/>
                  </w:tcBorders>
                  <w:shd w:val="clear" w:color="auto" w:fill="auto"/>
                  <w:vAlign w:val="center"/>
                </w:tcPr>
                <w:p w14:paraId="4E27BDFF">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u w:val="none" w:color="auto"/>
                      <w:lang w:val="en-US" w:eastAsia="zh-CN" w:bidi="ar-SA"/>
                    </w:rPr>
                  </w:pPr>
                  <w:r>
                    <w:rPr>
                      <w:rFonts w:hint="eastAsia" w:cs="Times New Roman"/>
                      <w:color w:val="auto"/>
                      <w:kern w:val="0"/>
                      <w:sz w:val="18"/>
                      <w:szCs w:val="18"/>
                      <w:highlight w:val="none"/>
                      <w:u w:val="none" w:color="auto"/>
                      <w:lang w:val="en-US" w:eastAsia="zh-CN" w:bidi="ar-SA"/>
                    </w:rPr>
                    <w:t>16</w:t>
                  </w:r>
                </w:p>
              </w:tc>
              <w:tc>
                <w:tcPr>
                  <w:tcW w:w="419" w:type="pct"/>
                  <w:tcBorders>
                    <w:tl2br w:val="nil"/>
                    <w:tr2bl w:val="nil"/>
                  </w:tcBorders>
                  <w:vAlign w:val="center"/>
                </w:tcPr>
                <w:p w14:paraId="42149BE4">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39.6</w:t>
                  </w:r>
                </w:p>
              </w:tc>
              <w:tc>
                <w:tcPr>
                  <w:tcW w:w="235" w:type="pct"/>
                  <w:vMerge w:val="continue"/>
                  <w:tcBorders>
                    <w:tl2br w:val="nil"/>
                    <w:tr2bl w:val="nil"/>
                  </w:tcBorders>
                  <w:vAlign w:val="center"/>
                </w:tcPr>
                <w:p w14:paraId="22FC95D3">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r>
            <w:tr w14:paraId="4EB0D59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4" w:type="pct"/>
                  <w:vMerge w:val="continue"/>
                  <w:tcBorders>
                    <w:tl2br w:val="nil"/>
                    <w:tr2bl w:val="nil"/>
                  </w:tcBorders>
                  <w:vAlign w:val="center"/>
                </w:tcPr>
                <w:p w14:paraId="70F859E4">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234" w:type="pct"/>
                  <w:vMerge w:val="continue"/>
                  <w:tcBorders>
                    <w:tl2br w:val="nil"/>
                    <w:tr2bl w:val="nil"/>
                  </w:tcBorders>
                  <w:vAlign w:val="center"/>
                </w:tcPr>
                <w:p w14:paraId="59022B39">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393" w:type="pct"/>
                  <w:vMerge w:val="continue"/>
                  <w:tcBorders>
                    <w:tl2br w:val="nil"/>
                    <w:tr2bl w:val="nil"/>
                  </w:tcBorders>
                  <w:vAlign w:val="center"/>
                </w:tcPr>
                <w:p w14:paraId="27EE66CE">
                  <w:pPr>
                    <w:jc w:val="center"/>
                    <w:textAlignment w:val="center"/>
                    <w:rPr>
                      <w:rFonts w:hint="default" w:ascii="Times New Roman" w:hAnsi="Times New Roman" w:eastAsia="宋体" w:cs="Times New Roman"/>
                      <w:color w:val="auto"/>
                      <w:kern w:val="2"/>
                      <w:sz w:val="18"/>
                      <w:szCs w:val="18"/>
                      <w:highlight w:val="none"/>
                      <w:u w:val="none" w:color="auto"/>
                      <w:lang w:val="en-US" w:eastAsia="zh-CN" w:bidi="ar-SA"/>
                    </w:rPr>
                  </w:pPr>
                </w:p>
              </w:tc>
              <w:tc>
                <w:tcPr>
                  <w:tcW w:w="259" w:type="pct"/>
                  <w:vMerge w:val="continue"/>
                  <w:tcBorders>
                    <w:tl2br w:val="nil"/>
                    <w:tr2bl w:val="nil"/>
                  </w:tcBorders>
                  <w:vAlign w:val="center"/>
                </w:tcPr>
                <w:p w14:paraId="260D33F3">
                  <w:pPr>
                    <w:pStyle w:val="94"/>
                    <w:spacing w:beforeLines="0" w:afterLines="0" w:line="240" w:lineRule="auto"/>
                    <w:jc w:val="center"/>
                    <w:rPr>
                      <w:rFonts w:hint="default" w:ascii="Times New Roman" w:hAnsi="Times New Roman" w:eastAsia="宋体" w:cs="Times New Roman"/>
                      <w:color w:val="auto"/>
                      <w:kern w:val="0"/>
                      <w:sz w:val="18"/>
                      <w:szCs w:val="18"/>
                      <w:highlight w:val="none"/>
                      <w:u w:val="none" w:color="auto"/>
                      <w:lang w:val="en-US" w:eastAsia="zh-CN" w:bidi="ar-SA"/>
                    </w:rPr>
                  </w:pPr>
                </w:p>
              </w:tc>
              <w:tc>
                <w:tcPr>
                  <w:tcW w:w="477" w:type="pct"/>
                  <w:vMerge w:val="continue"/>
                  <w:tcBorders>
                    <w:tl2br w:val="nil"/>
                    <w:tr2bl w:val="nil"/>
                  </w:tcBorders>
                  <w:vAlign w:val="center"/>
                </w:tcPr>
                <w:p w14:paraId="440B4699">
                  <w:pPr>
                    <w:pStyle w:val="94"/>
                    <w:spacing w:before="24" w:after="24"/>
                    <w:jc w:val="center"/>
                    <w:rPr>
                      <w:rFonts w:hint="default" w:ascii="Times New Roman" w:hAnsi="Times New Roman" w:eastAsia="宋体" w:cs="Times New Roman"/>
                      <w:b w:val="0"/>
                      <w:bCs w:val="0"/>
                      <w:color w:val="auto"/>
                      <w:kern w:val="2"/>
                      <w:sz w:val="18"/>
                      <w:szCs w:val="18"/>
                      <w:highlight w:val="none"/>
                      <w:u w:val="none" w:color="auto"/>
                      <w:lang w:val="en-US" w:eastAsia="zh-CN" w:bidi="ar-SA"/>
                    </w:rPr>
                  </w:pPr>
                </w:p>
              </w:tc>
              <w:tc>
                <w:tcPr>
                  <w:tcW w:w="451" w:type="pct"/>
                  <w:vMerge w:val="continue"/>
                  <w:tcBorders>
                    <w:tl2br w:val="nil"/>
                    <w:tr2bl w:val="nil"/>
                  </w:tcBorders>
                  <w:vAlign w:val="center"/>
                </w:tcPr>
                <w:p w14:paraId="0392F1FA">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765" w:type="pct"/>
                  <w:vMerge w:val="continue"/>
                  <w:tcBorders>
                    <w:tl2br w:val="nil"/>
                    <w:tr2bl w:val="nil"/>
                  </w:tcBorders>
                  <w:vAlign w:val="center"/>
                </w:tcPr>
                <w:p w14:paraId="4BBDD4F4">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lang w:val="en-US" w:eastAsia="zh-CN"/>
                    </w:rPr>
                  </w:pPr>
                </w:p>
              </w:tc>
              <w:tc>
                <w:tcPr>
                  <w:tcW w:w="368" w:type="pct"/>
                  <w:tcBorders>
                    <w:tl2br w:val="nil"/>
                    <w:tr2bl w:val="nil"/>
                  </w:tcBorders>
                  <w:vAlign w:val="center"/>
                </w:tcPr>
                <w:p w14:paraId="3304217A">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72.7</w:t>
                  </w:r>
                </w:p>
              </w:tc>
              <w:tc>
                <w:tcPr>
                  <w:tcW w:w="400" w:type="pct"/>
                  <w:tcBorders>
                    <w:tl2br w:val="nil"/>
                    <w:tr2bl w:val="nil"/>
                  </w:tcBorders>
                  <w:vAlign w:val="center"/>
                </w:tcPr>
                <w:p w14:paraId="50557E35">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55.6</w:t>
                  </w:r>
                </w:p>
              </w:tc>
              <w:tc>
                <w:tcPr>
                  <w:tcW w:w="342" w:type="pct"/>
                  <w:vMerge w:val="continue"/>
                  <w:tcBorders>
                    <w:tl2br w:val="nil"/>
                    <w:tr2bl w:val="nil"/>
                  </w:tcBorders>
                  <w:vAlign w:val="center"/>
                </w:tcPr>
                <w:p w14:paraId="535AA4D7">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419" w:type="pct"/>
                  <w:tcBorders>
                    <w:tl2br w:val="nil"/>
                    <w:tr2bl w:val="nil"/>
                  </w:tcBorders>
                  <w:shd w:val="clear" w:color="auto" w:fill="auto"/>
                  <w:vAlign w:val="center"/>
                </w:tcPr>
                <w:p w14:paraId="62CEE1C9">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u w:val="none" w:color="auto"/>
                      <w:lang w:val="en-US" w:eastAsia="zh-CN" w:bidi="ar-SA"/>
                    </w:rPr>
                  </w:pPr>
                  <w:r>
                    <w:rPr>
                      <w:rFonts w:hint="eastAsia" w:cs="Times New Roman"/>
                      <w:color w:val="auto"/>
                      <w:kern w:val="0"/>
                      <w:sz w:val="18"/>
                      <w:szCs w:val="18"/>
                      <w:highlight w:val="none"/>
                      <w:u w:val="none" w:color="auto"/>
                      <w:lang w:val="en-US" w:eastAsia="zh-CN" w:bidi="ar-SA"/>
                    </w:rPr>
                    <w:t>26</w:t>
                  </w:r>
                </w:p>
              </w:tc>
              <w:tc>
                <w:tcPr>
                  <w:tcW w:w="419" w:type="pct"/>
                  <w:tcBorders>
                    <w:tl2br w:val="nil"/>
                    <w:tr2bl w:val="nil"/>
                  </w:tcBorders>
                  <w:vAlign w:val="center"/>
                </w:tcPr>
                <w:p w14:paraId="74F64695">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29.6</w:t>
                  </w:r>
                </w:p>
              </w:tc>
              <w:tc>
                <w:tcPr>
                  <w:tcW w:w="235" w:type="pct"/>
                  <w:vMerge w:val="continue"/>
                  <w:tcBorders>
                    <w:tl2br w:val="nil"/>
                    <w:tr2bl w:val="nil"/>
                  </w:tcBorders>
                  <w:vAlign w:val="center"/>
                </w:tcPr>
                <w:p w14:paraId="3A319829">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r>
            <w:tr w14:paraId="78E9E1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4" w:type="pct"/>
                  <w:vMerge w:val="continue"/>
                  <w:tcBorders>
                    <w:tl2br w:val="nil"/>
                    <w:tr2bl w:val="nil"/>
                  </w:tcBorders>
                  <w:vAlign w:val="center"/>
                </w:tcPr>
                <w:p w14:paraId="76F3BDB5">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234" w:type="pct"/>
                  <w:vMerge w:val="continue"/>
                  <w:tcBorders>
                    <w:tl2br w:val="nil"/>
                    <w:tr2bl w:val="nil"/>
                  </w:tcBorders>
                  <w:vAlign w:val="center"/>
                </w:tcPr>
                <w:p w14:paraId="666607CF">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393" w:type="pct"/>
                  <w:vMerge w:val="continue"/>
                  <w:tcBorders>
                    <w:tl2br w:val="nil"/>
                    <w:tr2bl w:val="nil"/>
                  </w:tcBorders>
                  <w:vAlign w:val="center"/>
                </w:tcPr>
                <w:p w14:paraId="001DEAD6">
                  <w:pPr>
                    <w:jc w:val="center"/>
                    <w:textAlignment w:val="center"/>
                    <w:rPr>
                      <w:rFonts w:hint="default" w:ascii="Times New Roman" w:hAnsi="Times New Roman" w:eastAsia="宋体" w:cs="Times New Roman"/>
                      <w:color w:val="auto"/>
                      <w:kern w:val="2"/>
                      <w:sz w:val="18"/>
                      <w:szCs w:val="18"/>
                      <w:highlight w:val="none"/>
                      <w:u w:val="none" w:color="auto"/>
                      <w:lang w:val="en-US" w:eastAsia="zh-CN" w:bidi="ar-SA"/>
                    </w:rPr>
                  </w:pPr>
                </w:p>
              </w:tc>
              <w:tc>
                <w:tcPr>
                  <w:tcW w:w="259" w:type="pct"/>
                  <w:vMerge w:val="continue"/>
                  <w:tcBorders>
                    <w:tl2br w:val="nil"/>
                    <w:tr2bl w:val="nil"/>
                  </w:tcBorders>
                  <w:vAlign w:val="center"/>
                </w:tcPr>
                <w:p w14:paraId="5067AE90">
                  <w:pPr>
                    <w:pStyle w:val="94"/>
                    <w:spacing w:beforeLines="0" w:afterLines="0" w:line="240" w:lineRule="auto"/>
                    <w:jc w:val="center"/>
                    <w:rPr>
                      <w:rFonts w:hint="default" w:ascii="Times New Roman" w:hAnsi="Times New Roman" w:eastAsia="宋体" w:cs="Times New Roman"/>
                      <w:color w:val="auto"/>
                      <w:kern w:val="0"/>
                      <w:sz w:val="18"/>
                      <w:szCs w:val="18"/>
                      <w:highlight w:val="none"/>
                      <w:u w:val="none" w:color="auto"/>
                      <w:lang w:val="en-US" w:eastAsia="zh-CN" w:bidi="ar-SA"/>
                    </w:rPr>
                  </w:pPr>
                </w:p>
              </w:tc>
              <w:tc>
                <w:tcPr>
                  <w:tcW w:w="477" w:type="pct"/>
                  <w:vMerge w:val="continue"/>
                  <w:tcBorders>
                    <w:tl2br w:val="nil"/>
                    <w:tr2bl w:val="nil"/>
                  </w:tcBorders>
                  <w:vAlign w:val="center"/>
                </w:tcPr>
                <w:p w14:paraId="55864029">
                  <w:pPr>
                    <w:pStyle w:val="94"/>
                    <w:spacing w:before="24" w:after="24"/>
                    <w:jc w:val="center"/>
                    <w:rPr>
                      <w:rFonts w:hint="default" w:ascii="Times New Roman" w:hAnsi="Times New Roman" w:eastAsia="宋体" w:cs="Times New Roman"/>
                      <w:b w:val="0"/>
                      <w:bCs w:val="0"/>
                      <w:color w:val="auto"/>
                      <w:kern w:val="2"/>
                      <w:sz w:val="18"/>
                      <w:szCs w:val="18"/>
                      <w:highlight w:val="none"/>
                      <w:u w:val="none" w:color="auto"/>
                      <w:lang w:val="en-US" w:eastAsia="zh-CN" w:bidi="ar-SA"/>
                    </w:rPr>
                  </w:pPr>
                </w:p>
              </w:tc>
              <w:tc>
                <w:tcPr>
                  <w:tcW w:w="451" w:type="pct"/>
                  <w:vMerge w:val="continue"/>
                  <w:tcBorders>
                    <w:tl2br w:val="nil"/>
                    <w:tr2bl w:val="nil"/>
                  </w:tcBorders>
                  <w:vAlign w:val="center"/>
                </w:tcPr>
                <w:p w14:paraId="31BD01FE">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765" w:type="pct"/>
                  <w:vMerge w:val="continue"/>
                  <w:tcBorders>
                    <w:tl2br w:val="nil"/>
                    <w:tr2bl w:val="nil"/>
                  </w:tcBorders>
                  <w:vAlign w:val="center"/>
                </w:tcPr>
                <w:p w14:paraId="0C7DA958">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lang w:val="en-US" w:eastAsia="zh-CN"/>
                    </w:rPr>
                  </w:pPr>
                </w:p>
              </w:tc>
              <w:tc>
                <w:tcPr>
                  <w:tcW w:w="368" w:type="pct"/>
                  <w:tcBorders>
                    <w:tl2br w:val="nil"/>
                    <w:tr2bl w:val="nil"/>
                  </w:tcBorders>
                  <w:vAlign w:val="center"/>
                </w:tcPr>
                <w:p w14:paraId="3A66DC9C">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30.5</w:t>
                  </w:r>
                </w:p>
              </w:tc>
              <w:tc>
                <w:tcPr>
                  <w:tcW w:w="400" w:type="pct"/>
                  <w:tcBorders>
                    <w:tl2br w:val="nil"/>
                    <w:tr2bl w:val="nil"/>
                  </w:tcBorders>
                  <w:vAlign w:val="center"/>
                </w:tcPr>
                <w:p w14:paraId="77AA902B">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55.6</w:t>
                  </w:r>
                </w:p>
              </w:tc>
              <w:tc>
                <w:tcPr>
                  <w:tcW w:w="342" w:type="pct"/>
                  <w:vMerge w:val="continue"/>
                  <w:tcBorders>
                    <w:tl2br w:val="nil"/>
                    <w:tr2bl w:val="nil"/>
                  </w:tcBorders>
                  <w:vAlign w:val="center"/>
                </w:tcPr>
                <w:p w14:paraId="69368F61">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419" w:type="pct"/>
                  <w:tcBorders>
                    <w:tl2br w:val="nil"/>
                    <w:tr2bl w:val="nil"/>
                  </w:tcBorders>
                  <w:shd w:val="clear" w:color="auto" w:fill="auto"/>
                  <w:vAlign w:val="center"/>
                </w:tcPr>
                <w:p w14:paraId="4FFE4F75">
                  <w:pPr>
                    <w:keepNext w:val="0"/>
                    <w:keepLines w:val="0"/>
                    <w:widowControl/>
                    <w:suppressLineNumbers w:val="0"/>
                    <w:jc w:val="center"/>
                    <w:textAlignment w:val="center"/>
                    <w:rPr>
                      <w:rFonts w:hint="default" w:ascii="Times New Roman" w:hAnsi="Times New Roman" w:eastAsia="宋体" w:cs="Times New Roman"/>
                      <w:color w:val="auto"/>
                      <w:kern w:val="0"/>
                      <w:sz w:val="18"/>
                      <w:szCs w:val="18"/>
                      <w:highlight w:val="none"/>
                      <w:u w:val="none" w:color="auto"/>
                      <w:lang w:val="en-US" w:eastAsia="zh-CN" w:bidi="ar-SA"/>
                    </w:rPr>
                  </w:pPr>
                  <w:r>
                    <w:rPr>
                      <w:rFonts w:hint="eastAsia" w:cs="Times New Roman"/>
                      <w:color w:val="auto"/>
                      <w:kern w:val="0"/>
                      <w:sz w:val="18"/>
                      <w:szCs w:val="18"/>
                      <w:highlight w:val="none"/>
                      <w:u w:val="none" w:color="auto"/>
                      <w:lang w:val="en-US" w:eastAsia="zh-CN" w:bidi="ar-SA"/>
                    </w:rPr>
                    <w:t>16</w:t>
                  </w:r>
                </w:p>
              </w:tc>
              <w:tc>
                <w:tcPr>
                  <w:tcW w:w="419" w:type="pct"/>
                  <w:tcBorders>
                    <w:tl2br w:val="nil"/>
                    <w:tr2bl w:val="nil"/>
                  </w:tcBorders>
                  <w:vAlign w:val="center"/>
                </w:tcPr>
                <w:p w14:paraId="2769E191">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39.6</w:t>
                  </w:r>
                </w:p>
              </w:tc>
              <w:tc>
                <w:tcPr>
                  <w:tcW w:w="235" w:type="pct"/>
                  <w:vMerge w:val="continue"/>
                  <w:tcBorders>
                    <w:tl2br w:val="nil"/>
                    <w:tr2bl w:val="nil"/>
                  </w:tcBorders>
                  <w:vAlign w:val="center"/>
                </w:tcPr>
                <w:p w14:paraId="539541FB">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r>
            <w:tr w14:paraId="127F90A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4" w:type="pct"/>
                  <w:vMerge w:val="restart"/>
                  <w:tcBorders>
                    <w:tl2br w:val="nil"/>
                    <w:tr2bl w:val="nil"/>
                  </w:tcBorders>
                  <w:shd w:val="clear" w:color="auto" w:fill="auto"/>
                  <w:vAlign w:val="center"/>
                </w:tcPr>
                <w:p w14:paraId="2BDE22C1">
                  <w:pPr>
                    <w:pStyle w:val="26"/>
                    <w:spacing w:line="240" w:lineRule="auto"/>
                    <w:ind w:firstLine="0" w:firstLineChars="0"/>
                    <w:jc w:val="center"/>
                    <w:rPr>
                      <w:rFonts w:hint="default" w:ascii="Times New Roman" w:hAnsi="Times New Roman" w:eastAsia="宋体" w:cs="Times New Roman"/>
                      <w:color w:val="auto"/>
                      <w:kern w:val="0"/>
                      <w:sz w:val="18"/>
                      <w:szCs w:val="18"/>
                      <w:highlight w:val="none"/>
                      <w:u w:val="none" w:color="auto"/>
                      <w:lang w:val="en-US" w:eastAsia="zh-CN" w:bidi="ar-SA"/>
                    </w:rPr>
                  </w:pPr>
                  <w:r>
                    <w:rPr>
                      <w:rFonts w:hint="default" w:ascii="Times New Roman" w:hAnsi="Times New Roman" w:eastAsia="宋体" w:cs="Times New Roman"/>
                      <w:color w:val="auto"/>
                      <w:sz w:val="18"/>
                      <w:szCs w:val="18"/>
                      <w:highlight w:val="none"/>
                      <w:u w:val="none" w:color="auto"/>
                    </w:rPr>
                    <w:t>4</w:t>
                  </w:r>
                </w:p>
              </w:tc>
              <w:tc>
                <w:tcPr>
                  <w:tcW w:w="234" w:type="pct"/>
                  <w:vMerge w:val="continue"/>
                  <w:tcBorders>
                    <w:tl2br w:val="nil"/>
                    <w:tr2bl w:val="nil"/>
                  </w:tcBorders>
                  <w:vAlign w:val="center"/>
                </w:tcPr>
                <w:p w14:paraId="4DBAF111">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393" w:type="pct"/>
                  <w:vMerge w:val="restart"/>
                  <w:tcBorders>
                    <w:tl2br w:val="nil"/>
                    <w:tr2bl w:val="nil"/>
                  </w:tcBorders>
                  <w:vAlign w:val="center"/>
                </w:tcPr>
                <w:p w14:paraId="6E56C4CD">
                  <w:pPr>
                    <w:jc w:val="center"/>
                    <w:rPr>
                      <w:rFonts w:hint="default" w:ascii="Times New Roman" w:hAnsi="Times New Roman" w:eastAsia="宋体" w:cs="Times New Roman"/>
                      <w:color w:val="auto"/>
                      <w:kern w:val="2"/>
                      <w:sz w:val="18"/>
                      <w:szCs w:val="18"/>
                      <w:highlight w:val="none"/>
                      <w:u w:val="none" w:color="auto"/>
                      <w:lang w:val="en-US" w:eastAsia="zh-CN" w:bidi="ar-SA"/>
                    </w:rPr>
                  </w:pPr>
                  <w:r>
                    <w:rPr>
                      <w:rFonts w:hint="eastAsia" w:cs="Times New Roman"/>
                      <w:color w:val="auto"/>
                      <w:sz w:val="18"/>
                      <w:szCs w:val="18"/>
                      <w:highlight w:val="none"/>
                      <w:u w:val="none" w:color="auto"/>
                      <w:lang w:val="en-US" w:eastAsia="zh-CN"/>
                    </w:rPr>
                    <w:t>拉丝膜机</w:t>
                  </w:r>
                </w:p>
              </w:tc>
              <w:tc>
                <w:tcPr>
                  <w:tcW w:w="259" w:type="pct"/>
                  <w:vMerge w:val="restart"/>
                  <w:tcBorders>
                    <w:tl2br w:val="nil"/>
                    <w:tr2bl w:val="nil"/>
                  </w:tcBorders>
                  <w:vAlign w:val="center"/>
                </w:tcPr>
                <w:p w14:paraId="2327262E">
                  <w:pPr>
                    <w:pStyle w:val="94"/>
                    <w:spacing w:beforeLines="0" w:afterLines="0" w:line="240" w:lineRule="auto"/>
                    <w:jc w:val="center"/>
                    <w:rPr>
                      <w:rFonts w:hint="default" w:ascii="Times New Roman" w:hAnsi="Times New Roman" w:eastAsia="宋体" w:cs="Times New Roman"/>
                      <w:color w:val="auto"/>
                      <w:kern w:val="0"/>
                      <w:sz w:val="18"/>
                      <w:szCs w:val="18"/>
                      <w:highlight w:val="none"/>
                      <w:u w:val="none" w:color="auto"/>
                      <w:lang w:val="en-US" w:eastAsia="zh-CN" w:bidi="ar-SA"/>
                    </w:rPr>
                  </w:pPr>
                  <w:r>
                    <w:rPr>
                      <w:rFonts w:hint="eastAsia" w:ascii="Times New Roman" w:cs="Times New Roman"/>
                      <w:color w:val="auto"/>
                      <w:sz w:val="18"/>
                      <w:szCs w:val="18"/>
                      <w:highlight w:val="none"/>
                      <w:u w:val="none" w:color="auto"/>
                      <w:lang w:val="en-US" w:eastAsia="zh-CN"/>
                    </w:rPr>
                    <w:t>4</w:t>
                  </w:r>
                </w:p>
              </w:tc>
              <w:tc>
                <w:tcPr>
                  <w:tcW w:w="477" w:type="pct"/>
                  <w:vMerge w:val="restart"/>
                  <w:tcBorders>
                    <w:tl2br w:val="nil"/>
                    <w:tr2bl w:val="nil"/>
                  </w:tcBorders>
                  <w:vAlign w:val="center"/>
                </w:tcPr>
                <w:p w14:paraId="070714D7">
                  <w:pPr>
                    <w:pStyle w:val="94"/>
                    <w:spacing w:before="24" w:after="24"/>
                    <w:jc w:val="center"/>
                    <w:rPr>
                      <w:rFonts w:hint="default" w:ascii="Times New Roman" w:hAnsi="Times New Roman" w:eastAsia="宋体" w:cs="Times New Roman"/>
                      <w:b w:val="0"/>
                      <w:bCs w:val="0"/>
                      <w:color w:val="auto"/>
                      <w:kern w:val="2"/>
                      <w:sz w:val="18"/>
                      <w:szCs w:val="18"/>
                      <w:highlight w:val="none"/>
                      <w:u w:val="none" w:color="auto"/>
                      <w:lang w:val="en-US" w:eastAsia="zh-CN" w:bidi="ar-SA"/>
                    </w:rPr>
                  </w:pPr>
                  <w:r>
                    <w:rPr>
                      <w:rFonts w:hint="eastAsia" w:ascii="Times New Roman" w:cs="Times New Roman"/>
                      <w:color w:val="auto"/>
                      <w:sz w:val="18"/>
                      <w:szCs w:val="18"/>
                      <w:highlight w:val="none"/>
                      <w:u w:val="none" w:color="auto"/>
                      <w:lang w:val="en-US" w:eastAsia="zh-CN"/>
                    </w:rPr>
                    <w:t>65（等效后71）</w:t>
                  </w:r>
                </w:p>
              </w:tc>
              <w:tc>
                <w:tcPr>
                  <w:tcW w:w="451" w:type="pct"/>
                  <w:vMerge w:val="restart"/>
                  <w:tcBorders>
                    <w:tl2br w:val="nil"/>
                    <w:tr2bl w:val="nil"/>
                  </w:tcBorders>
                  <w:vAlign w:val="center"/>
                </w:tcPr>
                <w:p w14:paraId="058649C9">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r>
                    <w:rPr>
                      <w:rFonts w:hint="default" w:ascii="Times New Roman" w:hAnsi="Times New Roman" w:eastAsia="宋体" w:cs="Times New Roman"/>
                      <w:color w:val="auto"/>
                      <w:sz w:val="18"/>
                      <w:szCs w:val="18"/>
                      <w:highlight w:val="none"/>
                      <w:u w:val="none" w:color="auto"/>
                      <w:lang w:val="en-US" w:eastAsia="zh-CN"/>
                    </w:rPr>
                    <w:t>减振、厂房隔声</w:t>
                  </w:r>
                </w:p>
              </w:tc>
              <w:tc>
                <w:tcPr>
                  <w:tcW w:w="765" w:type="pct"/>
                  <w:vMerge w:val="restart"/>
                  <w:tcBorders>
                    <w:tl2br w:val="nil"/>
                    <w:tr2bl w:val="nil"/>
                  </w:tcBorders>
                  <w:vAlign w:val="center"/>
                </w:tcPr>
                <w:p w14:paraId="4B47FCEA">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lang w:val="en-US" w:eastAsia="zh-CN"/>
                    </w:rPr>
                  </w:pPr>
                  <w:r>
                    <w:rPr>
                      <w:rFonts w:hint="eastAsia" w:ascii="Times New Roman" w:hAnsi="Times New Roman" w:cs="Times New Roman"/>
                      <w:color w:val="auto"/>
                      <w:sz w:val="18"/>
                      <w:szCs w:val="18"/>
                      <w:highlight w:val="none"/>
                      <w:u w:val="none" w:color="auto"/>
                      <w:lang w:val="en-US" w:eastAsia="zh-CN"/>
                    </w:rPr>
                    <w:t>-4.2,21.4,1.2</w:t>
                  </w:r>
                </w:p>
              </w:tc>
              <w:tc>
                <w:tcPr>
                  <w:tcW w:w="368" w:type="pct"/>
                  <w:tcBorders>
                    <w:tl2br w:val="nil"/>
                    <w:tr2bl w:val="nil"/>
                  </w:tcBorders>
                  <w:vAlign w:val="center"/>
                </w:tcPr>
                <w:p w14:paraId="79E9BEDE">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48.1</w:t>
                  </w:r>
                </w:p>
              </w:tc>
              <w:tc>
                <w:tcPr>
                  <w:tcW w:w="400" w:type="pct"/>
                  <w:tcBorders>
                    <w:tl2br w:val="nil"/>
                    <w:tr2bl w:val="nil"/>
                  </w:tcBorders>
                  <w:vAlign w:val="center"/>
                </w:tcPr>
                <w:p w14:paraId="1A6196C8">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54.6</w:t>
                  </w:r>
                </w:p>
              </w:tc>
              <w:tc>
                <w:tcPr>
                  <w:tcW w:w="342" w:type="pct"/>
                  <w:vMerge w:val="continue"/>
                  <w:tcBorders>
                    <w:tl2br w:val="nil"/>
                    <w:tr2bl w:val="nil"/>
                  </w:tcBorders>
                  <w:vAlign w:val="center"/>
                </w:tcPr>
                <w:p w14:paraId="5E0DFDDD">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419" w:type="pct"/>
                  <w:tcBorders>
                    <w:tl2br w:val="nil"/>
                    <w:tr2bl w:val="nil"/>
                  </w:tcBorders>
                  <w:vAlign w:val="center"/>
                </w:tcPr>
                <w:p w14:paraId="7FFC8D89">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26</w:t>
                  </w:r>
                </w:p>
              </w:tc>
              <w:tc>
                <w:tcPr>
                  <w:tcW w:w="419" w:type="pct"/>
                  <w:tcBorders>
                    <w:tl2br w:val="nil"/>
                    <w:tr2bl w:val="nil"/>
                  </w:tcBorders>
                  <w:vAlign w:val="center"/>
                </w:tcPr>
                <w:p w14:paraId="13468AD3">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28.6</w:t>
                  </w:r>
                </w:p>
              </w:tc>
              <w:tc>
                <w:tcPr>
                  <w:tcW w:w="235" w:type="pct"/>
                  <w:vMerge w:val="restart"/>
                  <w:tcBorders>
                    <w:tl2br w:val="nil"/>
                    <w:tr2bl w:val="nil"/>
                  </w:tcBorders>
                  <w:vAlign w:val="center"/>
                </w:tcPr>
                <w:p w14:paraId="1E4C83BC">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r>
                    <w:rPr>
                      <w:rFonts w:hint="default" w:ascii="Times New Roman" w:hAnsi="Times New Roman" w:eastAsia="宋体" w:cs="Times New Roman"/>
                      <w:color w:val="auto"/>
                      <w:sz w:val="18"/>
                      <w:szCs w:val="18"/>
                      <w:highlight w:val="none"/>
                      <w:u w:val="none" w:color="auto"/>
                    </w:rPr>
                    <w:t>1</w:t>
                  </w:r>
                </w:p>
              </w:tc>
            </w:tr>
            <w:tr w14:paraId="351249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4" w:type="pct"/>
                  <w:vMerge w:val="continue"/>
                  <w:tcBorders>
                    <w:tl2br w:val="nil"/>
                    <w:tr2bl w:val="nil"/>
                  </w:tcBorders>
                  <w:vAlign w:val="center"/>
                </w:tcPr>
                <w:p w14:paraId="1ED92C3D">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234" w:type="pct"/>
                  <w:vMerge w:val="continue"/>
                  <w:tcBorders>
                    <w:tl2br w:val="nil"/>
                    <w:tr2bl w:val="nil"/>
                  </w:tcBorders>
                  <w:vAlign w:val="center"/>
                </w:tcPr>
                <w:p w14:paraId="7BBBC4F6">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393" w:type="pct"/>
                  <w:vMerge w:val="continue"/>
                  <w:tcBorders>
                    <w:tl2br w:val="nil"/>
                    <w:tr2bl w:val="nil"/>
                  </w:tcBorders>
                  <w:vAlign w:val="center"/>
                </w:tcPr>
                <w:p w14:paraId="6F3837C1">
                  <w:pPr>
                    <w:jc w:val="center"/>
                    <w:rPr>
                      <w:rFonts w:hint="default" w:ascii="Times New Roman" w:hAnsi="Times New Roman" w:eastAsia="宋体" w:cs="Times New Roman"/>
                      <w:color w:val="auto"/>
                      <w:sz w:val="18"/>
                      <w:szCs w:val="18"/>
                      <w:highlight w:val="none"/>
                      <w:u w:val="none" w:color="auto"/>
                    </w:rPr>
                  </w:pPr>
                </w:p>
              </w:tc>
              <w:tc>
                <w:tcPr>
                  <w:tcW w:w="259" w:type="pct"/>
                  <w:vMerge w:val="continue"/>
                  <w:tcBorders>
                    <w:tl2br w:val="nil"/>
                    <w:tr2bl w:val="nil"/>
                  </w:tcBorders>
                  <w:vAlign w:val="center"/>
                </w:tcPr>
                <w:p w14:paraId="766357BD">
                  <w:pPr>
                    <w:pStyle w:val="94"/>
                    <w:spacing w:beforeLines="0" w:afterLines="0" w:line="240" w:lineRule="auto"/>
                    <w:jc w:val="center"/>
                    <w:rPr>
                      <w:rFonts w:hint="default" w:ascii="Times New Roman" w:hAnsi="Times New Roman" w:eastAsia="宋体" w:cs="Times New Roman"/>
                      <w:color w:val="auto"/>
                      <w:sz w:val="18"/>
                      <w:szCs w:val="18"/>
                      <w:highlight w:val="none"/>
                      <w:u w:val="none" w:color="auto"/>
                    </w:rPr>
                  </w:pPr>
                </w:p>
              </w:tc>
              <w:tc>
                <w:tcPr>
                  <w:tcW w:w="477" w:type="pct"/>
                  <w:vMerge w:val="continue"/>
                  <w:tcBorders>
                    <w:tl2br w:val="nil"/>
                    <w:tr2bl w:val="nil"/>
                  </w:tcBorders>
                  <w:vAlign w:val="center"/>
                </w:tcPr>
                <w:p w14:paraId="12335EC8">
                  <w:pPr>
                    <w:pStyle w:val="94"/>
                    <w:spacing w:before="24" w:after="24"/>
                    <w:jc w:val="center"/>
                    <w:rPr>
                      <w:rFonts w:hint="default" w:ascii="Times New Roman" w:hAnsi="Times New Roman" w:eastAsia="宋体" w:cs="Times New Roman"/>
                      <w:color w:val="auto"/>
                      <w:sz w:val="18"/>
                      <w:szCs w:val="18"/>
                      <w:highlight w:val="none"/>
                      <w:u w:val="none" w:color="auto"/>
                      <w:lang w:val="en-US" w:eastAsia="zh-CN"/>
                    </w:rPr>
                  </w:pPr>
                </w:p>
              </w:tc>
              <w:tc>
                <w:tcPr>
                  <w:tcW w:w="451" w:type="pct"/>
                  <w:vMerge w:val="continue"/>
                  <w:tcBorders>
                    <w:tl2br w:val="nil"/>
                    <w:tr2bl w:val="nil"/>
                  </w:tcBorders>
                  <w:vAlign w:val="center"/>
                </w:tcPr>
                <w:p w14:paraId="1B4BFB1B">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765" w:type="pct"/>
                  <w:vMerge w:val="continue"/>
                  <w:tcBorders>
                    <w:tl2br w:val="nil"/>
                    <w:tr2bl w:val="nil"/>
                  </w:tcBorders>
                  <w:vAlign w:val="center"/>
                </w:tcPr>
                <w:p w14:paraId="0476A1CB">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lang w:val="en-US" w:eastAsia="zh-CN"/>
                    </w:rPr>
                  </w:pPr>
                </w:p>
              </w:tc>
              <w:tc>
                <w:tcPr>
                  <w:tcW w:w="368" w:type="pct"/>
                  <w:tcBorders>
                    <w:tl2br w:val="nil"/>
                    <w:tr2bl w:val="nil"/>
                  </w:tcBorders>
                  <w:vAlign w:val="center"/>
                </w:tcPr>
                <w:p w14:paraId="4BF11CC4">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30.6</w:t>
                  </w:r>
                </w:p>
              </w:tc>
              <w:tc>
                <w:tcPr>
                  <w:tcW w:w="400" w:type="pct"/>
                  <w:tcBorders>
                    <w:tl2br w:val="nil"/>
                    <w:tr2bl w:val="nil"/>
                  </w:tcBorders>
                  <w:vAlign w:val="center"/>
                </w:tcPr>
                <w:p w14:paraId="6D5006AA">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54.6</w:t>
                  </w:r>
                </w:p>
              </w:tc>
              <w:tc>
                <w:tcPr>
                  <w:tcW w:w="342" w:type="pct"/>
                  <w:vMerge w:val="continue"/>
                  <w:tcBorders>
                    <w:tl2br w:val="nil"/>
                    <w:tr2bl w:val="nil"/>
                  </w:tcBorders>
                  <w:vAlign w:val="center"/>
                </w:tcPr>
                <w:p w14:paraId="42D34CCC">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419" w:type="pct"/>
                  <w:tcBorders>
                    <w:tl2br w:val="nil"/>
                    <w:tr2bl w:val="nil"/>
                  </w:tcBorders>
                  <w:vAlign w:val="center"/>
                </w:tcPr>
                <w:p w14:paraId="14890B5E">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16</w:t>
                  </w:r>
                </w:p>
              </w:tc>
              <w:tc>
                <w:tcPr>
                  <w:tcW w:w="419" w:type="pct"/>
                  <w:tcBorders>
                    <w:tl2br w:val="nil"/>
                    <w:tr2bl w:val="nil"/>
                  </w:tcBorders>
                  <w:vAlign w:val="center"/>
                </w:tcPr>
                <w:p w14:paraId="00FD598A">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38.6</w:t>
                  </w:r>
                </w:p>
              </w:tc>
              <w:tc>
                <w:tcPr>
                  <w:tcW w:w="235" w:type="pct"/>
                  <w:vMerge w:val="continue"/>
                  <w:tcBorders>
                    <w:tl2br w:val="nil"/>
                    <w:tr2bl w:val="nil"/>
                  </w:tcBorders>
                  <w:vAlign w:val="center"/>
                </w:tcPr>
                <w:p w14:paraId="1237F6CD">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r>
            <w:tr w14:paraId="6188C51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4" w:type="pct"/>
                  <w:vMerge w:val="continue"/>
                  <w:tcBorders>
                    <w:tl2br w:val="nil"/>
                    <w:tr2bl w:val="nil"/>
                  </w:tcBorders>
                  <w:vAlign w:val="center"/>
                </w:tcPr>
                <w:p w14:paraId="458FFC5F">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234" w:type="pct"/>
                  <w:vMerge w:val="continue"/>
                  <w:tcBorders>
                    <w:tl2br w:val="nil"/>
                    <w:tr2bl w:val="nil"/>
                  </w:tcBorders>
                  <w:vAlign w:val="center"/>
                </w:tcPr>
                <w:p w14:paraId="375A3D91">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393" w:type="pct"/>
                  <w:vMerge w:val="continue"/>
                  <w:tcBorders>
                    <w:tl2br w:val="nil"/>
                    <w:tr2bl w:val="nil"/>
                  </w:tcBorders>
                  <w:vAlign w:val="center"/>
                </w:tcPr>
                <w:p w14:paraId="4A05496F">
                  <w:pPr>
                    <w:jc w:val="center"/>
                    <w:rPr>
                      <w:rFonts w:hint="default" w:ascii="Times New Roman" w:hAnsi="Times New Roman" w:eastAsia="宋体" w:cs="Times New Roman"/>
                      <w:color w:val="auto"/>
                      <w:sz w:val="18"/>
                      <w:szCs w:val="18"/>
                      <w:highlight w:val="none"/>
                      <w:u w:val="none" w:color="auto"/>
                    </w:rPr>
                  </w:pPr>
                </w:p>
              </w:tc>
              <w:tc>
                <w:tcPr>
                  <w:tcW w:w="259" w:type="pct"/>
                  <w:vMerge w:val="continue"/>
                  <w:tcBorders>
                    <w:tl2br w:val="nil"/>
                    <w:tr2bl w:val="nil"/>
                  </w:tcBorders>
                  <w:vAlign w:val="center"/>
                </w:tcPr>
                <w:p w14:paraId="371FB6AF">
                  <w:pPr>
                    <w:pStyle w:val="94"/>
                    <w:spacing w:beforeLines="0" w:afterLines="0" w:line="240" w:lineRule="auto"/>
                    <w:jc w:val="center"/>
                    <w:rPr>
                      <w:rFonts w:hint="default" w:ascii="Times New Roman" w:hAnsi="Times New Roman" w:eastAsia="宋体" w:cs="Times New Roman"/>
                      <w:color w:val="auto"/>
                      <w:sz w:val="18"/>
                      <w:szCs w:val="18"/>
                      <w:highlight w:val="none"/>
                      <w:u w:val="none" w:color="auto"/>
                    </w:rPr>
                  </w:pPr>
                </w:p>
              </w:tc>
              <w:tc>
                <w:tcPr>
                  <w:tcW w:w="477" w:type="pct"/>
                  <w:vMerge w:val="continue"/>
                  <w:tcBorders>
                    <w:tl2br w:val="nil"/>
                    <w:tr2bl w:val="nil"/>
                  </w:tcBorders>
                  <w:vAlign w:val="center"/>
                </w:tcPr>
                <w:p w14:paraId="23571F5C">
                  <w:pPr>
                    <w:pStyle w:val="94"/>
                    <w:spacing w:before="24" w:after="24"/>
                    <w:jc w:val="center"/>
                    <w:rPr>
                      <w:rFonts w:hint="default" w:ascii="Times New Roman" w:hAnsi="Times New Roman" w:eastAsia="宋体" w:cs="Times New Roman"/>
                      <w:color w:val="auto"/>
                      <w:sz w:val="18"/>
                      <w:szCs w:val="18"/>
                      <w:highlight w:val="none"/>
                      <w:u w:val="none" w:color="auto"/>
                      <w:lang w:val="en-US" w:eastAsia="zh-CN"/>
                    </w:rPr>
                  </w:pPr>
                </w:p>
              </w:tc>
              <w:tc>
                <w:tcPr>
                  <w:tcW w:w="451" w:type="pct"/>
                  <w:vMerge w:val="continue"/>
                  <w:tcBorders>
                    <w:tl2br w:val="nil"/>
                    <w:tr2bl w:val="nil"/>
                  </w:tcBorders>
                  <w:vAlign w:val="center"/>
                </w:tcPr>
                <w:p w14:paraId="4EE6DC59">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765" w:type="pct"/>
                  <w:vMerge w:val="continue"/>
                  <w:tcBorders>
                    <w:tl2br w:val="nil"/>
                    <w:tr2bl w:val="nil"/>
                  </w:tcBorders>
                  <w:vAlign w:val="center"/>
                </w:tcPr>
                <w:p w14:paraId="5DEF4C96">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lang w:val="en-US" w:eastAsia="zh-CN"/>
                    </w:rPr>
                  </w:pPr>
                </w:p>
              </w:tc>
              <w:tc>
                <w:tcPr>
                  <w:tcW w:w="368" w:type="pct"/>
                  <w:tcBorders>
                    <w:tl2br w:val="nil"/>
                    <w:tr2bl w:val="nil"/>
                  </w:tcBorders>
                  <w:vAlign w:val="center"/>
                </w:tcPr>
                <w:p w14:paraId="71D200C8">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43.4</w:t>
                  </w:r>
                </w:p>
              </w:tc>
              <w:tc>
                <w:tcPr>
                  <w:tcW w:w="400" w:type="pct"/>
                  <w:tcBorders>
                    <w:tl2br w:val="nil"/>
                    <w:tr2bl w:val="nil"/>
                  </w:tcBorders>
                  <w:vAlign w:val="center"/>
                </w:tcPr>
                <w:p w14:paraId="4AF07004">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54.6</w:t>
                  </w:r>
                </w:p>
              </w:tc>
              <w:tc>
                <w:tcPr>
                  <w:tcW w:w="342" w:type="pct"/>
                  <w:vMerge w:val="continue"/>
                  <w:tcBorders>
                    <w:tl2br w:val="nil"/>
                    <w:tr2bl w:val="nil"/>
                  </w:tcBorders>
                  <w:vAlign w:val="center"/>
                </w:tcPr>
                <w:p w14:paraId="6B627893">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419" w:type="pct"/>
                  <w:tcBorders>
                    <w:tl2br w:val="nil"/>
                    <w:tr2bl w:val="nil"/>
                  </w:tcBorders>
                  <w:vAlign w:val="center"/>
                </w:tcPr>
                <w:p w14:paraId="238DCA97">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26</w:t>
                  </w:r>
                </w:p>
              </w:tc>
              <w:tc>
                <w:tcPr>
                  <w:tcW w:w="419" w:type="pct"/>
                  <w:tcBorders>
                    <w:tl2br w:val="nil"/>
                    <w:tr2bl w:val="nil"/>
                  </w:tcBorders>
                  <w:vAlign w:val="center"/>
                </w:tcPr>
                <w:p w14:paraId="4406527D">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28.6</w:t>
                  </w:r>
                </w:p>
              </w:tc>
              <w:tc>
                <w:tcPr>
                  <w:tcW w:w="235" w:type="pct"/>
                  <w:vMerge w:val="continue"/>
                  <w:tcBorders>
                    <w:tl2br w:val="nil"/>
                    <w:tr2bl w:val="nil"/>
                  </w:tcBorders>
                  <w:vAlign w:val="center"/>
                </w:tcPr>
                <w:p w14:paraId="6034CAAE">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r>
            <w:tr w14:paraId="43BBFE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4" w:type="pct"/>
                  <w:vMerge w:val="continue"/>
                  <w:tcBorders>
                    <w:tl2br w:val="nil"/>
                    <w:tr2bl w:val="nil"/>
                  </w:tcBorders>
                  <w:vAlign w:val="center"/>
                </w:tcPr>
                <w:p w14:paraId="2C88B865">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234" w:type="pct"/>
                  <w:vMerge w:val="continue"/>
                  <w:tcBorders>
                    <w:tl2br w:val="nil"/>
                    <w:tr2bl w:val="nil"/>
                  </w:tcBorders>
                  <w:vAlign w:val="center"/>
                </w:tcPr>
                <w:p w14:paraId="043C3266">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393" w:type="pct"/>
                  <w:vMerge w:val="continue"/>
                  <w:tcBorders>
                    <w:tl2br w:val="nil"/>
                    <w:tr2bl w:val="nil"/>
                  </w:tcBorders>
                  <w:vAlign w:val="center"/>
                </w:tcPr>
                <w:p w14:paraId="02BD69E1">
                  <w:pPr>
                    <w:jc w:val="center"/>
                    <w:rPr>
                      <w:rFonts w:hint="default" w:ascii="Times New Roman" w:hAnsi="Times New Roman" w:eastAsia="宋体" w:cs="Times New Roman"/>
                      <w:color w:val="auto"/>
                      <w:sz w:val="18"/>
                      <w:szCs w:val="18"/>
                      <w:highlight w:val="none"/>
                      <w:u w:val="none" w:color="auto"/>
                    </w:rPr>
                  </w:pPr>
                </w:p>
              </w:tc>
              <w:tc>
                <w:tcPr>
                  <w:tcW w:w="259" w:type="pct"/>
                  <w:vMerge w:val="continue"/>
                  <w:tcBorders>
                    <w:tl2br w:val="nil"/>
                    <w:tr2bl w:val="nil"/>
                  </w:tcBorders>
                  <w:vAlign w:val="center"/>
                </w:tcPr>
                <w:p w14:paraId="4A5C66AE">
                  <w:pPr>
                    <w:pStyle w:val="94"/>
                    <w:spacing w:beforeLines="0" w:afterLines="0" w:line="240" w:lineRule="auto"/>
                    <w:jc w:val="center"/>
                    <w:rPr>
                      <w:rFonts w:hint="default" w:ascii="Times New Roman" w:hAnsi="Times New Roman" w:eastAsia="宋体" w:cs="Times New Roman"/>
                      <w:color w:val="auto"/>
                      <w:sz w:val="18"/>
                      <w:szCs w:val="18"/>
                      <w:highlight w:val="none"/>
                      <w:u w:val="none" w:color="auto"/>
                    </w:rPr>
                  </w:pPr>
                </w:p>
              </w:tc>
              <w:tc>
                <w:tcPr>
                  <w:tcW w:w="477" w:type="pct"/>
                  <w:vMerge w:val="continue"/>
                  <w:tcBorders>
                    <w:tl2br w:val="nil"/>
                    <w:tr2bl w:val="nil"/>
                  </w:tcBorders>
                  <w:vAlign w:val="center"/>
                </w:tcPr>
                <w:p w14:paraId="315E8FAE">
                  <w:pPr>
                    <w:pStyle w:val="94"/>
                    <w:spacing w:before="24" w:after="24"/>
                    <w:jc w:val="center"/>
                    <w:rPr>
                      <w:rFonts w:hint="default" w:ascii="Times New Roman" w:hAnsi="Times New Roman" w:eastAsia="宋体" w:cs="Times New Roman"/>
                      <w:color w:val="auto"/>
                      <w:sz w:val="18"/>
                      <w:szCs w:val="18"/>
                      <w:highlight w:val="none"/>
                      <w:u w:val="none" w:color="auto"/>
                      <w:lang w:val="en-US" w:eastAsia="zh-CN"/>
                    </w:rPr>
                  </w:pPr>
                </w:p>
              </w:tc>
              <w:tc>
                <w:tcPr>
                  <w:tcW w:w="451" w:type="pct"/>
                  <w:vMerge w:val="continue"/>
                  <w:tcBorders>
                    <w:tl2br w:val="nil"/>
                    <w:tr2bl w:val="nil"/>
                  </w:tcBorders>
                  <w:vAlign w:val="center"/>
                </w:tcPr>
                <w:p w14:paraId="6307545D">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765" w:type="pct"/>
                  <w:vMerge w:val="continue"/>
                  <w:tcBorders>
                    <w:tl2br w:val="nil"/>
                    <w:tr2bl w:val="nil"/>
                  </w:tcBorders>
                  <w:vAlign w:val="center"/>
                </w:tcPr>
                <w:p w14:paraId="26C40CA1">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lang w:val="en-US" w:eastAsia="zh-CN"/>
                    </w:rPr>
                  </w:pPr>
                </w:p>
              </w:tc>
              <w:tc>
                <w:tcPr>
                  <w:tcW w:w="368" w:type="pct"/>
                  <w:tcBorders>
                    <w:tl2br w:val="nil"/>
                    <w:tr2bl w:val="nil"/>
                  </w:tcBorders>
                  <w:vAlign w:val="center"/>
                </w:tcPr>
                <w:p w14:paraId="3A54989F">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27.9</w:t>
                  </w:r>
                </w:p>
              </w:tc>
              <w:tc>
                <w:tcPr>
                  <w:tcW w:w="400" w:type="pct"/>
                  <w:tcBorders>
                    <w:tl2br w:val="nil"/>
                    <w:tr2bl w:val="nil"/>
                  </w:tcBorders>
                  <w:vAlign w:val="center"/>
                </w:tcPr>
                <w:p w14:paraId="0548D432">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54.6</w:t>
                  </w:r>
                </w:p>
              </w:tc>
              <w:tc>
                <w:tcPr>
                  <w:tcW w:w="342" w:type="pct"/>
                  <w:vMerge w:val="continue"/>
                  <w:tcBorders>
                    <w:tl2br w:val="nil"/>
                    <w:tr2bl w:val="nil"/>
                  </w:tcBorders>
                  <w:vAlign w:val="center"/>
                </w:tcPr>
                <w:p w14:paraId="1E2666A9">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419" w:type="pct"/>
                  <w:tcBorders>
                    <w:tl2br w:val="nil"/>
                    <w:tr2bl w:val="nil"/>
                  </w:tcBorders>
                  <w:vAlign w:val="center"/>
                </w:tcPr>
                <w:p w14:paraId="3F107624">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16</w:t>
                  </w:r>
                </w:p>
              </w:tc>
              <w:tc>
                <w:tcPr>
                  <w:tcW w:w="419" w:type="pct"/>
                  <w:tcBorders>
                    <w:tl2br w:val="nil"/>
                    <w:tr2bl w:val="nil"/>
                  </w:tcBorders>
                  <w:vAlign w:val="center"/>
                </w:tcPr>
                <w:p w14:paraId="6B6D8B47">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38.6</w:t>
                  </w:r>
                </w:p>
              </w:tc>
              <w:tc>
                <w:tcPr>
                  <w:tcW w:w="235" w:type="pct"/>
                  <w:vMerge w:val="continue"/>
                  <w:tcBorders>
                    <w:tl2br w:val="nil"/>
                    <w:tr2bl w:val="nil"/>
                  </w:tcBorders>
                  <w:vAlign w:val="center"/>
                </w:tcPr>
                <w:p w14:paraId="25D5EB89">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r>
            <w:tr w14:paraId="790E96E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4" w:type="pct"/>
                  <w:vMerge w:val="restart"/>
                  <w:tcBorders>
                    <w:tl2br w:val="nil"/>
                    <w:tr2bl w:val="nil"/>
                  </w:tcBorders>
                  <w:vAlign w:val="center"/>
                </w:tcPr>
                <w:p w14:paraId="1DFD37C5">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lang w:val="en-US" w:eastAsia="zh-CN"/>
                    </w:rPr>
                  </w:pPr>
                  <w:r>
                    <w:rPr>
                      <w:rFonts w:hint="default" w:ascii="Times New Roman" w:hAnsi="Times New Roman" w:eastAsia="宋体" w:cs="Times New Roman"/>
                      <w:color w:val="auto"/>
                      <w:sz w:val="18"/>
                      <w:szCs w:val="18"/>
                      <w:highlight w:val="none"/>
                      <w:u w:val="none" w:color="auto"/>
                      <w:lang w:val="en-US" w:eastAsia="zh-CN"/>
                    </w:rPr>
                    <w:t>5</w:t>
                  </w:r>
                </w:p>
              </w:tc>
              <w:tc>
                <w:tcPr>
                  <w:tcW w:w="234" w:type="pct"/>
                  <w:vMerge w:val="continue"/>
                  <w:tcBorders>
                    <w:tl2br w:val="nil"/>
                    <w:tr2bl w:val="nil"/>
                  </w:tcBorders>
                  <w:vAlign w:val="center"/>
                </w:tcPr>
                <w:p w14:paraId="24C3BC00">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393" w:type="pct"/>
                  <w:vMerge w:val="restart"/>
                  <w:tcBorders>
                    <w:tl2br w:val="nil"/>
                    <w:tr2bl w:val="nil"/>
                  </w:tcBorders>
                  <w:vAlign w:val="center"/>
                </w:tcPr>
                <w:p w14:paraId="418A927F">
                  <w:pPr>
                    <w:jc w:val="center"/>
                    <w:rPr>
                      <w:rFonts w:hint="default" w:ascii="Times New Roman" w:hAnsi="Times New Roman" w:eastAsia="宋体" w:cs="Times New Roman"/>
                      <w:color w:val="auto"/>
                      <w:kern w:val="2"/>
                      <w:sz w:val="18"/>
                      <w:szCs w:val="18"/>
                      <w:highlight w:val="none"/>
                      <w:u w:val="none" w:color="auto"/>
                      <w:lang w:val="en-US" w:eastAsia="zh-CN" w:bidi="ar-SA"/>
                    </w:rPr>
                  </w:pPr>
                  <w:r>
                    <w:rPr>
                      <w:rFonts w:hint="eastAsia" w:cs="Times New Roman"/>
                      <w:color w:val="auto"/>
                      <w:kern w:val="2"/>
                      <w:sz w:val="18"/>
                      <w:szCs w:val="18"/>
                      <w:highlight w:val="none"/>
                      <w:u w:val="none" w:color="auto"/>
                      <w:lang w:val="en-US" w:eastAsia="zh-CN" w:bidi="ar-SA"/>
                    </w:rPr>
                    <w:t>蒸煮炉</w:t>
                  </w:r>
                </w:p>
              </w:tc>
              <w:tc>
                <w:tcPr>
                  <w:tcW w:w="259" w:type="pct"/>
                  <w:vMerge w:val="restart"/>
                  <w:tcBorders>
                    <w:tl2br w:val="nil"/>
                    <w:tr2bl w:val="nil"/>
                  </w:tcBorders>
                  <w:vAlign w:val="center"/>
                </w:tcPr>
                <w:p w14:paraId="4623339F">
                  <w:pPr>
                    <w:pStyle w:val="94"/>
                    <w:spacing w:beforeLines="0" w:afterLines="0" w:line="240" w:lineRule="auto"/>
                    <w:jc w:val="center"/>
                    <w:rPr>
                      <w:rFonts w:hint="default" w:ascii="Times New Roman" w:hAnsi="Times New Roman" w:eastAsia="宋体" w:cs="Times New Roman"/>
                      <w:color w:val="auto"/>
                      <w:kern w:val="0"/>
                      <w:sz w:val="18"/>
                      <w:szCs w:val="18"/>
                      <w:highlight w:val="none"/>
                      <w:u w:val="none" w:color="auto"/>
                      <w:lang w:val="en-US" w:eastAsia="zh-CN" w:bidi="ar-SA"/>
                    </w:rPr>
                  </w:pPr>
                  <w:r>
                    <w:rPr>
                      <w:rFonts w:hint="default" w:ascii="Times New Roman" w:hAnsi="Times New Roman" w:eastAsia="宋体" w:cs="Times New Roman"/>
                      <w:color w:val="auto"/>
                      <w:sz w:val="18"/>
                      <w:szCs w:val="18"/>
                      <w:highlight w:val="none"/>
                      <w:u w:val="none" w:color="auto"/>
                      <w:lang w:val="en-US" w:eastAsia="zh-CN"/>
                    </w:rPr>
                    <w:t>3</w:t>
                  </w:r>
                </w:p>
              </w:tc>
              <w:tc>
                <w:tcPr>
                  <w:tcW w:w="477" w:type="pct"/>
                  <w:vMerge w:val="restart"/>
                  <w:tcBorders>
                    <w:tl2br w:val="nil"/>
                    <w:tr2bl w:val="nil"/>
                  </w:tcBorders>
                  <w:vAlign w:val="center"/>
                </w:tcPr>
                <w:p w14:paraId="18D06BE5">
                  <w:pPr>
                    <w:pStyle w:val="94"/>
                    <w:spacing w:before="24" w:after="24"/>
                    <w:jc w:val="center"/>
                    <w:rPr>
                      <w:rFonts w:hint="default" w:ascii="Times New Roman" w:hAnsi="Times New Roman" w:eastAsia="宋体" w:cs="Times New Roman"/>
                      <w:b w:val="0"/>
                      <w:bCs w:val="0"/>
                      <w:color w:val="auto"/>
                      <w:kern w:val="2"/>
                      <w:sz w:val="18"/>
                      <w:szCs w:val="18"/>
                      <w:highlight w:val="none"/>
                      <w:u w:val="none" w:color="auto"/>
                      <w:lang w:val="en-US" w:eastAsia="zh-CN" w:bidi="ar-SA"/>
                    </w:rPr>
                  </w:pPr>
                  <w:r>
                    <w:rPr>
                      <w:rFonts w:hint="eastAsia" w:ascii="Times New Roman" w:cs="Times New Roman"/>
                      <w:color w:val="auto"/>
                      <w:sz w:val="18"/>
                      <w:szCs w:val="18"/>
                      <w:highlight w:val="none"/>
                      <w:u w:val="none" w:color="auto"/>
                      <w:lang w:val="en-US" w:eastAsia="zh-CN"/>
                    </w:rPr>
                    <w:t>70</w:t>
                  </w:r>
                  <w:r>
                    <w:rPr>
                      <w:rFonts w:hint="default" w:ascii="Times New Roman" w:hAnsi="Times New Roman" w:eastAsia="宋体" w:cs="Times New Roman"/>
                      <w:color w:val="auto"/>
                      <w:sz w:val="18"/>
                      <w:szCs w:val="18"/>
                      <w:highlight w:val="none"/>
                      <w:u w:val="none" w:color="auto"/>
                      <w:lang w:val="en-US" w:eastAsia="zh-CN"/>
                    </w:rPr>
                    <w:t>（等效后</w:t>
                  </w:r>
                  <w:r>
                    <w:rPr>
                      <w:rFonts w:hint="eastAsia" w:ascii="Times New Roman" w:cs="Times New Roman"/>
                      <w:color w:val="auto"/>
                      <w:sz w:val="18"/>
                      <w:szCs w:val="18"/>
                      <w:highlight w:val="none"/>
                      <w:u w:val="none" w:color="auto"/>
                      <w:lang w:val="en-US" w:eastAsia="zh-CN"/>
                    </w:rPr>
                    <w:t>74.8</w:t>
                  </w:r>
                  <w:r>
                    <w:rPr>
                      <w:rFonts w:hint="default" w:ascii="Times New Roman" w:hAnsi="Times New Roman" w:eastAsia="宋体" w:cs="Times New Roman"/>
                      <w:color w:val="auto"/>
                      <w:sz w:val="18"/>
                      <w:szCs w:val="18"/>
                      <w:highlight w:val="none"/>
                      <w:u w:val="none" w:color="auto"/>
                      <w:lang w:val="en-US" w:eastAsia="zh-CN"/>
                    </w:rPr>
                    <w:t>）</w:t>
                  </w:r>
                </w:p>
              </w:tc>
              <w:tc>
                <w:tcPr>
                  <w:tcW w:w="451" w:type="pct"/>
                  <w:vMerge w:val="restart"/>
                  <w:tcBorders>
                    <w:tl2br w:val="nil"/>
                    <w:tr2bl w:val="nil"/>
                  </w:tcBorders>
                  <w:vAlign w:val="center"/>
                </w:tcPr>
                <w:p w14:paraId="29B979AD">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r>
                    <w:rPr>
                      <w:rFonts w:hint="default" w:ascii="Times New Roman" w:hAnsi="Times New Roman" w:eastAsia="宋体" w:cs="Times New Roman"/>
                      <w:color w:val="auto"/>
                      <w:sz w:val="18"/>
                      <w:szCs w:val="18"/>
                      <w:highlight w:val="none"/>
                      <w:u w:val="none" w:color="auto"/>
                      <w:lang w:val="en-US" w:eastAsia="zh-CN"/>
                    </w:rPr>
                    <w:t>减振、厂房隔声</w:t>
                  </w:r>
                </w:p>
              </w:tc>
              <w:tc>
                <w:tcPr>
                  <w:tcW w:w="765" w:type="pct"/>
                  <w:vMerge w:val="restart"/>
                  <w:tcBorders>
                    <w:tl2br w:val="nil"/>
                    <w:tr2bl w:val="nil"/>
                  </w:tcBorders>
                  <w:vAlign w:val="center"/>
                </w:tcPr>
                <w:p w14:paraId="58B95CD2">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lang w:val="en-US" w:eastAsia="zh-CN"/>
                    </w:rPr>
                  </w:pPr>
                  <w:r>
                    <w:rPr>
                      <w:rFonts w:hint="eastAsia" w:ascii="Times New Roman" w:hAnsi="Times New Roman" w:cs="Times New Roman"/>
                      <w:color w:val="auto"/>
                      <w:sz w:val="18"/>
                      <w:szCs w:val="18"/>
                      <w:highlight w:val="none"/>
                      <w:u w:val="none" w:color="auto"/>
                      <w:lang w:val="en-US" w:eastAsia="zh-CN"/>
                    </w:rPr>
                    <w:t>3.3,36,1.2</w:t>
                  </w:r>
                </w:p>
              </w:tc>
              <w:tc>
                <w:tcPr>
                  <w:tcW w:w="368" w:type="pct"/>
                  <w:tcBorders>
                    <w:tl2br w:val="nil"/>
                    <w:tr2bl w:val="nil"/>
                  </w:tcBorders>
                  <w:vAlign w:val="center"/>
                </w:tcPr>
                <w:p w14:paraId="3F7AF2D8">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49.1</w:t>
                  </w:r>
                </w:p>
              </w:tc>
              <w:tc>
                <w:tcPr>
                  <w:tcW w:w="400" w:type="pct"/>
                  <w:tcBorders>
                    <w:tl2br w:val="nil"/>
                    <w:tr2bl w:val="nil"/>
                  </w:tcBorders>
                  <w:vAlign w:val="center"/>
                </w:tcPr>
                <w:p w14:paraId="1EAA1021">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58.4</w:t>
                  </w:r>
                </w:p>
              </w:tc>
              <w:tc>
                <w:tcPr>
                  <w:tcW w:w="342" w:type="pct"/>
                  <w:vMerge w:val="continue"/>
                  <w:tcBorders>
                    <w:tl2br w:val="nil"/>
                    <w:tr2bl w:val="nil"/>
                  </w:tcBorders>
                  <w:vAlign w:val="center"/>
                </w:tcPr>
                <w:p w14:paraId="4806B183">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419" w:type="pct"/>
                  <w:tcBorders>
                    <w:tl2br w:val="nil"/>
                    <w:tr2bl w:val="nil"/>
                  </w:tcBorders>
                  <w:vAlign w:val="center"/>
                </w:tcPr>
                <w:p w14:paraId="6998C905">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26</w:t>
                  </w:r>
                </w:p>
              </w:tc>
              <w:tc>
                <w:tcPr>
                  <w:tcW w:w="419" w:type="pct"/>
                  <w:tcBorders>
                    <w:tl2br w:val="nil"/>
                    <w:tr2bl w:val="nil"/>
                  </w:tcBorders>
                  <w:vAlign w:val="center"/>
                </w:tcPr>
                <w:p w14:paraId="476F76C1">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32.4</w:t>
                  </w:r>
                </w:p>
              </w:tc>
              <w:tc>
                <w:tcPr>
                  <w:tcW w:w="235" w:type="pct"/>
                  <w:vMerge w:val="restart"/>
                  <w:tcBorders>
                    <w:tl2br w:val="nil"/>
                    <w:tr2bl w:val="nil"/>
                  </w:tcBorders>
                  <w:vAlign w:val="center"/>
                </w:tcPr>
                <w:p w14:paraId="0F3EA904">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r>
                    <w:rPr>
                      <w:rFonts w:hint="default" w:ascii="Times New Roman" w:hAnsi="Times New Roman" w:eastAsia="宋体" w:cs="Times New Roman"/>
                      <w:color w:val="auto"/>
                      <w:sz w:val="18"/>
                      <w:szCs w:val="18"/>
                      <w:highlight w:val="none"/>
                      <w:u w:val="none" w:color="auto"/>
                    </w:rPr>
                    <w:t>1</w:t>
                  </w:r>
                </w:p>
              </w:tc>
            </w:tr>
            <w:tr w14:paraId="4D0CD5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34" w:type="pct"/>
                  <w:vMerge w:val="continue"/>
                  <w:tcBorders>
                    <w:tl2br w:val="nil"/>
                    <w:tr2bl w:val="nil"/>
                  </w:tcBorders>
                  <w:vAlign w:val="center"/>
                </w:tcPr>
                <w:p w14:paraId="6834B7AC">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234" w:type="pct"/>
                  <w:vMerge w:val="continue"/>
                  <w:tcBorders>
                    <w:tl2br w:val="nil"/>
                    <w:tr2bl w:val="nil"/>
                  </w:tcBorders>
                  <w:vAlign w:val="center"/>
                </w:tcPr>
                <w:p w14:paraId="43566DEF">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393" w:type="pct"/>
                  <w:vMerge w:val="continue"/>
                  <w:tcBorders>
                    <w:tl2br w:val="nil"/>
                    <w:tr2bl w:val="nil"/>
                  </w:tcBorders>
                  <w:vAlign w:val="center"/>
                </w:tcPr>
                <w:p w14:paraId="2A7D69AF">
                  <w:pPr>
                    <w:jc w:val="center"/>
                    <w:rPr>
                      <w:rFonts w:hint="default" w:ascii="Times New Roman" w:hAnsi="Times New Roman" w:eastAsia="宋体" w:cs="Times New Roman"/>
                      <w:color w:val="auto"/>
                      <w:sz w:val="18"/>
                      <w:szCs w:val="18"/>
                      <w:highlight w:val="none"/>
                      <w:u w:val="none" w:color="auto"/>
                    </w:rPr>
                  </w:pPr>
                </w:p>
              </w:tc>
              <w:tc>
                <w:tcPr>
                  <w:tcW w:w="259" w:type="pct"/>
                  <w:vMerge w:val="continue"/>
                  <w:tcBorders>
                    <w:tl2br w:val="nil"/>
                    <w:tr2bl w:val="nil"/>
                  </w:tcBorders>
                  <w:vAlign w:val="center"/>
                </w:tcPr>
                <w:p w14:paraId="7BF0D517">
                  <w:pPr>
                    <w:pStyle w:val="94"/>
                    <w:spacing w:beforeLines="0" w:afterLines="0" w:line="240" w:lineRule="auto"/>
                    <w:jc w:val="center"/>
                    <w:rPr>
                      <w:rFonts w:hint="default" w:ascii="Times New Roman" w:hAnsi="Times New Roman" w:eastAsia="宋体" w:cs="Times New Roman"/>
                      <w:color w:val="auto"/>
                      <w:sz w:val="18"/>
                      <w:szCs w:val="18"/>
                      <w:highlight w:val="none"/>
                      <w:u w:val="none" w:color="auto"/>
                    </w:rPr>
                  </w:pPr>
                </w:p>
              </w:tc>
              <w:tc>
                <w:tcPr>
                  <w:tcW w:w="477" w:type="pct"/>
                  <w:vMerge w:val="continue"/>
                  <w:tcBorders>
                    <w:tl2br w:val="nil"/>
                    <w:tr2bl w:val="nil"/>
                  </w:tcBorders>
                  <w:vAlign w:val="center"/>
                </w:tcPr>
                <w:p w14:paraId="2EEA5A02">
                  <w:pPr>
                    <w:pStyle w:val="94"/>
                    <w:spacing w:before="24" w:after="24"/>
                    <w:jc w:val="center"/>
                    <w:rPr>
                      <w:rFonts w:hint="default" w:ascii="Times New Roman" w:hAnsi="Times New Roman" w:eastAsia="宋体" w:cs="Times New Roman"/>
                      <w:color w:val="auto"/>
                      <w:sz w:val="18"/>
                      <w:szCs w:val="18"/>
                      <w:highlight w:val="none"/>
                      <w:u w:val="none" w:color="auto"/>
                      <w:lang w:val="en-US" w:eastAsia="zh-CN"/>
                    </w:rPr>
                  </w:pPr>
                </w:p>
              </w:tc>
              <w:tc>
                <w:tcPr>
                  <w:tcW w:w="451" w:type="pct"/>
                  <w:vMerge w:val="continue"/>
                  <w:tcBorders>
                    <w:tl2br w:val="nil"/>
                    <w:tr2bl w:val="nil"/>
                  </w:tcBorders>
                  <w:vAlign w:val="center"/>
                </w:tcPr>
                <w:p w14:paraId="0D787F08">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765" w:type="pct"/>
                  <w:vMerge w:val="continue"/>
                  <w:tcBorders>
                    <w:tl2br w:val="nil"/>
                    <w:tr2bl w:val="nil"/>
                  </w:tcBorders>
                  <w:vAlign w:val="center"/>
                </w:tcPr>
                <w:p w14:paraId="79C12B9D">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lang w:val="en-US" w:eastAsia="zh-CN"/>
                    </w:rPr>
                  </w:pPr>
                </w:p>
              </w:tc>
              <w:tc>
                <w:tcPr>
                  <w:tcW w:w="368" w:type="pct"/>
                  <w:tcBorders>
                    <w:tl2br w:val="nil"/>
                    <w:tr2bl w:val="nil"/>
                  </w:tcBorders>
                  <w:vAlign w:val="center"/>
                </w:tcPr>
                <w:p w14:paraId="6F8C91B0">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43.4</w:t>
                  </w:r>
                </w:p>
              </w:tc>
              <w:tc>
                <w:tcPr>
                  <w:tcW w:w="400" w:type="pct"/>
                  <w:tcBorders>
                    <w:tl2br w:val="nil"/>
                    <w:tr2bl w:val="nil"/>
                  </w:tcBorders>
                  <w:vAlign w:val="center"/>
                </w:tcPr>
                <w:p w14:paraId="771E7EB3">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58.4</w:t>
                  </w:r>
                </w:p>
              </w:tc>
              <w:tc>
                <w:tcPr>
                  <w:tcW w:w="342" w:type="pct"/>
                  <w:vMerge w:val="continue"/>
                  <w:tcBorders>
                    <w:tl2br w:val="nil"/>
                    <w:tr2bl w:val="nil"/>
                  </w:tcBorders>
                  <w:vAlign w:val="center"/>
                </w:tcPr>
                <w:p w14:paraId="1AD3D889">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419" w:type="pct"/>
                  <w:tcBorders>
                    <w:tl2br w:val="nil"/>
                    <w:tr2bl w:val="nil"/>
                  </w:tcBorders>
                  <w:vAlign w:val="center"/>
                </w:tcPr>
                <w:p w14:paraId="5ED25D49">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16</w:t>
                  </w:r>
                </w:p>
              </w:tc>
              <w:tc>
                <w:tcPr>
                  <w:tcW w:w="419" w:type="pct"/>
                  <w:tcBorders>
                    <w:tl2br w:val="nil"/>
                    <w:tr2bl w:val="nil"/>
                  </w:tcBorders>
                  <w:vAlign w:val="center"/>
                </w:tcPr>
                <w:p w14:paraId="0D37A385">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42.4</w:t>
                  </w:r>
                </w:p>
              </w:tc>
              <w:tc>
                <w:tcPr>
                  <w:tcW w:w="235" w:type="pct"/>
                  <w:vMerge w:val="continue"/>
                  <w:tcBorders>
                    <w:tl2br w:val="nil"/>
                    <w:tr2bl w:val="nil"/>
                  </w:tcBorders>
                  <w:vAlign w:val="center"/>
                </w:tcPr>
                <w:p w14:paraId="554777A6">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r>
            <w:tr w14:paraId="2A9D2B7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1" w:hRule="atLeast"/>
                <w:jc w:val="center"/>
              </w:trPr>
              <w:tc>
                <w:tcPr>
                  <w:tcW w:w="234" w:type="pct"/>
                  <w:vMerge w:val="continue"/>
                  <w:tcBorders>
                    <w:tl2br w:val="nil"/>
                    <w:tr2bl w:val="nil"/>
                  </w:tcBorders>
                  <w:vAlign w:val="center"/>
                </w:tcPr>
                <w:p w14:paraId="3F6C3888">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234" w:type="pct"/>
                  <w:vMerge w:val="continue"/>
                  <w:tcBorders>
                    <w:tl2br w:val="nil"/>
                    <w:tr2bl w:val="nil"/>
                  </w:tcBorders>
                  <w:vAlign w:val="center"/>
                </w:tcPr>
                <w:p w14:paraId="23E259C9">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393" w:type="pct"/>
                  <w:vMerge w:val="continue"/>
                  <w:tcBorders>
                    <w:tl2br w:val="nil"/>
                    <w:tr2bl w:val="nil"/>
                  </w:tcBorders>
                  <w:vAlign w:val="center"/>
                </w:tcPr>
                <w:p w14:paraId="19B4404D">
                  <w:pPr>
                    <w:jc w:val="center"/>
                    <w:rPr>
                      <w:rFonts w:hint="default" w:ascii="Times New Roman" w:hAnsi="Times New Roman" w:eastAsia="宋体" w:cs="Times New Roman"/>
                      <w:color w:val="auto"/>
                      <w:sz w:val="18"/>
                      <w:szCs w:val="18"/>
                      <w:highlight w:val="none"/>
                      <w:u w:val="none" w:color="auto"/>
                    </w:rPr>
                  </w:pPr>
                </w:p>
              </w:tc>
              <w:tc>
                <w:tcPr>
                  <w:tcW w:w="259" w:type="pct"/>
                  <w:vMerge w:val="continue"/>
                  <w:tcBorders>
                    <w:tl2br w:val="nil"/>
                    <w:tr2bl w:val="nil"/>
                  </w:tcBorders>
                  <w:vAlign w:val="center"/>
                </w:tcPr>
                <w:p w14:paraId="5442BFBD">
                  <w:pPr>
                    <w:pStyle w:val="94"/>
                    <w:spacing w:beforeLines="0" w:afterLines="0" w:line="240" w:lineRule="auto"/>
                    <w:jc w:val="center"/>
                    <w:rPr>
                      <w:rFonts w:hint="default" w:ascii="Times New Roman" w:hAnsi="Times New Roman" w:eastAsia="宋体" w:cs="Times New Roman"/>
                      <w:color w:val="auto"/>
                      <w:sz w:val="18"/>
                      <w:szCs w:val="18"/>
                      <w:highlight w:val="none"/>
                      <w:u w:val="none" w:color="auto"/>
                    </w:rPr>
                  </w:pPr>
                </w:p>
              </w:tc>
              <w:tc>
                <w:tcPr>
                  <w:tcW w:w="477" w:type="pct"/>
                  <w:vMerge w:val="continue"/>
                  <w:tcBorders>
                    <w:tl2br w:val="nil"/>
                    <w:tr2bl w:val="nil"/>
                  </w:tcBorders>
                  <w:vAlign w:val="center"/>
                </w:tcPr>
                <w:p w14:paraId="38255FDA">
                  <w:pPr>
                    <w:pStyle w:val="94"/>
                    <w:spacing w:before="24" w:after="24"/>
                    <w:jc w:val="center"/>
                    <w:rPr>
                      <w:rFonts w:hint="default" w:ascii="Times New Roman" w:hAnsi="Times New Roman" w:eastAsia="宋体" w:cs="Times New Roman"/>
                      <w:color w:val="auto"/>
                      <w:sz w:val="18"/>
                      <w:szCs w:val="18"/>
                      <w:highlight w:val="none"/>
                      <w:u w:val="none" w:color="auto"/>
                      <w:lang w:val="en-US" w:eastAsia="zh-CN"/>
                    </w:rPr>
                  </w:pPr>
                </w:p>
              </w:tc>
              <w:tc>
                <w:tcPr>
                  <w:tcW w:w="451" w:type="pct"/>
                  <w:vMerge w:val="continue"/>
                  <w:tcBorders>
                    <w:tl2br w:val="nil"/>
                    <w:tr2bl w:val="nil"/>
                  </w:tcBorders>
                  <w:vAlign w:val="center"/>
                </w:tcPr>
                <w:p w14:paraId="5E6C2F0F">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765" w:type="pct"/>
                  <w:vMerge w:val="continue"/>
                  <w:tcBorders>
                    <w:tl2br w:val="nil"/>
                    <w:tr2bl w:val="nil"/>
                  </w:tcBorders>
                  <w:vAlign w:val="center"/>
                </w:tcPr>
                <w:p w14:paraId="31C7002F">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lang w:val="en-US" w:eastAsia="zh-CN"/>
                    </w:rPr>
                  </w:pPr>
                </w:p>
              </w:tc>
              <w:tc>
                <w:tcPr>
                  <w:tcW w:w="368" w:type="pct"/>
                  <w:tcBorders>
                    <w:tl2br w:val="nil"/>
                    <w:tr2bl w:val="nil"/>
                  </w:tcBorders>
                  <w:vAlign w:val="center"/>
                </w:tcPr>
                <w:p w14:paraId="7B8AEBD1">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42.2</w:t>
                  </w:r>
                </w:p>
              </w:tc>
              <w:tc>
                <w:tcPr>
                  <w:tcW w:w="400" w:type="pct"/>
                  <w:tcBorders>
                    <w:tl2br w:val="nil"/>
                    <w:tr2bl w:val="nil"/>
                  </w:tcBorders>
                  <w:vAlign w:val="center"/>
                </w:tcPr>
                <w:p w14:paraId="090D94AD">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58.4</w:t>
                  </w:r>
                </w:p>
              </w:tc>
              <w:tc>
                <w:tcPr>
                  <w:tcW w:w="342" w:type="pct"/>
                  <w:vMerge w:val="continue"/>
                  <w:tcBorders>
                    <w:tl2br w:val="nil"/>
                    <w:tr2bl w:val="nil"/>
                  </w:tcBorders>
                  <w:vAlign w:val="center"/>
                </w:tcPr>
                <w:p w14:paraId="7AE9202D">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419" w:type="pct"/>
                  <w:tcBorders>
                    <w:tl2br w:val="nil"/>
                    <w:tr2bl w:val="nil"/>
                  </w:tcBorders>
                  <w:vAlign w:val="center"/>
                </w:tcPr>
                <w:p w14:paraId="7CC04D45">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26</w:t>
                  </w:r>
                </w:p>
              </w:tc>
              <w:tc>
                <w:tcPr>
                  <w:tcW w:w="419" w:type="pct"/>
                  <w:tcBorders>
                    <w:tl2br w:val="nil"/>
                    <w:tr2bl w:val="nil"/>
                  </w:tcBorders>
                  <w:vAlign w:val="center"/>
                </w:tcPr>
                <w:p w14:paraId="3A34B242">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32.4</w:t>
                  </w:r>
                </w:p>
              </w:tc>
              <w:tc>
                <w:tcPr>
                  <w:tcW w:w="235" w:type="pct"/>
                  <w:vMerge w:val="continue"/>
                  <w:tcBorders>
                    <w:tl2br w:val="nil"/>
                    <w:tr2bl w:val="nil"/>
                  </w:tcBorders>
                  <w:vAlign w:val="center"/>
                </w:tcPr>
                <w:p w14:paraId="46273BBB">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r>
            <w:tr w14:paraId="758CB3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4" w:type="pct"/>
                  <w:vMerge w:val="continue"/>
                  <w:tcBorders>
                    <w:tl2br w:val="nil"/>
                    <w:tr2bl w:val="nil"/>
                  </w:tcBorders>
                  <w:vAlign w:val="center"/>
                </w:tcPr>
                <w:p w14:paraId="3374070E">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234" w:type="pct"/>
                  <w:vMerge w:val="continue"/>
                  <w:tcBorders>
                    <w:tl2br w:val="nil"/>
                    <w:tr2bl w:val="nil"/>
                  </w:tcBorders>
                  <w:vAlign w:val="center"/>
                </w:tcPr>
                <w:p w14:paraId="7021AE06">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393" w:type="pct"/>
                  <w:vMerge w:val="continue"/>
                  <w:tcBorders>
                    <w:tl2br w:val="nil"/>
                    <w:tr2bl w:val="nil"/>
                  </w:tcBorders>
                  <w:vAlign w:val="center"/>
                </w:tcPr>
                <w:p w14:paraId="3D50DB9F">
                  <w:pPr>
                    <w:jc w:val="center"/>
                    <w:rPr>
                      <w:rFonts w:hint="default" w:ascii="Times New Roman" w:hAnsi="Times New Roman" w:eastAsia="宋体" w:cs="Times New Roman"/>
                      <w:color w:val="auto"/>
                      <w:kern w:val="2"/>
                      <w:sz w:val="18"/>
                      <w:szCs w:val="18"/>
                      <w:highlight w:val="none"/>
                      <w:u w:val="none" w:color="auto"/>
                      <w:lang w:val="en-US" w:eastAsia="zh-CN" w:bidi="ar-SA"/>
                    </w:rPr>
                  </w:pPr>
                </w:p>
              </w:tc>
              <w:tc>
                <w:tcPr>
                  <w:tcW w:w="259" w:type="pct"/>
                  <w:vMerge w:val="continue"/>
                  <w:tcBorders>
                    <w:tl2br w:val="nil"/>
                    <w:tr2bl w:val="nil"/>
                  </w:tcBorders>
                  <w:vAlign w:val="center"/>
                </w:tcPr>
                <w:p w14:paraId="4C63B900">
                  <w:pPr>
                    <w:pStyle w:val="94"/>
                    <w:spacing w:beforeLines="0" w:afterLines="0" w:line="240" w:lineRule="auto"/>
                    <w:jc w:val="center"/>
                    <w:rPr>
                      <w:rFonts w:hint="default" w:ascii="Times New Roman" w:hAnsi="Times New Roman" w:eastAsia="宋体" w:cs="Times New Roman"/>
                      <w:color w:val="auto"/>
                      <w:kern w:val="0"/>
                      <w:sz w:val="18"/>
                      <w:szCs w:val="18"/>
                      <w:highlight w:val="none"/>
                      <w:u w:val="none" w:color="auto"/>
                      <w:lang w:val="en-US" w:eastAsia="zh-CN" w:bidi="ar-SA"/>
                    </w:rPr>
                  </w:pPr>
                </w:p>
              </w:tc>
              <w:tc>
                <w:tcPr>
                  <w:tcW w:w="477" w:type="pct"/>
                  <w:vMerge w:val="continue"/>
                  <w:tcBorders>
                    <w:tl2br w:val="nil"/>
                    <w:tr2bl w:val="nil"/>
                  </w:tcBorders>
                  <w:vAlign w:val="center"/>
                </w:tcPr>
                <w:p w14:paraId="592D2E8F">
                  <w:pPr>
                    <w:pStyle w:val="94"/>
                    <w:spacing w:before="24" w:after="24"/>
                    <w:jc w:val="center"/>
                    <w:rPr>
                      <w:rFonts w:hint="default" w:ascii="Times New Roman" w:hAnsi="Times New Roman" w:eastAsia="宋体" w:cs="Times New Roman"/>
                      <w:b w:val="0"/>
                      <w:bCs w:val="0"/>
                      <w:color w:val="auto"/>
                      <w:kern w:val="2"/>
                      <w:sz w:val="18"/>
                      <w:szCs w:val="18"/>
                      <w:highlight w:val="none"/>
                      <w:u w:val="none" w:color="auto"/>
                      <w:lang w:val="en-US" w:eastAsia="zh-CN" w:bidi="ar-SA"/>
                    </w:rPr>
                  </w:pPr>
                </w:p>
              </w:tc>
              <w:tc>
                <w:tcPr>
                  <w:tcW w:w="451" w:type="pct"/>
                  <w:vMerge w:val="continue"/>
                  <w:tcBorders>
                    <w:tl2br w:val="nil"/>
                    <w:tr2bl w:val="nil"/>
                  </w:tcBorders>
                  <w:vAlign w:val="center"/>
                </w:tcPr>
                <w:p w14:paraId="35CCBE22">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765" w:type="pct"/>
                  <w:vMerge w:val="continue"/>
                  <w:tcBorders>
                    <w:tl2br w:val="nil"/>
                    <w:tr2bl w:val="nil"/>
                  </w:tcBorders>
                  <w:vAlign w:val="center"/>
                </w:tcPr>
                <w:p w14:paraId="2BF82D0B">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lang w:val="en-US" w:eastAsia="zh-CN"/>
                    </w:rPr>
                  </w:pPr>
                </w:p>
              </w:tc>
              <w:tc>
                <w:tcPr>
                  <w:tcW w:w="368" w:type="pct"/>
                  <w:tcBorders>
                    <w:tl2br w:val="nil"/>
                    <w:tr2bl w:val="nil"/>
                  </w:tcBorders>
                  <w:vAlign w:val="center"/>
                </w:tcPr>
                <w:p w14:paraId="525D0641">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14.8</w:t>
                  </w:r>
                </w:p>
              </w:tc>
              <w:tc>
                <w:tcPr>
                  <w:tcW w:w="400" w:type="pct"/>
                  <w:tcBorders>
                    <w:tl2br w:val="nil"/>
                    <w:tr2bl w:val="nil"/>
                  </w:tcBorders>
                  <w:vAlign w:val="center"/>
                </w:tcPr>
                <w:p w14:paraId="5CD9B065">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58.5</w:t>
                  </w:r>
                </w:p>
              </w:tc>
              <w:tc>
                <w:tcPr>
                  <w:tcW w:w="342" w:type="pct"/>
                  <w:vMerge w:val="continue"/>
                  <w:tcBorders>
                    <w:tl2br w:val="nil"/>
                    <w:tr2bl w:val="nil"/>
                  </w:tcBorders>
                  <w:vAlign w:val="center"/>
                </w:tcPr>
                <w:p w14:paraId="2FC0A330">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419" w:type="pct"/>
                  <w:tcBorders>
                    <w:tl2br w:val="nil"/>
                    <w:tr2bl w:val="nil"/>
                  </w:tcBorders>
                  <w:vAlign w:val="center"/>
                </w:tcPr>
                <w:p w14:paraId="4DBC6311">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16</w:t>
                  </w:r>
                </w:p>
              </w:tc>
              <w:tc>
                <w:tcPr>
                  <w:tcW w:w="419" w:type="pct"/>
                  <w:tcBorders>
                    <w:tl2br w:val="nil"/>
                    <w:tr2bl w:val="nil"/>
                  </w:tcBorders>
                  <w:vAlign w:val="center"/>
                </w:tcPr>
                <w:p w14:paraId="21E958C9">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42.5</w:t>
                  </w:r>
                </w:p>
              </w:tc>
              <w:tc>
                <w:tcPr>
                  <w:tcW w:w="235" w:type="pct"/>
                  <w:vMerge w:val="continue"/>
                  <w:tcBorders>
                    <w:tl2br w:val="nil"/>
                    <w:tr2bl w:val="nil"/>
                  </w:tcBorders>
                  <w:vAlign w:val="center"/>
                </w:tcPr>
                <w:p w14:paraId="6FCE4186">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r>
            <w:tr w14:paraId="7D812F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4" w:type="pct"/>
                  <w:vMerge w:val="restart"/>
                  <w:tcBorders>
                    <w:tl2br w:val="nil"/>
                    <w:tr2bl w:val="nil"/>
                  </w:tcBorders>
                  <w:vAlign w:val="center"/>
                </w:tcPr>
                <w:p w14:paraId="1E55DEAD">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lang w:val="en-US" w:eastAsia="zh-CN"/>
                    </w:rPr>
                  </w:pPr>
                  <w:r>
                    <w:rPr>
                      <w:rFonts w:hint="default" w:ascii="Times New Roman" w:hAnsi="Times New Roman" w:eastAsia="宋体" w:cs="Times New Roman"/>
                      <w:color w:val="auto"/>
                      <w:sz w:val="18"/>
                      <w:szCs w:val="18"/>
                      <w:highlight w:val="none"/>
                      <w:u w:val="none" w:color="auto"/>
                      <w:lang w:val="en-US" w:eastAsia="zh-CN"/>
                    </w:rPr>
                    <w:t>6</w:t>
                  </w:r>
                </w:p>
              </w:tc>
              <w:tc>
                <w:tcPr>
                  <w:tcW w:w="234" w:type="pct"/>
                  <w:vMerge w:val="continue"/>
                  <w:tcBorders>
                    <w:tl2br w:val="nil"/>
                    <w:tr2bl w:val="nil"/>
                  </w:tcBorders>
                  <w:vAlign w:val="center"/>
                </w:tcPr>
                <w:p w14:paraId="04B62EF3">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393" w:type="pct"/>
                  <w:vMerge w:val="restart"/>
                  <w:tcBorders>
                    <w:tl2br w:val="nil"/>
                    <w:tr2bl w:val="nil"/>
                  </w:tcBorders>
                  <w:shd w:val="clear" w:color="auto" w:fill="auto"/>
                  <w:vAlign w:val="center"/>
                </w:tcPr>
                <w:p w14:paraId="31EC22FB">
                  <w:pPr>
                    <w:jc w:val="center"/>
                    <w:rPr>
                      <w:rFonts w:hint="default" w:ascii="Times New Roman" w:hAnsi="Times New Roman" w:eastAsia="宋体" w:cs="Times New Roman"/>
                      <w:color w:val="auto"/>
                      <w:kern w:val="2"/>
                      <w:sz w:val="18"/>
                      <w:szCs w:val="18"/>
                      <w:highlight w:val="none"/>
                      <w:u w:val="none" w:color="auto"/>
                      <w:lang w:val="en-US" w:eastAsia="zh-CN" w:bidi="ar-SA"/>
                    </w:rPr>
                  </w:pPr>
                  <w:r>
                    <w:rPr>
                      <w:rFonts w:hint="eastAsia" w:cs="Times New Roman"/>
                      <w:color w:val="auto"/>
                      <w:sz w:val="18"/>
                      <w:szCs w:val="18"/>
                      <w:highlight w:val="none"/>
                      <w:u w:val="none" w:color="auto"/>
                      <w:lang w:val="en-US" w:eastAsia="zh-CN"/>
                    </w:rPr>
                    <w:t>高温杀菌炉</w:t>
                  </w:r>
                </w:p>
              </w:tc>
              <w:tc>
                <w:tcPr>
                  <w:tcW w:w="259" w:type="pct"/>
                  <w:vMerge w:val="restart"/>
                  <w:tcBorders>
                    <w:tl2br w:val="nil"/>
                    <w:tr2bl w:val="nil"/>
                  </w:tcBorders>
                  <w:shd w:val="clear" w:color="auto" w:fill="auto"/>
                  <w:vAlign w:val="center"/>
                </w:tcPr>
                <w:p w14:paraId="3B8268F6">
                  <w:pPr>
                    <w:pStyle w:val="94"/>
                    <w:spacing w:beforeLines="0" w:afterLines="0" w:line="240" w:lineRule="auto"/>
                    <w:jc w:val="center"/>
                    <w:rPr>
                      <w:rFonts w:hint="default" w:ascii="Times New Roman" w:hAnsi="Times New Roman" w:eastAsia="宋体" w:cs="Times New Roman"/>
                      <w:color w:val="auto"/>
                      <w:kern w:val="0"/>
                      <w:sz w:val="18"/>
                      <w:szCs w:val="18"/>
                      <w:highlight w:val="none"/>
                      <w:u w:val="none" w:color="auto"/>
                      <w:lang w:val="en-US" w:eastAsia="zh-CN" w:bidi="ar-SA"/>
                    </w:rPr>
                  </w:pPr>
                  <w:r>
                    <w:rPr>
                      <w:rFonts w:hint="eastAsia" w:ascii="Times New Roman" w:cs="Times New Roman"/>
                      <w:color w:val="auto"/>
                      <w:sz w:val="18"/>
                      <w:szCs w:val="18"/>
                      <w:highlight w:val="none"/>
                      <w:u w:val="none" w:color="auto"/>
                      <w:lang w:val="en-US" w:eastAsia="zh-CN"/>
                    </w:rPr>
                    <w:t>1</w:t>
                  </w:r>
                </w:p>
              </w:tc>
              <w:tc>
                <w:tcPr>
                  <w:tcW w:w="477" w:type="pct"/>
                  <w:vMerge w:val="restart"/>
                  <w:tcBorders>
                    <w:tl2br w:val="nil"/>
                    <w:tr2bl w:val="nil"/>
                  </w:tcBorders>
                  <w:shd w:val="clear" w:color="auto" w:fill="auto"/>
                  <w:vAlign w:val="center"/>
                </w:tcPr>
                <w:p w14:paraId="7F91F098">
                  <w:pPr>
                    <w:pStyle w:val="94"/>
                    <w:spacing w:before="24" w:after="24"/>
                    <w:jc w:val="center"/>
                    <w:rPr>
                      <w:rFonts w:hint="default" w:ascii="Times New Roman" w:hAnsi="Times New Roman" w:eastAsia="宋体" w:cs="Times New Roman"/>
                      <w:b w:val="0"/>
                      <w:bCs w:val="0"/>
                      <w:color w:val="auto"/>
                      <w:kern w:val="2"/>
                      <w:sz w:val="18"/>
                      <w:szCs w:val="18"/>
                      <w:highlight w:val="none"/>
                      <w:u w:val="none" w:color="auto"/>
                      <w:lang w:val="en-US" w:eastAsia="zh-CN" w:bidi="ar-SA"/>
                    </w:rPr>
                  </w:pPr>
                  <w:r>
                    <w:rPr>
                      <w:rFonts w:hint="eastAsia" w:ascii="Times New Roman" w:cs="Times New Roman"/>
                      <w:color w:val="auto"/>
                      <w:sz w:val="18"/>
                      <w:szCs w:val="18"/>
                      <w:highlight w:val="none"/>
                      <w:u w:val="none" w:color="auto"/>
                      <w:lang w:val="en-US" w:eastAsia="zh-CN"/>
                    </w:rPr>
                    <w:t>70</w:t>
                  </w:r>
                </w:p>
              </w:tc>
              <w:tc>
                <w:tcPr>
                  <w:tcW w:w="451" w:type="pct"/>
                  <w:vMerge w:val="restart"/>
                  <w:tcBorders>
                    <w:tl2br w:val="nil"/>
                    <w:tr2bl w:val="nil"/>
                  </w:tcBorders>
                  <w:shd w:val="clear" w:color="auto" w:fill="auto"/>
                  <w:vAlign w:val="center"/>
                </w:tcPr>
                <w:p w14:paraId="76F73306">
                  <w:pPr>
                    <w:pStyle w:val="26"/>
                    <w:spacing w:line="240" w:lineRule="auto"/>
                    <w:ind w:firstLine="0" w:firstLineChars="0"/>
                    <w:jc w:val="center"/>
                    <w:rPr>
                      <w:rFonts w:hint="default" w:ascii="Times New Roman" w:hAnsi="Times New Roman" w:eastAsia="宋体" w:cs="Times New Roman"/>
                      <w:color w:val="auto"/>
                      <w:kern w:val="0"/>
                      <w:sz w:val="18"/>
                      <w:szCs w:val="18"/>
                      <w:highlight w:val="none"/>
                      <w:u w:val="none" w:color="auto"/>
                      <w:lang w:val="en-US" w:eastAsia="zh-CN" w:bidi="ar-SA"/>
                    </w:rPr>
                  </w:pPr>
                  <w:r>
                    <w:rPr>
                      <w:rFonts w:hint="default" w:ascii="Times New Roman" w:hAnsi="Times New Roman" w:eastAsia="宋体" w:cs="Times New Roman"/>
                      <w:color w:val="auto"/>
                      <w:sz w:val="18"/>
                      <w:szCs w:val="18"/>
                      <w:highlight w:val="none"/>
                      <w:u w:val="none" w:color="auto"/>
                      <w:lang w:val="en-US" w:eastAsia="zh-CN"/>
                    </w:rPr>
                    <w:t>减振、厂房隔声</w:t>
                  </w:r>
                </w:p>
              </w:tc>
              <w:tc>
                <w:tcPr>
                  <w:tcW w:w="765" w:type="pct"/>
                  <w:vMerge w:val="restart"/>
                  <w:tcBorders>
                    <w:tl2br w:val="nil"/>
                    <w:tr2bl w:val="nil"/>
                  </w:tcBorders>
                  <w:vAlign w:val="center"/>
                </w:tcPr>
                <w:p w14:paraId="43291A69">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lang w:val="en-US" w:eastAsia="zh-CN"/>
                    </w:rPr>
                  </w:pPr>
                  <w:r>
                    <w:rPr>
                      <w:rFonts w:hint="eastAsia" w:ascii="Times New Roman" w:hAnsi="Times New Roman" w:cs="Times New Roman"/>
                      <w:color w:val="auto"/>
                      <w:sz w:val="18"/>
                      <w:szCs w:val="18"/>
                      <w:highlight w:val="none"/>
                      <w:u w:val="none" w:color="auto"/>
                      <w:lang w:val="en-US" w:eastAsia="zh-CN"/>
                    </w:rPr>
                    <w:t>24.5,12.5,1.2</w:t>
                  </w:r>
                </w:p>
              </w:tc>
              <w:tc>
                <w:tcPr>
                  <w:tcW w:w="368" w:type="pct"/>
                  <w:tcBorders>
                    <w:tl2br w:val="nil"/>
                    <w:tr2bl w:val="nil"/>
                  </w:tcBorders>
                  <w:vAlign w:val="center"/>
                </w:tcPr>
                <w:p w14:paraId="57403FE1">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18.9</w:t>
                  </w:r>
                </w:p>
              </w:tc>
              <w:tc>
                <w:tcPr>
                  <w:tcW w:w="400" w:type="pct"/>
                  <w:tcBorders>
                    <w:tl2br w:val="nil"/>
                    <w:tr2bl w:val="nil"/>
                  </w:tcBorders>
                  <w:vAlign w:val="center"/>
                </w:tcPr>
                <w:p w14:paraId="4F3C0277">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53.6</w:t>
                  </w:r>
                </w:p>
              </w:tc>
              <w:tc>
                <w:tcPr>
                  <w:tcW w:w="342" w:type="pct"/>
                  <w:vMerge w:val="continue"/>
                  <w:tcBorders>
                    <w:tl2br w:val="nil"/>
                    <w:tr2bl w:val="nil"/>
                  </w:tcBorders>
                  <w:vAlign w:val="center"/>
                </w:tcPr>
                <w:p w14:paraId="697AEC77">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419" w:type="pct"/>
                  <w:tcBorders>
                    <w:tl2br w:val="nil"/>
                    <w:tr2bl w:val="nil"/>
                  </w:tcBorders>
                  <w:vAlign w:val="center"/>
                </w:tcPr>
                <w:p w14:paraId="75FFBE74">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26</w:t>
                  </w:r>
                </w:p>
              </w:tc>
              <w:tc>
                <w:tcPr>
                  <w:tcW w:w="419" w:type="pct"/>
                  <w:tcBorders>
                    <w:tl2br w:val="nil"/>
                    <w:tr2bl w:val="nil"/>
                  </w:tcBorders>
                  <w:vAlign w:val="center"/>
                </w:tcPr>
                <w:p w14:paraId="188DD089">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27.6</w:t>
                  </w:r>
                </w:p>
              </w:tc>
              <w:tc>
                <w:tcPr>
                  <w:tcW w:w="235" w:type="pct"/>
                  <w:vMerge w:val="restart"/>
                  <w:tcBorders>
                    <w:tl2br w:val="nil"/>
                    <w:tr2bl w:val="nil"/>
                  </w:tcBorders>
                  <w:vAlign w:val="center"/>
                </w:tcPr>
                <w:p w14:paraId="68A64ADD">
                  <w:pPr>
                    <w:pStyle w:val="26"/>
                    <w:spacing w:line="240" w:lineRule="auto"/>
                    <w:ind w:firstLine="0" w:firstLineChars="0"/>
                    <w:jc w:val="center"/>
                    <w:rPr>
                      <w:rFonts w:hint="eastAsia" w:ascii="Times New Roman" w:hAnsi="Times New Roman" w:eastAsia="宋体" w:cs="Times New Roman"/>
                      <w:color w:val="auto"/>
                      <w:sz w:val="18"/>
                      <w:szCs w:val="18"/>
                      <w:highlight w:val="none"/>
                      <w:u w:val="none" w:color="auto"/>
                      <w:lang w:val="en-US" w:eastAsia="zh-CN"/>
                    </w:rPr>
                  </w:pPr>
                  <w:r>
                    <w:rPr>
                      <w:rFonts w:hint="eastAsia" w:ascii="Times New Roman" w:hAnsi="Times New Roman" w:cs="Times New Roman"/>
                      <w:color w:val="auto"/>
                      <w:sz w:val="18"/>
                      <w:szCs w:val="18"/>
                      <w:highlight w:val="none"/>
                      <w:u w:val="none" w:color="auto"/>
                      <w:lang w:val="en-US" w:eastAsia="zh-CN"/>
                    </w:rPr>
                    <w:t>1</w:t>
                  </w:r>
                </w:p>
              </w:tc>
            </w:tr>
            <w:tr w14:paraId="70E7411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4" w:type="pct"/>
                  <w:vMerge w:val="continue"/>
                  <w:tcBorders>
                    <w:tl2br w:val="nil"/>
                    <w:tr2bl w:val="nil"/>
                  </w:tcBorders>
                  <w:vAlign w:val="center"/>
                </w:tcPr>
                <w:p w14:paraId="71755FF8">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234" w:type="pct"/>
                  <w:vMerge w:val="continue"/>
                  <w:tcBorders>
                    <w:tl2br w:val="nil"/>
                    <w:tr2bl w:val="nil"/>
                  </w:tcBorders>
                  <w:vAlign w:val="center"/>
                </w:tcPr>
                <w:p w14:paraId="54B90FAD">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393" w:type="pct"/>
                  <w:vMerge w:val="continue"/>
                  <w:tcBorders>
                    <w:tl2br w:val="nil"/>
                    <w:tr2bl w:val="nil"/>
                  </w:tcBorders>
                  <w:vAlign w:val="center"/>
                </w:tcPr>
                <w:p w14:paraId="299D3C17">
                  <w:pPr>
                    <w:jc w:val="center"/>
                    <w:rPr>
                      <w:rFonts w:hint="default" w:ascii="Times New Roman" w:hAnsi="Times New Roman" w:eastAsia="宋体" w:cs="Times New Roman"/>
                      <w:color w:val="auto"/>
                      <w:kern w:val="2"/>
                      <w:sz w:val="18"/>
                      <w:szCs w:val="18"/>
                      <w:highlight w:val="none"/>
                      <w:u w:val="none" w:color="auto"/>
                      <w:lang w:val="en-US" w:eastAsia="zh-CN" w:bidi="ar-SA"/>
                    </w:rPr>
                  </w:pPr>
                </w:p>
              </w:tc>
              <w:tc>
                <w:tcPr>
                  <w:tcW w:w="259" w:type="pct"/>
                  <w:vMerge w:val="continue"/>
                  <w:tcBorders>
                    <w:tl2br w:val="nil"/>
                    <w:tr2bl w:val="nil"/>
                  </w:tcBorders>
                  <w:vAlign w:val="center"/>
                </w:tcPr>
                <w:p w14:paraId="003687A8">
                  <w:pPr>
                    <w:pStyle w:val="94"/>
                    <w:spacing w:beforeLines="0" w:afterLines="0" w:line="240" w:lineRule="auto"/>
                    <w:jc w:val="center"/>
                    <w:rPr>
                      <w:rFonts w:hint="default" w:ascii="Times New Roman" w:hAnsi="Times New Roman" w:eastAsia="宋体" w:cs="Times New Roman"/>
                      <w:color w:val="auto"/>
                      <w:kern w:val="0"/>
                      <w:sz w:val="18"/>
                      <w:szCs w:val="18"/>
                      <w:highlight w:val="none"/>
                      <w:u w:val="none" w:color="auto"/>
                      <w:lang w:val="en-US" w:eastAsia="zh-CN" w:bidi="ar-SA"/>
                    </w:rPr>
                  </w:pPr>
                </w:p>
              </w:tc>
              <w:tc>
                <w:tcPr>
                  <w:tcW w:w="477" w:type="pct"/>
                  <w:vMerge w:val="continue"/>
                  <w:tcBorders>
                    <w:tl2br w:val="nil"/>
                    <w:tr2bl w:val="nil"/>
                  </w:tcBorders>
                  <w:vAlign w:val="center"/>
                </w:tcPr>
                <w:p w14:paraId="5C57448B">
                  <w:pPr>
                    <w:pStyle w:val="94"/>
                    <w:spacing w:before="24" w:after="24"/>
                    <w:jc w:val="center"/>
                    <w:rPr>
                      <w:rFonts w:hint="default" w:ascii="Times New Roman" w:hAnsi="Times New Roman" w:eastAsia="宋体" w:cs="Times New Roman"/>
                      <w:b w:val="0"/>
                      <w:bCs w:val="0"/>
                      <w:color w:val="auto"/>
                      <w:kern w:val="2"/>
                      <w:sz w:val="18"/>
                      <w:szCs w:val="18"/>
                      <w:highlight w:val="none"/>
                      <w:u w:val="none" w:color="auto"/>
                      <w:lang w:val="en-US" w:eastAsia="zh-CN" w:bidi="ar-SA"/>
                    </w:rPr>
                  </w:pPr>
                </w:p>
              </w:tc>
              <w:tc>
                <w:tcPr>
                  <w:tcW w:w="451" w:type="pct"/>
                  <w:vMerge w:val="continue"/>
                  <w:tcBorders>
                    <w:tl2br w:val="nil"/>
                    <w:tr2bl w:val="nil"/>
                  </w:tcBorders>
                  <w:vAlign w:val="center"/>
                </w:tcPr>
                <w:p w14:paraId="2240A8E3">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765" w:type="pct"/>
                  <w:vMerge w:val="continue"/>
                  <w:tcBorders>
                    <w:tl2br w:val="nil"/>
                    <w:tr2bl w:val="nil"/>
                  </w:tcBorders>
                  <w:vAlign w:val="center"/>
                </w:tcPr>
                <w:p w14:paraId="139E8D40">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lang w:val="en-US" w:eastAsia="zh-CN"/>
                    </w:rPr>
                  </w:pPr>
                </w:p>
              </w:tc>
              <w:tc>
                <w:tcPr>
                  <w:tcW w:w="368" w:type="pct"/>
                  <w:tcBorders>
                    <w:tl2br w:val="nil"/>
                    <w:tr2bl w:val="nil"/>
                  </w:tcBorders>
                  <w:vAlign w:val="center"/>
                </w:tcPr>
                <w:p w14:paraId="272DB097">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26.9</w:t>
                  </w:r>
                </w:p>
              </w:tc>
              <w:tc>
                <w:tcPr>
                  <w:tcW w:w="400" w:type="pct"/>
                  <w:tcBorders>
                    <w:tl2br w:val="nil"/>
                    <w:tr2bl w:val="nil"/>
                  </w:tcBorders>
                  <w:vAlign w:val="center"/>
                </w:tcPr>
                <w:p w14:paraId="099528B6">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53.6</w:t>
                  </w:r>
                </w:p>
              </w:tc>
              <w:tc>
                <w:tcPr>
                  <w:tcW w:w="342" w:type="pct"/>
                  <w:vMerge w:val="continue"/>
                  <w:tcBorders>
                    <w:tl2br w:val="nil"/>
                    <w:tr2bl w:val="nil"/>
                  </w:tcBorders>
                  <w:vAlign w:val="center"/>
                </w:tcPr>
                <w:p w14:paraId="47195C93">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419" w:type="pct"/>
                  <w:tcBorders>
                    <w:tl2br w:val="nil"/>
                    <w:tr2bl w:val="nil"/>
                  </w:tcBorders>
                  <w:vAlign w:val="center"/>
                </w:tcPr>
                <w:p w14:paraId="77ECAE86">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16</w:t>
                  </w:r>
                </w:p>
              </w:tc>
              <w:tc>
                <w:tcPr>
                  <w:tcW w:w="419" w:type="pct"/>
                  <w:tcBorders>
                    <w:tl2br w:val="nil"/>
                    <w:tr2bl w:val="nil"/>
                  </w:tcBorders>
                  <w:vAlign w:val="center"/>
                </w:tcPr>
                <w:p w14:paraId="24E2060F">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37.6</w:t>
                  </w:r>
                </w:p>
              </w:tc>
              <w:tc>
                <w:tcPr>
                  <w:tcW w:w="235" w:type="pct"/>
                  <w:vMerge w:val="continue"/>
                  <w:tcBorders>
                    <w:tl2br w:val="nil"/>
                    <w:tr2bl w:val="nil"/>
                  </w:tcBorders>
                  <w:vAlign w:val="center"/>
                </w:tcPr>
                <w:p w14:paraId="53947A8E">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r>
            <w:tr w14:paraId="7CF09C5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4" w:type="pct"/>
                  <w:vMerge w:val="continue"/>
                  <w:tcBorders>
                    <w:tl2br w:val="nil"/>
                    <w:tr2bl w:val="nil"/>
                  </w:tcBorders>
                  <w:vAlign w:val="center"/>
                </w:tcPr>
                <w:p w14:paraId="336B9A3C">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234" w:type="pct"/>
                  <w:vMerge w:val="continue"/>
                  <w:tcBorders>
                    <w:tl2br w:val="nil"/>
                    <w:tr2bl w:val="nil"/>
                  </w:tcBorders>
                  <w:vAlign w:val="center"/>
                </w:tcPr>
                <w:p w14:paraId="02839A8D">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393" w:type="pct"/>
                  <w:vMerge w:val="restart"/>
                  <w:tcBorders>
                    <w:tl2br w:val="nil"/>
                    <w:tr2bl w:val="nil"/>
                  </w:tcBorders>
                  <w:vAlign w:val="center"/>
                </w:tcPr>
                <w:p w14:paraId="0CCFC2E9">
                  <w:pPr>
                    <w:jc w:val="center"/>
                    <w:rPr>
                      <w:rFonts w:hint="default" w:ascii="Times New Roman" w:hAnsi="Times New Roman" w:eastAsia="宋体" w:cs="Times New Roman"/>
                      <w:color w:val="auto"/>
                      <w:kern w:val="2"/>
                      <w:sz w:val="18"/>
                      <w:szCs w:val="18"/>
                      <w:highlight w:val="none"/>
                      <w:u w:val="none" w:color="auto"/>
                      <w:lang w:val="en-US" w:eastAsia="zh-CN" w:bidi="ar-SA"/>
                    </w:rPr>
                  </w:pPr>
                </w:p>
              </w:tc>
              <w:tc>
                <w:tcPr>
                  <w:tcW w:w="259" w:type="pct"/>
                  <w:vMerge w:val="restart"/>
                  <w:tcBorders>
                    <w:tl2br w:val="nil"/>
                    <w:tr2bl w:val="nil"/>
                  </w:tcBorders>
                  <w:vAlign w:val="center"/>
                </w:tcPr>
                <w:p w14:paraId="2E3BDF42">
                  <w:pPr>
                    <w:pStyle w:val="94"/>
                    <w:spacing w:beforeLines="0" w:afterLines="0" w:line="240" w:lineRule="auto"/>
                    <w:jc w:val="center"/>
                    <w:rPr>
                      <w:rFonts w:hint="default" w:ascii="Times New Roman" w:hAnsi="Times New Roman" w:eastAsia="宋体" w:cs="Times New Roman"/>
                      <w:color w:val="auto"/>
                      <w:kern w:val="0"/>
                      <w:sz w:val="18"/>
                      <w:szCs w:val="18"/>
                      <w:highlight w:val="none"/>
                      <w:u w:val="none" w:color="auto"/>
                      <w:lang w:val="en-US" w:eastAsia="zh-CN" w:bidi="ar-SA"/>
                    </w:rPr>
                  </w:pPr>
                </w:p>
              </w:tc>
              <w:tc>
                <w:tcPr>
                  <w:tcW w:w="477" w:type="pct"/>
                  <w:vMerge w:val="continue"/>
                  <w:tcBorders>
                    <w:tl2br w:val="nil"/>
                    <w:tr2bl w:val="nil"/>
                  </w:tcBorders>
                  <w:vAlign w:val="center"/>
                </w:tcPr>
                <w:p w14:paraId="0D4AC803">
                  <w:pPr>
                    <w:pStyle w:val="94"/>
                    <w:spacing w:before="24" w:after="24"/>
                    <w:jc w:val="center"/>
                    <w:rPr>
                      <w:rFonts w:hint="default" w:ascii="Times New Roman" w:hAnsi="Times New Roman" w:eastAsia="宋体" w:cs="Times New Roman"/>
                      <w:b w:val="0"/>
                      <w:bCs w:val="0"/>
                      <w:color w:val="auto"/>
                      <w:kern w:val="2"/>
                      <w:sz w:val="18"/>
                      <w:szCs w:val="18"/>
                      <w:highlight w:val="none"/>
                      <w:u w:val="none" w:color="auto"/>
                      <w:lang w:val="en-US" w:eastAsia="zh-CN" w:bidi="ar-SA"/>
                    </w:rPr>
                  </w:pPr>
                </w:p>
              </w:tc>
              <w:tc>
                <w:tcPr>
                  <w:tcW w:w="451" w:type="pct"/>
                  <w:vMerge w:val="continue"/>
                  <w:tcBorders>
                    <w:tl2br w:val="nil"/>
                    <w:tr2bl w:val="nil"/>
                  </w:tcBorders>
                  <w:vAlign w:val="center"/>
                </w:tcPr>
                <w:p w14:paraId="11BDCC9E">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765" w:type="pct"/>
                  <w:vMerge w:val="continue"/>
                  <w:tcBorders>
                    <w:tl2br w:val="nil"/>
                    <w:tr2bl w:val="nil"/>
                  </w:tcBorders>
                  <w:vAlign w:val="center"/>
                </w:tcPr>
                <w:p w14:paraId="1472E7B6">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lang w:val="en-US" w:eastAsia="zh-CN"/>
                    </w:rPr>
                  </w:pPr>
                </w:p>
              </w:tc>
              <w:tc>
                <w:tcPr>
                  <w:tcW w:w="368" w:type="pct"/>
                  <w:tcBorders>
                    <w:tl2br w:val="nil"/>
                    <w:tr2bl w:val="nil"/>
                  </w:tcBorders>
                  <w:vAlign w:val="center"/>
                </w:tcPr>
                <w:p w14:paraId="49BCC079">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72.5</w:t>
                  </w:r>
                </w:p>
              </w:tc>
              <w:tc>
                <w:tcPr>
                  <w:tcW w:w="400" w:type="pct"/>
                  <w:tcBorders>
                    <w:tl2br w:val="nil"/>
                    <w:tr2bl w:val="nil"/>
                  </w:tcBorders>
                  <w:vAlign w:val="center"/>
                </w:tcPr>
                <w:p w14:paraId="2D596893">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53.6</w:t>
                  </w:r>
                </w:p>
              </w:tc>
              <w:tc>
                <w:tcPr>
                  <w:tcW w:w="342" w:type="pct"/>
                  <w:vMerge w:val="continue"/>
                  <w:tcBorders>
                    <w:tl2br w:val="nil"/>
                    <w:tr2bl w:val="nil"/>
                  </w:tcBorders>
                  <w:vAlign w:val="center"/>
                </w:tcPr>
                <w:p w14:paraId="607F1BD7">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419" w:type="pct"/>
                  <w:tcBorders>
                    <w:tl2br w:val="nil"/>
                    <w:tr2bl w:val="nil"/>
                  </w:tcBorders>
                  <w:vAlign w:val="center"/>
                </w:tcPr>
                <w:p w14:paraId="1D5B491F">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26</w:t>
                  </w:r>
                </w:p>
              </w:tc>
              <w:tc>
                <w:tcPr>
                  <w:tcW w:w="419" w:type="pct"/>
                  <w:tcBorders>
                    <w:tl2br w:val="nil"/>
                    <w:tr2bl w:val="nil"/>
                  </w:tcBorders>
                  <w:vAlign w:val="center"/>
                </w:tcPr>
                <w:p w14:paraId="479E9B3C">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27.6</w:t>
                  </w:r>
                </w:p>
              </w:tc>
              <w:tc>
                <w:tcPr>
                  <w:tcW w:w="235" w:type="pct"/>
                  <w:vMerge w:val="continue"/>
                  <w:tcBorders>
                    <w:tl2br w:val="nil"/>
                    <w:tr2bl w:val="nil"/>
                  </w:tcBorders>
                  <w:vAlign w:val="center"/>
                </w:tcPr>
                <w:p w14:paraId="4DDAF70E">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r>
            <w:tr w14:paraId="4C7FBBB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4" w:type="pct"/>
                  <w:vMerge w:val="continue"/>
                  <w:tcBorders>
                    <w:tl2br w:val="nil"/>
                    <w:tr2bl w:val="nil"/>
                  </w:tcBorders>
                  <w:vAlign w:val="center"/>
                </w:tcPr>
                <w:p w14:paraId="388A8025">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234" w:type="pct"/>
                  <w:vMerge w:val="continue"/>
                  <w:tcBorders>
                    <w:tl2br w:val="nil"/>
                    <w:tr2bl w:val="nil"/>
                  </w:tcBorders>
                  <w:vAlign w:val="center"/>
                </w:tcPr>
                <w:p w14:paraId="32881439">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393" w:type="pct"/>
                  <w:vMerge w:val="continue"/>
                  <w:tcBorders>
                    <w:tl2br w:val="nil"/>
                    <w:tr2bl w:val="nil"/>
                  </w:tcBorders>
                  <w:vAlign w:val="center"/>
                </w:tcPr>
                <w:p w14:paraId="1C06C50C">
                  <w:pPr>
                    <w:jc w:val="center"/>
                    <w:rPr>
                      <w:rFonts w:hint="default" w:ascii="Times New Roman" w:hAnsi="Times New Roman" w:eastAsia="宋体" w:cs="Times New Roman"/>
                      <w:color w:val="auto"/>
                      <w:kern w:val="2"/>
                      <w:sz w:val="18"/>
                      <w:szCs w:val="18"/>
                      <w:highlight w:val="none"/>
                      <w:u w:val="none" w:color="auto"/>
                      <w:lang w:val="en-US" w:eastAsia="zh-CN" w:bidi="ar-SA"/>
                    </w:rPr>
                  </w:pPr>
                </w:p>
              </w:tc>
              <w:tc>
                <w:tcPr>
                  <w:tcW w:w="259" w:type="pct"/>
                  <w:vMerge w:val="continue"/>
                  <w:tcBorders>
                    <w:tl2br w:val="nil"/>
                    <w:tr2bl w:val="nil"/>
                  </w:tcBorders>
                  <w:vAlign w:val="center"/>
                </w:tcPr>
                <w:p w14:paraId="7ECB2BB6">
                  <w:pPr>
                    <w:pStyle w:val="94"/>
                    <w:spacing w:beforeLines="0" w:afterLines="0" w:line="240" w:lineRule="auto"/>
                    <w:jc w:val="center"/>
                    <w:rPr>
                      <w:rFonts w:hint="default" w:ascii="Times New Roman" w:hAnsi="Times New Roman" w:eastAsia="宋体" w:cs="Times New Roman"/>
                      <w:color w:val="auto"/>
                      <w:kern w:val="0"/>
                      <w:sz w:val="18"/>
                      <w:szCs w:val="18"/>
                      <w:highlight w:val="none"/>
                      <w:u w:val="none" w:color="auto"/>
                      <w:lang w:val="en-US" w:eastAsia="zh-CN" w:bidi="ar-SA"/>
                    </w:rPr>
                  </w:pPr>
                </w:p>
              </w:tc>
              <w:tc>
                <w:tcPr>
                  <w:tcW w:w="477" w:type="pct"/>
                  <w:vMerge w:val="continue"/>
                  <w:tcBorders>
                    <w:tl2br w:val="nil"/>
                    <w:tr2bl w:val="nil"/>
                  </w:tcBorders>
                  <w:vAlign w:val="center"/>
                </w:tcPr>
                <w:p w14:paraId="18F0DFCB">
                  <w:pPr>
                    <w:pStyle w:val="94"/>
                    <w:spacing w:before="24" w:after="24"/>
                    <w:jc w:val="center"/>
                    <w:rPr>
                      <w:rFonts w:hint="default" w:ascii="Times New Roman" w:hAnsi="Times New Roman" w:eastAsia="宋体" w:cs="Times New Roman"/>
                      <w:b w:val="0"/>
                      <w:bCs w:val="0"/>
                      <w:color w:val="auto"/>
                      <w:kern w:val="2"/>
                      <w:sz w:val="18"/>
                      <w:szCs w:val="18"/>
                      <w:highlight w:val="none"/>
                      <w:u w:val="none" w:color="auto"/>
                      <w:lang w:val="en-US" w:eastAsia="zh-CN" w:bidi="ar-SA"/>
                    </w:rPr>
                  </w:pPr>
                </w:p>
              </w:tc>
              <w:tc>
                <w:tcPr>
                  <w:tcW w:w="451" w:type="pct"/>
                  <w:vMerge w:val="continue"/>
                  <w:tcBorders>
                    <w:tl2br w:val="nil"/>
                    <w:tr2bl w:val="nil"/>
                  </w:tcBorders>
                  <w:vAlign w:val="center"/>
                </w:tcPr>
                <w:p w14:paraId="68A268FF">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765" w:type="pct"/>
                  <w:vMerge w:val="continue"/>
                  <w:tcBorders>
                    <w:tl2br w:val="nil"/>
                    <w:tr2bl w:val="nil"/>
                  </w:tcBorders>
                  <w:vAlign w:val="center"/>
                </w:tcPr>
                <w:p w14:paraId="2F0BF28C">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lang w:val="en-US" w:eastAsia="zh-CN"/>
                    </w:rPr>
                  </w:pPr>
                </w:p>
              </w:tc>
              <w:tc>
                <w:tcPr>
                  <w:tcW w:w="368" w:type="pct"/>
                  <w:tcBorders>
                    <w:tl2br w:val="nil"/>
                    <w:tr2bl w:val="nil"/>
                  </w:tcBorders>
                  <w:vAlign w:val="center"/>
                </w:tcPr>
                <w:p w14:paraId="21E5EDD3">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26.8</w:t>
                  </w:r>
                </w:p>
              </w:tc>
              <w:tc>
                <w:tcPr>
                  <w:tcW w:w="400" w:type="pct"/>
                  <w:tcBorders>
                    <w:tl2br w:val="nil"/>
                    <w:tr2bl w:val="nil"/>
                  </w:tcBorders>
                  <w:vAlign w:val="center"/>
                </w:tcPr>
                <w:p w14:paraId="6466DADF">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53.6</w:t>
                  </w:r>
                </w:p>
              </w:tc>
              <w:tc>
                <w:tcPr>
                  <w:tcW w:w="342" w:type="pct"/>
                  <w:vMerge w:val="continue"/>
                  <w:tcBorders>
                    <w:tl2br w:val="nil"/>
                    <w:tr2bl w:val="nil"/>
                  </w:tcBorders>
                  <w:vAlign w:val="center"/>
                </w:tcPr>
                <w:p w14:paraId="0A6D32B0">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419" w:type="pct"/>
                  <w:tcBorders>
                    <w:tl2br w:val="nil"/>
                    <w:tr2bl w:val="nil"/>
                  </w:tcBorders>
                  <w:vAlign w:val="center"/>
                </w:tcPr>
                <w:p w14:paraId="27C5963C">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16</w:t>
                  </w:r>
                </w:p>
              </w:tc>
              <w:tc>
                <w:tcPr>
                  <w:tcW w:w="419" w:type="pct"/>
                  <w:tcBorders>
                    <w:tl2br w:val="nil"/>
                    <w:tr2bl w:val="nil"/>
                  </w:tcBorders>
                  <w:vAlign w:val="center"/>
                </w:tcPr>
                <w:p w14:paraId="3CD1E8C1">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37.6</w:t>
                  </w:r>
                </w:p>
              </w:tc>
              <w:tc>
                <w:tcPr>
                  <w:tcW w:w="235" w:type="pct"/>
                  <w:vMerge w:val="continue"/>
                  <w:tcBorders>
                    <w:tl2br w:val="nil"/>
                    <w:tr2bl w:val="nil"/>
                  </w:tcBorders>
                  <w:vAlign w:val="center"/>
                </w:tcPr>
                <w:p w14:paraId="29F50618">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r>
            <w:tr w14:paraId="4180395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4" w:type="pct"/>
                  <w:vMerge w:val="restart"/>
                  <w:tcBorders>
                    <w:tl2br w:val="nil"/>
                    <w:tr2bl w:val="nil"/>
                  </w:tcBorders>
                  <w:vAlign w:val="center"/>
                </w:tcPr>
                <w:p w14:paraId="3546DBEC">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lang w:val="en-US" w:eastAsia="zh-CN"/>
                    </w:rPr>
                  </w:pPr>
                  <w:r>
                    <w:rPr>
                      <w:rFonts w:hint="default" w:ascii="Times New Roman" w:hAnsi="Times New Roman" w:eastAsia="宋体" w:cs="Times New Roman"/>
                      <w:color w:val="auto"/>
                      <w:sz w:val="18"/>
                      <w:szCs w:val="18"/>
                      <w:highlight w:val="none"/>
                      <w:u w:val="none" w:color="auto"/>
                      <w:lang w:val="en-US" w:eastAsia="zh-CN"/>
                    </w:rPr>
                    <w:t>7</w:t>
                  </w:r>
                </w:p>
              </w:tc>
              <w:tc>
                <w:tcPr>
                  <w:tcW w:w="234" w:type="pct"/>
                  <w:vMerge w:val="continue"/>
                  <w:tcBorders>
                    <w:tl2br w:val="nil"/>
                    <w:tr2bl w:val="nil"/>
                  </w:tcBorders>
                  <w:vAlign w:val="center"/>
                </w:tcPr>
                <w:p w14:paraId="524C10EF">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393" w:type="pct"/>
                  <w:vMerge w:val="restart"/>
                  <w:tcBorders>
                    <w:tl2br w:val="nil"/>
                    <w:tr2bl w:val="nil"/>
                  </w:tcBorders>
                  <w:vAlign w:val="center"/>
                </w:tcPr>
                <w:p w14:paraId="6E12F656">
                  <w:pPr>
                    <w:jc w:val="center"/>
                    <w:rPr>
                      <w:rFonts w:hint="default" w:ascii="Times New Roman" w:hAnsi="Times New Roman" w:eastAsia="宋体" w:cs="Times New Roman"/>
                      <w:color w:val="auto"/>
                      <w:kern w:val="2"/>
                      <w:sz w:val="18"/>
                      <w:szCs w:val="18"/>
                      <w:highlight w:val="none"/>
                      <w:u w:val="none" w:color="auto"/>
                      <w:lang w:val="en-US" w:eastAsia="zh-CN" w:bidi="ar-SA"/>
                    </w:rPr>
                  </w:pPr>
                  <w:r>
                    <w:rPr>
                      <w:rFonts w:hint="eastAsia" w:cs="Times New Roman"/>
                      <w:color w:val="auto"/>
                      <w:sz w:val="18"/>
                      <w:szCs w:val="18"/>
                      <w:highlight w:val="none"/>
                      <w:u w:val="none" w:color="auto"/>
                      <w:lang w:val="en-US" w:eastAsia="zh-CN"/>
                    </w:rPr>
                    <w:t>清洗线</w:t>
                  </w:r>
                </w:p>
              </w:tc>
              <w:tc>
                <w:tcPr>
                  <w:tcW w:w="259" w:type="pct"/>
                  <w:vMerge w:val="restart"/>
                  <w:tcBorders>
                    <w:tl2br w:val="nil"/>
                    <w:tr2bl w:val="nil"/>
                  </w:tcBorders>
                  <w:vAlign w:val="center"/>
                </w:tcPr>
                <w:p w14:paraId="18043735">
                  <w:pPr>
                    <w:pStyle w:val="94"/>
                    <w:spacing w:beforeLines="0" w:afterLines="0" w:line="240" w:lineRule="auto"/>
                    <w:jc w:val="center"/>
                    <w:rPr>
                      <w:rFonts w:hint="default" w:ascii="Times New Roman" w:hAnsi="Times New Roman" w:eastAsia="宋体" w:cs="Times New Roman"/>
                      <w:color w:val="auto"/>
                      <w:kern w:val="0"/>
                      <w:sz w:val="18"/>
                      <w:szCs w:val="18"/>
                      <w:highlight w:val="none"/>
                      <w:u w:val="none" w:color="auto"/>
                      <w:lang w:val="en-US" w:eastAsia="zh-CN" w:bidi="ar-SA"/>
                    </w:rPr>
                  </w:pPr>
                  <w:r>
                    <w:rPr>
                      <w:rFonts w:hint="eastAsia" w:ascii="Times New Roman" w:cs="Times New Roman"/>
                      <w:color w:val="auto"/>
                      <w:kern w:val="0"/>
                      <w:sz w:val="18"/>
                      <w:szCs w:val="18"/>
                      <w:highlight w:val="none"/>
                      <w:u w:val="none" w:color="auto"/>
                      <w:lang w:val="en-US" w:eastAsia="zh-CN" w:bidi="ar-SA"/>
                    </w:rPr>
                    <w:t>1</w:t>
                  </w:r>
                </w:p>
              </w:tc>
              <w:tc>
                <w:tcPr>
                  <w:tcW w:w="477" w:type="pct"/>
                  <w:vMerge w:val="restart"/>
                  <w:tcBorders>
                    <w:tl2br w:val="nil"/>
                    <w:tr2bl w:val="nil"/>
                  </w:tcBorders>
                  <w:vAlign w:val="center"/>
                </w:tcPr>
                <w:p w14:paraId="621B8433">
                  <w:pPr>
                    <w:pStyle w:val="94"/>
                    <w:spacing w:before="24" w:after="24"/>
                    <w:jc w:val="center"/>
                    <w:rPr>
                      <w:rFonts w:hint="default" w:ascii="Times New Roman" w:hAnsi="Times New Roman" w:eastAsia="宋体" w:cs="Times New Roman"/>
                      <w:b w:val="0"/>
                      <w:bCs w:val="0"/>
                      <w:color w:val="auto"/>
                      <w:kern w:val="2"/>
                      <w:sz w:val="18"/>
                      <w:szCs w:val="18"/>
                      <w:highlight w:val="none"/>
                      <w:u w:val="none" w:color="auto"/>
                      <w:lang w:val="en-US" w:eastAsia="zh-CN" w:bidi="ar-SA"/>
                    </w:rPr>
                  </w:pPr>
                  <w:r>
                    <w:rPr>
                      <w:rFonts w:hint="eastAsia" w:ascii="Times New Roman" w:cs="Times New Roman"/>
                      <w:b w:val="0"/>
                      <w:bCs w:val="0"/>
                      <w:color w:val="auto"/>
                      <w:kern w:val="2"/>
                      <w:sz w:val="18"/>
                      <w:szCs w:val="18"/>
                      <w:highlight w:val="none"/>
                      <w:u w:val="none" w:color="auto"/>
                      <w:lang w:val="en-US" w:eastAsia="zh-CN" w:bidi="ar-SA"/>
                    </w:rPr>
                    <w:t>70</w:t>
                  </w:r>
                </w:p>
              </w:tc>
              <w:tc>
                <w:tcPr>
                  <w:tcW w:w="451" w:type="pct"/>
                  <w:vMerge w:val="restart"/>
                  <w:tcBorders>
                    <w:tl2br w:val="nil"/>
                    <w:tr2bl w:val="nil"/>
                  </w:tcBorders>
                  <w:vAlign w:val="center"/>
                </w:tcPr>
                <w:p w14:paraId="5E2693E0">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r>
                    <w:rPr>
                      <w:rFonts w:hint="default" w:ascii="Times New Roman" w:hAnsi="Times New Roman" w:eastAsia="宋体" w:cs="Times New Roman"/>
                      <w:color w:val="auto"/>
                      <w:sz w:val="18"/>
                      <w:szCs w:val="18"/>
                      <w:highlight w:val="none"/>
                      <w:u w:val="none" w:color="auto"/>
                      <w:lang w:val="en-US" w:eastAsia="zh-CN"/>
                    </w:rPr>
                    <w:t>减振、厂房隔声</w:t>
                  </w:r>
                </w:p>
              </w:tc>
              <w:tc>
                <w:tcPr>
                  <w:tcW w:w="765" w:type="pct"/>
                  <w:vMerge w:val="restart"/>
                  <w:tcBorders>
                    <w:tl2br w:val="nil"/>
                    <w:tr2bl w:val="nil"/>
                  </w:tcBorders>
                  <w:vAlign w:val="center"/>
                </w:tcPr>
                <w:p w14:paraId="6BEC6B61">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lang w:val="en-US" w:eastAsia="zh-CN"/>
                    </w:rPr>
                  </w:pPr>
                  <w:r>
                    <w:rPr>
                      <w:rFonts w:hint="eastAsia" w:ascii="Times New Roman" w:hAnsi="Times New Roman" w:cs="Times New Roman"/>
                      <w:color w:val="auto"/>
                      <w:sz w:val="18"/>
                      <w:szCs w:val="18"/>
                      <w:highlight w:val="none"/>
                      <w:u w:val="none" w:color="auto"/>
                      <w:lang w:val="en-US" w:eastAsia="zh-CN"/>
                    </w:rPr>
                    <w:t>-14.8,32.4,1.2</w:t>
                  </w:r>
                </w:p>
              </w:tc>
              <w:tc>
                <w:tcPr>
                  <w:tcW w:w="368" w:type="pct"/>
                  <w:tcBorders>
                    <w:tl2br w:val="nil"/>
                    <w:tr2bl w:val="nil"/>
                  </w:tcBorders>
                  <w:vAlign w:val="center"/>
                </w:tcPr>
                <w:p w14:paraId="34E027E5">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52.9</w:t>
                  </w:r>
                </w:p>
              </w:tc>
              <w:tc>
                <w:tcPr>
                  <w:tcW w:w="400" w:type="pct"/>
                  <w:tcBorders>
                    <w:tl2br w:val="nil"/>
                    <w:tr2bl w:val="nil"/>
                  </w:tcBorders>
                  <w:vAlign w:val="center"/>
                </w:tcPr>
                <w:p w14:paraId="18544CD9">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53.6</w:t>
                  </w:r>
                </w:p>
              </w:tc>
              <w:tc>
                <w:tcPr>
                  <w:tcW w:w="342" w:type="pct"/>
                  <w:vMerge w:val="continue"/>
                  <w:tcBorders>
                    <w:tl2br w:val="nil"/>
                    <w:tr2bl w:val="nil"/>
                  </w:tcBorders>
                  <w:vAlign w:val="center"/>
                </w:tcPr>
                <w:p w14:paraId="604FBDEA">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419" w:type="pct"/>
                  <w:tcBorders>
                    <w:tl2br w:val="nil"/>
                    <w:tr2bl w:val="nil"/>
                  </w:tcBorders>
                  <w:vAlign w:val="center"/>
                </w:tcPr>
                <w:p w14:paraId="52D3B074">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26</w:t>
                  </w:r>
                </w:p>
              </w:tc>
              <w:tc>
                <w:tcPr>
                  <w:tcW w:w="419" w:type="pct"/>
                  <w:tcBorders>
                    <w:tl2br w:val="nil"/>
                    <w:tr2bl w:val="nil"/>
                  </w:tcBorders>
                  <w:vAlign w:val="center"/>
                </w:tcPr>
                <w:p w14:paraId="46B54E63">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27.6</w:t>
                  </w:r>
                </w:p>
              </w:tc>
              <w:tc>
                <w:tcPr>
                  <w:tcW w:w="235" w:type="pct"/>
                  <w:vMerge w:val="restart"/>
                  <w:tcBorders>
                    <w:tl2br w:val="nil"/>
                    <w:tr2bl w:val="nil"/>
                  </w:tcBorders>
                  <w:vAlign w:val="center"/>
                </w:tcPr>
                <w:p w14:paraId="6EC600FE">
                  <w:pPr>
                    <w:pStyle w:val="26"/>
                    <w:spacing w:line="240" w:lineRule="auto"/>
                    <w:ind w:firstLine="0" w:firstLineChars="0"/>
                    <w:jc w:val="center"/>
                    <w:rPr>
                      <w:rFonts w:hint="eastAsia" w:ascii="Times New Roman" w:hAnsi="Times New Roman" w:eastAsia="宋体" w:cs="Times New Roman"/>
                      <w:color w:val="auto"/>
                      <w:sz w:val="18"/>
                      <w:szCs w:val="18"/>
                      <w:highlight w:val="none"/>
                      <w:u w:val="none" w:color="auto"/>
                      <w:lang w:val="en-US" w:eastAsia="zh-CN"/>
                    </w:rPr>
                  </w:pPr>
                  <w:r>
                    <w:rPr>
                      <w:rFonts w:hint="eastAsia" w:ascii="Times New Roman" w:hAnsi="Times New Roman" w:cs="Times New Roman"/>
                      <w:color w:val="auto"/>
                      <w:sz w:val="18"/>
                      <w:szCs w:val="18"/>
                      <w:highlight w:val="none"/>
                      <w:u w:val="none" w:color="auto"/>
                      <w:lang w:val="en-US" w:eastAsia="zh-CN"/>
                    </w:rPr>
                    <w:t>1</w:t>
                  </w:r>
                </w:p>
              </w:tc>
            </w:tr>
            <w:tr w14:paraId="4B17CB3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4" w:type="pct"/>
                  <w:vMerge w:val="continue"/>
                  <w:tcBorders>
                    <w:tl2br w:val="nil"/>
                    <w:tr2bl w:val="nil"/>
                  </w:tcBorders>
                  <w:vAlign w:val="center"/>
                </w:tcPr>
                <w:p w14:paraId="37D5E606">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234" w:type="pct"/>
                  <w:vMerge w:val="continue"/>
                  <w:tcBorders>
                    <w:tl2br w:val="nil"/>
                    <w:tr2bl w:val="nil"/>
                  </w:tcBorders>
                  <w:vAlign w:val="center"/>
                </w:tcPr>
                <w:p w14:paraId="32A29FB6">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393" w:type="pct"/>
                  <w:vMerge w:val="continue"/>
                  <w:tcBorders>
                    <w:tl2br w:val="nil"/>
                    <w:tr2bl w:val="nil"/>
                  </w:tcBorders>
                  <w:vAlign w:val="center"/>
                </w:tcPr>
                <w:p w14:paraId="3ABBF04A">
                  <w:pPr>
                    <w:jc w:val="center"/>
                    <w:rPr>
                      <w:rFonts w:hint="default" w:ascii="Times New Roman" w:hAnsi="Times New Roman" w:eastAsia="宋体" w:cs="Times New Roman"/>
                      <w:color w:val="auto"/>
                      <w:kern w:val="2"/>
                      <w:sz w:val="18"/>
                      <w:szCs w:val="18"/>
                      <w:highlight w:val="none"/>
                      <w:u w:val="none" w:color="auto"/>
                      <w:lang w:val="en-US" w:eastAsia="zh-CN" w:bidi="ar-SA"/>
                    </w:rPr>
                  </w:pPr>
                </w:p>
              </w:tc>
              <w:tc>
                <w:tcPr>
                  <w:tcW w:w="259" w:type="pct"/>
                  <w:vMerge w:val="continue"/>
                  <w:tcBorders>
                    <w:tl2br w:val="nil"/>
                    <w:tr2bl w:val="nil"/>
                  </w:tcBorders>
                  <w:vAlign w:val="center"/>
                </w:tcPr>
                <w:p w14:paraId="2AB46762">
                  <w:pPr>
                    <w:pStyle w:val="94"/>
                    <w:spacing w:beforeLines="0" w:afterLines="0" w:line="240" w:lineRule="auto"/>
                    <w:jc w:val="center"/>
                    <w:rPr>
                      <w:rFonts w:hint="default" w:ascii="Times New Roman" w:hAnsi="Times New Roman" w:eastAsia="宋体" w:cs="Times New Roman"/>
                      <w:color w:val="auto"/>
                      <w:kern w:val="0"/>
                      <w:sz w:val="18"/>
                      <w:szCs w:val="18"/>
                      <w:highlight w:val="none"/>
                      <w:u w:val="none" w:color="auto"/>
                      <w:lang w:val="en-US" w:eastAsia="zh-CN" w:bidi="ar-SA"/>
                    </w:rPr>
                  </w:pPr>
                </w:p>
              </w:tc>
              <w:tc>
                <w:tcPr>
                  <w:tcW w:w="477" w:type="pct"/>
                  <w:vMerge w:val="continue"/>
                  <w:tcBorders>
                    <w:tl2br w:val="nil"/>
                    <w:tr2bl w:val="nil"/>
                  </w:tcBorders>
                  <w:vAlign w:val="center"/>
                </w:tcPr>
                <w:p w14:paraId="249B0727">
                  <w:pPr>
                    <w:pStyle w:val="94"/>
                    <w:spacing w:before="24" w:after="24"/>
                    <w:jc w:val="center"/>
                    <w:rPr>
                      <w:rFonts w:hint="default" w:ascii="Times New Roman" w:hAnsi="Times New Roman" w:eastAsia="宋体" w:cs="Times New Roman"/>
                      <w:b w:val="0"/>
                      <w:bCs w:val="0"/>
                      <w:color w:val="auto"/>
                      <w:kern w:val="2"/>
                      <w:sz w:val="18"/>
                      <w:szCs w:val="18"/>
                      <w:highlight w:val="none"/>
                      <w:u w:val="none" w:color="auto"/>
                      <w:lang w:val="en-US" w:eastAsia="zh-CN" w:bidi="ar-SA"/>
                    </w:rPr>
                  </w:pPr>
                </w:p>
              </w:tc>
              <w:tc>
                <w:tcPr>
                  <w:tcW w:w="451" w:type="pct"/>
                  <w:vMerge w:val="continue"/>
                  <w:tcBorders>
                    <w:tl2br w:val="nil"/>
                    <w:tr2bl w:val="nil"/>
                  </w:tcBorders>
                  <w:vAlign w:val="center"/>
                </w:tcPr>
                <w:p w14:paraId="650C4F48">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765" w:type="pct"/>
                  <w:vMerge w:val="continue"/>
                  <w:tcBorders>
                    <w:tl2br w:val="nil"/>
                    <w:tr2bl w:val="nil"/>
                  </w:tcBorders>
                  <w:vAlign w:val="center"/>
                </w:tcPr>
                <w:p w14:paraId="442B714E">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lang w:val="en-US" w:eastAsia="zh-CN"/>
                    </w:rPr>
                  </w:pPr>
                </w:p>
              </w:tc>
              <w:tc>
                <w:tcPr>
                  <w:tcW w:w="368" w:type="pct"/>
                  <w:tcBorders>
                    <w:tl2br w:val="nil"/>
                    <w:tr2bl w:val="nil"/>
                  </w:tcBorders>
                  <w:vAlign w:val="center"/>
                </w:tcPr>
                <w:p w14:paraId="2C7FBF5B">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45.0</w:t>
                  </w:r>
                </w:p>
              </w:tc>
              <w:tc>
                <w:tcPr>
                  <w:tcW w:w="400" w:type="pct"/>
                  <w:tcBorders>
                    <w:tl2br w:val="nil"/>
                    <w:tr2bl w:val="nil"/>
                  </w:tcBorders>
                  <w:vAlign w:val="center"/>
                </w:tcPr>
                <w:p w14:paraId="3A3708B3">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53.6</w:t>
                  </w:r>
                </w:p>
              </w:tc>
              <w:tc>
                <w:tcPr>
                  <w:tcW w:w="342" w:type="pct"/>
                  <w:vMerge w:val="continue"/>
                  <w:tcBorders>
                    <w:tl2br w:val="nil"/>
                    <w:tr2bl w:val="nil"/>
                  </w:tcBorders>
                  <w:vAlign w:val="center"/>
                </w:tcPr>
                <w:p w14:paraId="177D5656">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419" w:type="pct"/>
                  <w:tcBorders>
                    <w:tl2br w:val="nil"/>
                    <w:tr2bl w:val="nil"/>
                  </w:tcBorders>
                  <w:vAlign w:val="center"/>
                </w:tcPr>
                <w:p w14:paraId="4A2CCC0F">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16</w:t>
                  </w:r>
                </w:p>
              </w:tc>
              <w:tc>
                <w:tcPr>
                  <w:tcW w:w="419" w:type="pct"/>
                  <w:tcBorders>
                    <w:tl2br w:val="nil"/>
                    <w:tr2bl w:val="nil"/>
                  </w:tcBorders>
                  <w:vAlign w:val="center"/>
                </w:tcPr>
                <w:p w14:paraId="1E62DF14">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37.6</w:t>
                  </w:r>
                </w:p>
              </w:tc>
              <w:tc>
                <w:tcPr>
                  <w:tcW w:w="235" w:type="pct"/>
                  <w:vMerge w:val="continue"/>
                  <w:tcBorders>
                    <w:tl2br w:val="nil"/>
                    <w:tr2bl w:val="nil"/>
                  </w:tcBorders>
                  <w:vAlign w:val="center"/>
                </w:tcPr>
                <w:p w14:paraId="6D97033C">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r>
            <w:tr w14:paraId="113FD0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4" w:type="pct"/>
                  <w:vMerge w:val="continue"/>
                  <w:tcBorders>
                    <w:tl2br w:val="nil"/>
                    <w:tr2bl w:val="nil"/>
                  </w:tcBorders>
                  <w:vAlign w:val="center"/>
                </w:tcPr>
                <w:p w14:paraId="71E54D09">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234" w:type="pct"/>
                  <w:vMerge w:val="continue"/>
                  <w:tcBorders>
                    <w:tl2br w:val="nil"/>
                    <w:tr2bl w:val="nil"/>
                  </w:tcBorders>
                  <w:vAlign w:val="center"/>
                </w:tcPr>
                <w:p w14:paraId="79EB7316">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393" w:type="pct"/>
                  <w:vMerge w:val="continue"/>
                  <w:tcBorders>
                    <w:tl2br w:val="nil"/>
                    <w:tr2bl w:val="nil"/>
                  </w:tcBorders>
                  <w:vAlign w:val="center"/>
                </w:tcPr>
                <w:p w14:paraId="492272D4">
                  <w:pPr>
                    <w:jc w:val="center"/>
                    <w:rPr>
                      <w:rFonts w:hint="default" w:ascii="Times New Roman" w:hAnsi="Times New Roman" w:eastAsia="宋体" w:cs="Times New Roman"/>
                      <w:color w:val="auto"/>
                      <w:kern w:val="2"/>
                      <w:sz w:val="18"/>
                      <w:szCs w:val="18"/>
                      <w:highlight w:val="none"/>
                      <w:u w:val="none" w:color="auto"/>
                      <w:lang w:val="en-US" w:eastAsia="zh-CN" w:bidi="ar-SA"/>
                    </w:rPr>
                  </w:pPr>
                </w:p>
              </w:tc>
              <w:tc>
                <w:tcPr>
                  <w:tcW w:w="259" w:type="pct"/>
                  <w:vMerge w:val="continue"/>
                  <w:tcBorders>
                    <w:tl2br w:val="nil"/>
                    <w:tr2bl w:val="nil"/>
                  </w:tcBorders>
                  <w:vAlign w:val="center"/>
                </w:tcPr>
                <w:p w14:paraId="1B5290FB">
                  <w:pPr>
                    <w:pStyle w:val="94"/>
                    <w:spacing w:beforeLines="0" w:afterLines="0" w:line="240" w:lineRule="auto"/>
                    <w:jc w:val="center"/>
                    <w:rPr>
                      <w:rFonts w:hint="default" w:ascii="Times New Roman" w:hAnsi="Times New Roman" w:eastAsia="宋体" w:cs="Times New Roman"/>
                      <w:color w:val="auto"/>
                      <w:kern w:val="0"/>
                      <w:sz w:val="18"/>
                      <w:szCs w:val="18"/>
                      <w:highlight w:val="none"/>
                      <w:u w:val="none" w:color="auto"/>
                      <w:lang w:val="en-US" w:eastAsia="zh-CN" w:bidi="ar-SA"/>
                    </w:rPr>
                  </w:pPr>
                </w:p>
              </w:tc>
              <w:tc>
                <w:tcPr>
                  <w:tcW w:w="477" w:type="pct"/>
                  <w:vMerge w:val="continue"/>
                  <w:tcBorders>
                    <w:tl2br w:val="nil"/>
                    <w:tr2bl w:val="nil"/>
                  </w:tcBorders>
                  <w:vAlign w:val="center"/>
                </w:tcPr>
                <w:p w14:paraId="2F0B8B70">
                  <w:pPr>
                    <w:pStyle w:val="94"/>
                    <w:spacing w:before="24" w:after="24"/>
                    <w:jc w:val="center"/>
                    <w:rPr>
                      <w:rFonts w:hint="default" w:ascii="Times New Roman" w:hAnsi="Times New Roman" w:eastAsia="宋体" w:cs="Times New Roman"/>
                      <w:b w:val="0"/>
                      <w:bCs w:val="0"/>
                      <w:color w:val="auto"/>
                      <w:kern w:val="2"/>
                      <w:sz w:val="18"/>
                      <w:szCs w:val="18"/>
                      <w:highlight w:val="none"/>
                      <w:u w:val="none" w:color="auto"/>
                      <w:lang w:val="en-US" w:eastAsia="zh-CN" w:bidi="ar-SA"/>
                    </w:rPr>
                  </w:pPr>
                </w:p>
              </w:tc>
              <w:tc>
                <w:tcPr>
                  <w:tcW w:w="451" w:type="pct"/>
                  <w:vMerge w:val="continue"/>
                  <w:tcBorders>
                    <w:tl2br w:val="nil"/>
                    <w:tr2bl w:val="nil"/>
                  </w:tcBorders>
                  <w:vAlign w:val="center"/>
                </w:tcPr>
                <w:p w14:paraId="00A5E683">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765" w:type="pct"/>
                  <w:vMerge w:val="continue"/>
                  <w:tcBorders>
                    <w:tl2br w:val="nil"/>
                    <w:tr2bl w:val="nil"/>
                  </w:tcBorders>
                  <w:vAlign w:val="center"/>
                </w:tcPr>
                <w:p w14:paraId="7362EB8C">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lang w:val="en-US" w:eastAsia="zh-CN"/>
                    </w:rPr>
                  </w:pPr>
                </w:p>
              </w:tc>
              <w:tc>
                <w:tcPr>
                  <w:tcW w:w="368" w:type="pct"/>
                  <w:tcBorders>
                    <w:tl2br w:val="nil"/>
                    <w:tr2bl w:val="nil"/>
                  </w:tcBorders>
                  <w:vAlign w:val="center"/>
                </w:tcPr>
                <w:p w14:paraId="742DECC2">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28.6</w:t>
                  </w:r>
                </w:p>
              </w:tc>
              <w:tc>
                <w:tcPr>
                  <w:tcW w:w="400" w:type="pct"/>
                  <w:tcBorders>
                    <w:tl2br w:val="nil"/>
                    <w:tr2bl w:val="nil"/>
                  </w:tcBorders>
                  <w:vAlign w:val="center"/>
                </w:tcPr>
                <w:p w14:paraId="0D53C060">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53.6</w:t>
                  </w:r>
                </w:p>
              </w:tc>
              <w:tc>
                <w:tcPr>
                  <w:tcW w:w="342" w:type="pct"/>
                  <w:vMerge w:val="continue"/>
                  <w:tcBorders>
                    <w:tl2br w:val="nil"/>
                    <w:tr2bl w:val="nil"/>
                  </w:tcBorders>
                  <w:vAlign w:val="center"/>
                </w:tcPr>
                <w:p w14:paraId="3BB99728">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419" w:type="pct"/>
                  <w:tcBorders>
                    <w:tl2br w:val="nil"/>
                    <w:tr2bl w:val="nil"/>
                  </w:tcBorders>
                  <w:vAlign w:val="center"/>
                </w:tcPr>
                <w:p w14:paraId="347958BD">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26</w:t>
                  </w:r>
                </w:p>
              </w:tc>
              <w:tc>
                <w:tcPr>
                  <w:tcW w:w="419" w:type="pct"/>
                  <w:tcBorders>
                    <w:tl2br w:val="nil"/>
                    <w:tr2bl w:val="nil"/>
                  </w:tcBorders>
                  <w:vAlign w:val="center"/>
                </w:tcPr>
                <w:p w14:paraId="6BA29AD2">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27.6</w:t>
                  </w:r>
                </w:p>
              </w:tc>
              <w:tc>
                <w:tcPr>
                  <w:tcW w:w="235" w:type="pct"/>
                  <w:vMerge w:val="continue"/>
                  <w:tcBorders>
                    <w:tl2br w:val="nil"/>
                    <w:tr2bl w:val="nil"/>
                  </w:tcBorders>
                  <w:vAlign w:val="center"/>
                </w:tcPr>
                <w:p w14:paraId="1D716D87">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r>
            <w:tr w14:paraId="245F9E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4" w:type="pct"/>
                  <w:vMerge w:val="continue"/>
                  <w:tcBorders>
                    <w:tl2br w:val="nil"/>
                    <w:tr2bl w:val="nil"/>
                  </w:tcBorders>
                  <w:vAlign w:val="center"/>
                </w:tcPr>
                <w:p w14:paraId="1470C42A">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234" w:type="pct"/>
                  <w:vMerge w:val="continue"/>
                  <w:tcBorders>
                    <w:tl2br w:val="nil"/>
                    <w:tr2bl w:val="nil"/>
                  </w:tcBorders>
                  <w:vAlign w:val="center"/>
                </w:tcPr>
                <w:p w14:paraId="7BA67898">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393" w:type="pct"/>
                  <w:vMerge w:val="continue"/>
                  <w:tcBorders>
                    <w:tl2br w:val="nil"/>
                    <w:tr2bl w:val="nil"/>
                  </w:tcBorders>
                  <w:vAlign w:val="center"/>
                </w:tcPr>
                <w:p w14:paraId="4E3FEAD2">
                  <w:pPr>
                    <w:jc w:val="center"/>
                    <w:rPr>
                      <w:rFonts w:hint="default" w:ascii="Times New Roman" w:hAnsi="Times New Roman" w:eastAsia="宋体" w:cs="Times New Roman"/>
                      <w:color w:val="auto"/>
                      <w:kern w:val="2"/>
                      <w:sz w:val="18"/>
                      <w:szCs w:val="18"/>
                      <w:highlight w:val="none"/>
                      <w:u w:val="none" w:color="auto"/>
                      <w:lang w:val="en-US" w:eastAsia="zh-CN" w:bidi="ar-SA"/>
                    </w:rPr>
                  </w:pPr>
                </w:p>
              </w:tc>
              <w:tc>
                <w:tcPr>
                  <w:tcW w:w="259" w:type="pct"/>
                  <w:vMerge w:val="continue"/>
                  <w:tcBorders>
                    <w:tl2br w:val="nil"/>
                    <w:tr2bl w:val="nil"/>
                  </w:tcBorders>
                  <w:vAlign w:val="center"/>
                </w:tcPr>
                <w:p w14:paraId="53A34D4A">
                  <w:pPr>
                    <w:pStyle w:val="94"/>
                    <w:spacing w:beforeLines="0" w:afterLines="0" w:line="240" w:lineRule="auto"/>
                    <w:jc w:val="center"/>
                    <w:rPr>
                      <w:rFonts w:hint="default" w:ascii="Times New Roman" w:hAnsi="Times New Roman" w:eastAsia="宋体" w:cs="Times New Roman"/>
                      <w:color w:val="auto"/>
                      <w:kern w:val="0"/>
                      <w:sz w:val="18"/>
                      <w:szCs w:val="18"/>
                      <w:highlight w:val="none"/>
                      <w:u w:val="none" w:color="auto"/>
                      <w:lang w:val="en-US" w:eastAsia="zh-CN" w:bidi="ar-SA"/>
                    </w:rPr>
                  </w:pPr>
                </w:p>
              </w:tc>
              <w:tc>
                <w:tcPr>
                  <w:tcW w:w="477" w:type="pct"/>
                  <w:vMerge w:val="continue"/>
                  <w:tcBorders>
                    <w:tl2br w:val="nil"/>
                    <w:tr2bl w:val="nil"/>
                  </w:tcBorders>
                  <w:vAlign w:val="center"/>
                </w:tcPr>
                <w:p w14:paraId="1D710223">
                  <w:pPr>
                    <w:pStyle w:val="94"/>
                    <w:spacing w:before="24" w:after="24"/>
                    <w:jc w:val="center"/>
                    <w:rPr>
                      <w:rFonts w:hint="default" w:ascii="Times New Roman" w:hAnsi="Times New Roman" w:eastAsia="宋体" w:cs="Times New Roman"/>
                      <w:b w:val="0"/>
                      <w:bCs w:val="0"/>
                      <w:color w:val="auto"/>
                      <w:kern w:val="2"/>
                      <w:sz w:val="18"/>
                      <w:szCs w:val="18"/>
                      <w:highlight w:val="none"/>
                      <w:u w:val="none" w:color="auto"/>
                      <w:lang w:val="en-US" w:eastAsia="zh-CN" w:bidi="ar-SA"/>
                    </w:rPr>
                  </w:pPr>
                </w:p>
              </w:tc>
              <w:tc>
                <w:tcPr>
                  <w:tcW w:w="451" w:type="pct"/>
                  <w:vMerge w:val="continue"/>
                  <w:tcBorders>
                    <w:tl2br w:val="nil"/>
                    <w:tr2bl w:val="nil"/>
                  </w:tcBorders>
                  <w:vAlign w:val="center"/>
                </w:tcPr>
                <w:p w14:paraId="1E5A5F4B">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765" w:type="pct"/>
                  <w:vMerge w:val="continue"/>
                  <w:tcBorders>
                    <w:tl2br w:val="nil"/>
                    <w:tr2bl w:val="nil"/>
                  </w:tcBorders>
                  <w:vAlign w:val="center"/>
                </w:tcPr>
                <w:p w14:paraId="42CF6F18">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lang w:val="en-US" w:eastAsia="zh-CN"/>
                    </w:rPr>
                  </w:pPr>
                </w:p>
              </w:tc>
              <w:tc>
                <w:tcPr>
                  <w:tcW w:w="368" w:type="pct"/>
                  <w:tcBorders>
                    <w:tl2br w:val="nil"/>
                    <w:tr2bl w:val="nil"/>
                  </w:tcBorders>
                  <w:vAlign w:val="center"/>
                </w:tcPr>
                <w:p w14:paraId="3FBC1450">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33.3</w:t>
                  </w:r>
                </w:p>
              </w:tc>
              <w:tc>
                <w:tcPr>
                  <w:tcW w:w="400" w:type="pct"/>
                  <w:tcBorders>
                    <w:tl2br w:val="nil"/>
                    <w:tr2bl w:val="nil"/>
                  </w:tcBorders>
                  <w:vAlign w:val="center"/>
                </w:tcPr>
                <w:p w14:paraId="704E153D">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53.6</w:t>
                  </w:r>
                </w:p>
              </w:tc>
              <w:tc>
                <w:tcPr>
                  <w:tcW w:w="342" w:type="pct"/>
                  <w:vMerge w:val="continue"/>
                  <w:tcBorders>
                    <w:tl2br w:val="nil"/>
                    <w:tr2bl w:val="nil"/>
                  </w:tcBorders>
                  <w:vAlign w:val="center"/>
                </w:tcPr>
                <w:p w14:paraId="03C54625">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419" w:type="pct"/>
                  <w:tcBorders>
                    <w:tl2br w:val="nil"/>
                    <w:tr2bl w:val="nil"/>
                  </w:tcBorders>
                  <w:vAlign w:val="center"/>
                </w:tcPr>
                <w:p w14:paraId="726A3881">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16</w:t>
                  </w:r>
                </w:p>
              </w:tc>
              <w:tc>
                <w:tcPr>
                  <w:tcW w:w="419" w:type="pct"/>
                  <w:tcBorders>
                    <w:tl2br w:val="nil"/>
                    <w:tr2bl w:val="nil"/>
                  </w:tcBorders>
                  <w:vAlign w:val="center"/>
                </w:tcPr>
                <w:p w14:paraId="53EDCFD3">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37.6</w:t>
                  </w:r>
                </w:p>
              </w:tc>
              <w:tc>
                <w:tcPr>
                  <w:tcW w:w="235" w:type="pct"/>
                  <w:vMerge w:val="continue"/>
                  <w:tcBorders>
                    <w:tl2br w:val="nil"/>
                    <w:tr2bl w:val="nil"/>
                  </w:tcBorders>
                  <w:vAlign w:val="center"/>
                </w:tcPr>
                <w:p w14:paraId="6B5F5F0F">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r>
            <w:tr w14:paraId="2D83D5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4" w:type="pct"/>
                  <w:vMerge w:val="restart"/>
                  <w:tcBorders>
                    <w:tl2br w:val="nil"/>
                    <w:tr2bl w:val="nil"/>
                  </w:tcBorders>
                  <w:vAlign w:val="center"/>
                </w:tcPr>
                <w:p w14:paraId="4ED034C0">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lang w:val="en-US" w:eastAsia="zh-CN"/>
                    </w:rPr>
                  </w:pPr>
                  <w:r>
                    <w:rPr>
                      <w:rFonts w:hint="default" w:ascii="Times New Roman" w:hAnsi="Times New Roman" w:eastAsia="宋体" w:cs="Times New Roman"/>
                      <w:color w:val="auto"/>
                      <w:sz w:val="18"/>
                      <w:szCs w:val="18"/>
                      <w:highlight w:val="none"/>
                      <w:u w:val="none" w:color="auto"/>
                      <w:lang w:val="en-US" w:eastAsia="zh-CN"/>
                    </w:rPr>
                    <w:t>8</w:t>
                  </w:r>
                </w:p>
              </w:tc>
              <w:tc>
                <w:tcPr>
                  <w:tcW w:w="234" w:type="pct"/>
                  <w:vMerge w:val="continue"/>
                  <w:tcBorders>
                    <w:tl2br w:val="nil"/>
                    <w:tr2bl w:val="nil"/>
                  </w:tcBorders>
                  <w:vAlign w:val="center"/>
                </w:tcPr>
                <w:p w14:paraId="736A5B69">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393" w:type="pct"/>
                  <w:vMerge w:val="restart"/>
                  <w:tcBorders>
                    <w:tl2br w:val="nil"/>
                    <w:tr2bl w:val="nil"/>
                  </w:tcBorders>
                  <w:vAlign w:val="center"/>
                </w:tcPr>
                <w:p w14:paraId="644EC8F2">
                  <w:pPr>
                    <w:jc w:val="center"/>
                    <w:rPr>
                      <w:rFonts w:hint="default" w:ascii="Times New Roman" w:hAnsi="Times New Roman" w:eastAsia="宋体" w:cs="Times New Roman"/>
                      <w:color w:val="auto"/>
                      <w:kern w:val="2"/>
                      <w:sz w:val="18"/>
                      <w:szCs w:val="18"/>
                      <w:highlight w:val="none"/>
                      <w:u w:val="none" w:color="auto"/>
                      <w:lang w:val="en-US" w:eastAsia="zh-CN" w:bidi="ar-SA"/>
                    </w:rPr>
                  </w:pPr>
                  <w:r>
                    <w:rPr>
                      <w:rFonts w:hint="eastAsia" w:cs="Times New Roman"/>
                      <w:color w:val="auto"/>
                      <w:kern w:val="2"/>
                      <w:sz w:val="18"/>
                      <w:szCs w:val="18"/>
                      <w:highlight w:val="none"/>
                      <w:u w:val="none" w:color="auto"/>
                      <w:lang w:val="en-US" w:eastAsia="zh-CN" w:bidi="ar-SA"/>
                    </w:rPr>
                    <w:t>拌料机</w:t>
                  </w:r>
                </w:p>
              </w:tc>
              <w:tc>
                <w:tcPr>
                  <w:tcW w:w="259" w:type="pct"/>
                  <w:vMerge w:val="restart"/>
                  <w:tcBorders>
                    <w:tl2br w:val="nil"/>
                    <w:tr2bl w:val="nil"/>
                  </w:tcBorders>
                  <w:vAlign w:val="center"/>
                </w:tcPr>
                <w:p w14:paraId="388BB474">
                  <w:pPr>
                    <w:pStyle w:val="94"/>
                    <w:spacing w:beforeLines="0" w:afterLines="0" w:line="240" w:lineRule="auto"/>
                    <w:jc w:val="center"/>
                    <w:rPr>
                      <w:rFonts w:hint="default" w:ascii="Times New Roman" w:hAnsi="Times New Roman" w:eastAsia="宋体" w:cs="Times New Roman"/>
                      <w:color w:val="auto"/>
                      <w:kern w:val="0"/>
                      <w:sz w:val="18"/>
                      <w:szCs w:val="18"/>
                      <w:highlight w:val="none"/>
                      <w:u w:val="none" w:color="auto"/>
                      <w:lang w:val="en-US" w:eastAsia="zh-CN" w:bidi="ar-SA"/>
                    </w:rPr>
                  </w:pPr>
                  <w:r>
                    <w:rPr>
                      <w:rFonts w:hint="eastAsia" w:ascii="Times New Roman" w:cs="Times New Roman"/>
                      <w:color w:val="auto"/>
                      <w:kern w:val="0"/>
                      <w:sz w:val="18"/>
                      <w:szCs w:val="18"/>
                      <w:highlight w:val="none"/>
                      <w:u w:val="none" w:color="auto"/>
                      <w:lang w:val="en-US" w:eastAsia="zh-CN" w:bidi="ar-SA"/>
                    </w:rPr>
                    <w:t>6</w:t>
                  </w:r>
                </w:p>
              </w:tc>
              <w:tc>
                <w:tcPr>
                  <w:tcW w:w="477" w:type="pct"/>
                  <w:vMerge w:val="restart"/>
                  <w:tcBorders>
                    <w:tl2br w:val="nil"/>
                    <w:tr2bl w:val="nil"/>
                  </w:tcBorders>
                  <w:vAlign w:val="center"/>
                </w:tcPr>
                <w:p w14:paraId="668C49BB">
                  <w:pPr>
                    <w:pStyle w:val="94"/>
                    <w:spacing w:before="24" w:after="24"/>
                    <w:jc w:val="center"/>
                    <w:rPr>
                      <w:rFonts w:hint="default" w:ascii="Times New Roman" w:hAnsi="Times New Roman" w:eastAsia="宋体" w:cs="Times New Roman"/>
                      <w:b w:val="0"/>
                      <w:bCs w:val="0"/>
                      <w:color w:val="auto"/>
                      <w:kern w:val="2"/>
                      <w:sz w:val="18"/>
                      <w:szCs w:val="18"/>
                      <w:highlight w:val="none"/>
                      <w:u w:val="none" w:color="auto"/>
                      <w:lang w:val="en-US" w:eastAsia="zh-CN" w:bidi="ar-SA"/>
                    </w:rPr>
                  </w:pPr>
                  <w:r>
                    <w:rPr>
                      <w:rFonts w:hint="eastAsia" w:ascii="Times New Roman" w:cs="Times New Roman"/>
                      <w:b w:val="0"/>
                      <w:bCs w:val="0"/>
                      <w:color w:val="auto"/>
                      <w:kern w:val="2"/>
                      <w:sz w:val="18"/>
                      <w:szCs w:val="18"/>
                      <w:highlight w:val="none"/>
                      <w:u w:val="none" w:color="auto"/>
                      <w:lang w:val="en-US" w:eastAsia="zh-CN" w:bidi="ar-SA"/>
                    </w:rPr>
                    <w:t>80</w:t>
                  </w:r>
                  <w:r>
                    <w:rPr>
                      <w:rFonts w:hint="default" w:ascii="Times New Roman" w:hAnsi="Times New Roman" w:eastAsia="宋体" w:cs="Times New Roman"/>
                      <w:b w:val="0"/>
                      <w:bCs w:val="0"/>
                      <w:color w:val="auto"/>
                      <w:kern w:val="2"/>
                      <w:sz w:val="18"/>
                      <w:szCs w:val="18"/>
                      <w:highlight w:val="none"/>
                      <w:u w:val="none" w:color="auto"/>
                      <w:lang w:val="en-US" w:eastAsia="zh-CN" w:bidi="ar-SA"/>
                    </w:rPr>
                    <w:t>（等效后</w:t>
                  </w:r>
                  <w:r>
                    <w:rPr>
                      <w:rFonts w:hint="eastAsia" w:ascii="Times New Roman" w:cs="Times New Roman"/>
                      <w:b w:val="0"/>
                      <w:bCs w:val="0"/>
                      <w:color w:val="auto"/>
                      <w:kern w:val="2"/>
                      <w:sz w:val="18"/>
                      <w:szCs w:val="18"/>
                      <w:highlight w:val="none"/>
                      <w:u w:val="none" w:color="auto"/>
                      <w:lang w:val="en-US" w:eastAsia="zh-CN" w:bidi="ar-SA"/>
                    </w:rPr>
                    <w:t>87.8</w:t>
                  </w:r>
                  <w:r>
                    <w:rPr>
                      <w:rFonts w:hint="default" w:ascii="Times New Roman" w:hAnsi="Times New Roman" w:eastAsia="宋体" w:cs="Times New Roman"/>
                      <w:b w:val="0"/>
                      <w:bCs w:val="0"/>
                      <w:color w:val="auto"/>
                      <w:kern w:val="2"/>
                      <w:sz w:val="18"/>
                      <w:szCs w:val="18"/>
                      <w:highlight w:val="none"/>
                      <w:u w:val="none" w:color="auto"/>
                      <w:lang w:val="en-US" w:eastAsia="zh-CN" w:bidi="ar-SA"/>
                    </w:rPr>
                    <w:t>）</w:t>
                  </w:r>
                </w:p>
              </w:tc>
              <w:tc>
                <w:tcPr>
                  <w:tcW w:w="451" w:type="pct"/>
                  <w:vMerge w:val="restart"/>
                  <w:tcBorders>
                    <w:tl2br w:val="nil"/>
                    <w:tr2bl w:val="nil"/>
                  </w:tcBorders>
                  <w:vAlign w:val="center"/>
                </w:tcPr>
                <w:p w14:paraId="282FA8E7">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r>
                    <w:rPr>
                      <w:rFonts w:hint="default" w:ascii="Times New Roman" w:hAnsi="Times New Roman" w:eastAsia="宋体" w:cs="Times New Roman"/>
                      <w:color w:val="auto"/>
                      <w:sz w:val="18"/>
                      <w:szCs w:val="18"/>
                      <w:highlight w:val="none"/>
                      <w:u w:val="none" w:color="auto"/>
                      <w:lang w:val="en-US" w:eastAsia="zh-CN"/>
                    </w:rPr>
                    <w:t>减振、厂房隔声</w:t>
                  </w:r>
                </w:p>
              </w:tc>
              <w:tc>
                <w:tcPr>
                  <w:tcW w:w="765" w:type="pct"/>
                  <w:vMerge w:val="restart"/>
                  <w:tcBorders>
                    <w:tl2br w:val="nil"/>
                    <w:tr2bl w:val="nil"/>
                  </w:tcBorders>
                  <w:vAlign w:val="center"/>
                </w:tcPr>
                <w:p w14:paraId="1F64CF41">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lang w:val="en-US" w:eastAsia="zh-CN"/>
                    </w:rPr>
                  </w:pPr>
                  <w:r>
                    <w:rPr>
                      <w:rFonts w:hint="eastAsia" w:ascii="Times New Roman" w:hAnsi="Times New Roman" w:cs="Times New Roman"/>
                      <w:color w:val="auto"/>
                      <w:sz w:val="18"/>
                      <w:szCs w:val="18"/>
                      <w:highlight w:val="none"/>
                      <w:u w:val="none" w:color="auto"/>
                      <w:lang w:val="en-US" w:eastAsia="zh-CN"/>
                    </w:rPr>
                    <w:t>-20.6,31.3,1.2</w:t>
                  </w:r>
                </w:p>
              </w:tc>
              <w:tc>
                <w:tcPr>
                  <w:tcW w:w="368" w:type="pct"/>
                  <w:tcBorders>
                    <w:tl2br w:val="nil"/>
                    <w:tr2bl w:val="nil"/>
                  </w:tcBorders>
                  <w:vAlign w:val="center"/>
                </w:tcPr>
                <w:p w14:paraId="5DA3EB81">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67.3</w:t>
                  </w:r>
                </w:p>
              </w:tc>
              <w:tc>
                <w:tcPr>
                  <w:tcW w:w="400" w:type="pct"/>
                  <w:tcBorders>
                    <w:tl2br w:val="nil"/>
                    <w:tr2bl w:val="nil"/>
                  </w:tcBorders>
                  <w:vAlign w:val="center"/>
                </w:tcPr>
                <w:p w14:paraId="07E0A994">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71.4</w:t>
                  </w:r>
                </w:p>
              </w:tc>
              <w:tc>
                <w:tcPr>
                  <w:tcW w:w="342" w:type="pct"/>
                  <w:vMerge w:val="continue"/>
                  <w:tcBorders>
                    <w:tl2br w:val="nil"/>
                    <w:tr2bl w:val="nil"/>
                  </w:tcBorders>
                  <w:vAlign w:val="center"/>
                </w:tcPr>
                <w:p w14:paraId="44329460">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419" w:type="pct"/>
                  <w:tcBorders>
                    <w:tl2br w:val="nil"/>
                    <w:tr2bl w:val="nil"/>
                  </w:tcBorders>
                  <w:vAlign w:val="center"/>
                </w:tcPr>
                <w:p w14:paraId="6058889C">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26</w:t>
                  </w:r>
                </w:p>
              </w:tc>
              <w:tc>
                <w:tcPr>
                  <w:tcW w:w="419" w:type="pct"/>
                  <w:tcBorders>
                    <w:tl2br w:val="nil"/>
                    <w:tr2bl w:val="nil"/>
                  </w:tcBorders>
                  <w:vAlign w:val="center"/>
                </w:tcPr>
                <w:p w14:paraId="02A4F27E">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45.4</w:t>
                  </w:r>
                </w:p>
              </w:tc>
              <w:tc>
                <w:tcPr>
                  <w:tcW w:w="235" w:type="pct"/>
                  <w:vMerge w:val="restart"/>
                  <w:tcBorders>
                    <w:tl2br w:val="nil"/>
                    <w:tr2bl w:val="nil"/>
                  </w:tcBorders>
                  <w:vAlign w:val="center"/>
                </w:tcPr>
                <w:p w14:paraId="52FE2815">
                  <w:pPr>
                    <w:pStyle w:val="26"/>
                    <w:spacing w:line="240" w:lineRule="auto"/>
                    <w:ind w:firstLine="0" w:firstLineChars="0"/>
                    <w:jc w:val="center"/>
                    <w:rPr>
                      <w:rFonts w:hint="eastAsia" w:ascii="Times New Roman" w:hAnsi="Times New Roman" w:eastAsia="宋体" w:cs="Times New Roman"/>
                      <w:color w:val="auto"/>
                      <w:sz w:val="18"/>
                      <w:szCs w:val="18"/>
                      <w:highlight w:val="none"/>
                      <w:u w:val="none" w:color="auto"/>
                      <w:lang w:val="en-US" w:eastAsia="zh-CN"/>
                    </w:rPr>
                  </w:pPr>
                  <w:r>
                    <w:rPr>
                      <w:rFonts w:hint="eastAsia" w:ascii="Times New Roman" w:hAnsi="Times New Roman" w:cs="Times New Roman"/>
                      <w:color w:val="auto"/>
                      <w:sz w:val="18"/>
                      <w:szCs w:val="18"/>
                      <w:highlight w:val="none"/>
                      <w:u w:val="none" w:color="auto"/>
                      <w:lang w:val="en-US" w:eastAsia="zh-CN"/>
                    </w:rPr>
                    <w:t>1</w:t>
                  </w:r>
                </w:p>
              </w:tc>
            </w:tr>
            <w:tr w14:paraId="76B7A5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4" w:type="pct"/>
                  <w:vMerge w:val="continue"/>
                  <w:tcBorders>
                    <w:tl2br w:val="nil"/>
                    <w:tr2bl w:val="nil"/>
                  </w:tcBorders>
                  <w:vAlign w:val="center"/>
                </w:tcPr>
                <w:p w14:paraId="25640C38">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234" w:type="pct"/>
                  <w:vMerge w:val="continue"/>
                  <w:tcBorders>
                    <w:tl2br w:val="nil"/>
                    <w:tr2bl w:val="nil"/>
                  </w:tcBorders>
                  <w:vAlign w:val="center"/>
                </w:tcPr>
                <w:p w14:paraId="6B054ACC">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393" w:type="pct"/>
                  <w:vMerge w:val="continue"/>
                  <w:tcBorders>
                    <w:tl2br w:val="nil"/>
                    <w:tr2bl w:val="nil"/>
                  </w:tcBorders>
                  <w:vAlign w:val="center"/>
                </w:tcPr>
                <w:p w14:paraId="7AAB721D">
                  <w:pPr>
                    <w:jc w:val="center"/>
                    <w:rPr>
                      <w:rFonts w:hint="default" w:ascii="Times New Roman" w:hAnsi="Times New Roman" w:eastAsia="宋体" w:cs="Times New Roman"/>
                      <w:color w:val="auto"/>
                      <w:kern w:val="2"/>
                      <w:sz w:val="18"/>
                      <w:szCs w:val="18"/>
                      <w:highlight w:val="none"/>
                      <w:u w:val="none" w:color="auto"/>
                      <w:lang w:val="en-US" w:eastAsia="zh-CN" w:bidi="ar-SA"/>
                    </w:rPr>
                  </w:pPr>
                </w:p>
              </w:tc>
              <w:tc>
                <w:tcPr>
                  <w:tcW w:w="259" w:type="pct"/>
                  <w:vMerge w:val="continue"/>
                  <w:tcBorders>
                    <w:tl2br w:val="nil"/>
                    <w:tr2bl w:val="nil"/>
                  </w:tcBorders>
                  <w:vAlign w:val="center"/>
                </w:tcPr>
                <w:p w14:paraId="6FA47FFC">
                  <w:pPr>
                    <w:pStyle w:val="94"/>
                    <w:spacing w:beforeLines="0" w:afterLines="0" w:line="240" w:lineRule="auto"/>
                    <w:jc w:val="center"/>
                    <w:rPr>
                      <w:rFonts w:hint="default" w:ascii="Times New Roman" w:hAnsi="Times New Roman" w:eastAsia="宋体" w:cs="Times New Roman"/>
                      <w:color w:val="auto"/>
                      <w:kern w:val="0"/>
                      <w:sz w:val="18"/>
                      <w:szCs w:val="18"/>
                      <w:highlight w:val="none"/>
                      <w:u w:val="none" w:color="auto"/>
                      <w:lang w:val="en-US" w:eastAsia="zh-CN" w:bidi="ar-SA"/>
                    </w:rPr>
                  </w:pPr>
                </w:p>
              </w:tc>
              <w:tc>
                <w:tcPr>
                  <w:tcW w:w="477" w:type="pct"/>
                  <w:vMerge w:val="continue"/>
                  <w:tcBorders>
                    <w:tl2br w:val="nil"/>
                    <w:tr2bl w:val="nil"/>
                  </w:tcBorders>
                  <w:vAlign w:val="center"/>
                </w:tcPr>
                <w:p w14:paraId="0F5F0DC9">
                  <w:pPr>
                    <w:pStyle w:val="94"/>
                    <w:spacing w:before="24" w:after="24"/>
                    <w:jc w:val="center"/>
                    <w:rPr>
                      <w:rFonts w:hint="default" w:ascii="Times New Roman" w:hAnsi="Times New Roman" w:eastAsia="宋体" w:cs="Times New Roman"/>
                      <w:b w:val="0"/>
                      <w:bCs w:val="0"/>
                      <w:color w:val="auto"/>
                      <w:kern w:val="2"/>
                      <w:sz w:val="18"/>
                      <w:szCs w:val="18"/>
                      <w:highlight w:val="none"/>
                      <w:u w:val="none" w:color="auto"/>
                      <w:lang w:val="en-US" w:eastAsia="zh-CN" w:bidi="ar-SA"/>
                    </w:rPr>
                  </w:pPr>
                </w:p>
              </w:tc>
              <w:tc>
                <w:tcPr>
                  <w:tcW w:w="451" w:type="pct"/>
                  <w:vMerge w:val="continue"/>
                  <w:tcBorders>
                    <w:tl2br w:val="nil"/>
                    <w:tr2bl w:val="nil"/>
                  </w:tcBorders>
                  <w:vAlign w:val="center"/>
                </w:tcPr>
                <w:p w14:paraId="774634E3">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765" w:type="pct"/>
                  <w:vMerge w:val="continue"/>
                  <w:tcBorders>
                    <w:tl2br w:val="nil"/>
                    <w:tr2bl w:val="nil"/>
                  </w:tcBorders>
                  <w:vAlign w:val="center"/>
                </w:tcPr>
                <w:p w14:paraId="4BBE2934">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lang w:val="en-US" w:eastAsia="zh-CN"/>
                    </w:rPr>
                  </w:pPr>
                </w:p>
              </w:tc>
              <w:tc>
                <w:tcPr>
                  <w:tcW w:w="368" w:type="pct"/>
                  <w:tcBorders>
                    <w:tl2br w:val="nil"/>
                    <w:tr2bl w:val="nil"/>
                  </w:tcBorders>
                  <w:vAlign w:val="center"/>
                </w:tcPr>
                <w:p w14:paraId="75FED934">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47</w:t>
                  </w:r>
                </w:p>
              </w:tc>
              <w:tc>
                <w:tcPr>
                  <w:tcW w:w="400" w:type="pct"/>
                  <w:tcBorders>
                    <w:tl2br w:val="nil"/>
                    <w:tr2bl w:val="nil"/>
                  </w:tcBorders>
                  <w:vAlign w:val="center"/>
                </w:tcPr>
                <w:p w14:paraId="3736C8AF">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71.4</w:t>
                  </w:r>
                </w:p>
              </w:tc>
              <w:tc>
                <w:tcPr>
                  <w:tcW w:w="342" w:type="pct"/>
                  <w:vMerge w:val="continue"/>
                  <w:tcBorders>
                    <w:tl2br w:val="nil"/>
                    <w:tr2bl w:val="nil"/>
                  </w:tcBorders>
                  <w:vAlign w:val="center"/>
                </w:tcPr>
                <w:p w14:paraId="4BF6A7B5">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419" w:type="pct"/>
                  <w:tcBorders>
                    <w:tl2br w:val="nil"/>
                    <w:tr2bl w:val="nil"/>
                  </w:tcBorders>
                  <w:vAlign w:val="center"/>
                </w:tcPr>
                <w:p w14:paraId="14A0570F">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16</w:t>
                  </w:r>
                </w:p>
              </w:tc>
              <w:tc>
                <w:tcPr>
                  <w:tcW w:w="419" w:type="pct"/>
                  <w:tcBorders>
                    <w:tl2br w:val="nil"/>
                    <w:tr2bl w:val="nil"/>
                  </w:tcBorders>
                  <w:vAlign w:val="center"/>
                </w:tcPr>
                <w:p w14:paraId="4D3FFD59">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55.4</w:t>
                  </w:r>
                </w:p>
              </w:tc>
              <w:tc>
                <w:tcPr>
                  <w:tcW w:w="235" w:type="pct"/>
                  <w:vMerge w:val="continue"/>
                  <w:tcBorders>
                    <w:tl2br w:val="nil"/>
                    <w:tr2bl w:val="nil"/>
                  </w:tcBorders>
                  <w:vAlign w:val="center"/>
                </w:tcPr>
                <w:p w14:paraId="2BF22929">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r>
            <w:tr w14:paraId="2AC51F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4" w:type="pct"/>
                  <w:vMerge w:val="continue"/>
                  <w:tcBorders>
                    <w:tl2br w:val="nil"/>
                    <w:tr2bl w:val="nil"/>
                  </w:tcBorders>
                  <w:vAlign w:val="center"/>
                </w:tcPr>
                <w:p w14:paraId="7FC66D1F">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234" w:type="pct"/>
                  <w:vMerge w:val="continue"/>
                  <w:tcBorders>
                    <w:tl2br w:val="nil"/>
                    <w:tr2bl w:val="nil"/>
                  </w:tcBorders>
                  <w:vAlign w:val="center"/>
                </w:tcPr>
                <w:p w14:paraId="573EC3CD">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393" w:type="pct"/>
                  <w:vMerge w:val="continue"/>
                  <w:tcBorders>
                    <w:tl2br w:val="nil"/>
                    <w:tr2bl w:val="nil"/>
                  </w:tcBorders>
                  <w:vAlign w:val="center"/>
                </w:tcPr>
                <w:p w14:paraId="09761EA1">
                  <w:pPr>
                    <w:jc w:val="center"/>
                    <w:rPr>
                      <w:rFonts w:hint="default" w:ascii="Times New Roman" w:hAnsi="Times New Roman" w:eastAsia="宋体" w:cs="Times New Roman"/>
                      <w:color w:val="auto"/>
                      <w:kern w:val="2"/>
                      <w:sz w:val="18"/>
                      <w:szCs w:val="18"/>
                      <w:highlight w:val="none"/>
                      <w:u w:val="none" w:color="auto"/>
                      <w:lang w:val="en-US" w:eastAsia="zh-CN" w:bidi="ar-SA"/>
                    </w:rPr>
                  </w:pPr>
                </w:p>
              </w:tc>
              <w:tc>
                <w:tcPr>
                  <w:tcW w:w="259" w:type="pct"/>
                  <w:vMerge w:val="continue"/>
                  <w:tcBorders>
                    <w:tl2br w:val="nil"/>
                    <w:tr2bl w:val="nil"/>
                  </w:tcBorders>
                  <w:vAlign w:val="center"/>
                </w:tcPr>
                <w:p w14:paraId="600C4EB9">
                  <w:pPr>
                    <w:pStyle w:val="94"/>
                    <w:spacing w:beforeLines="0" w:afterLines="0" w:line="240" w:lineRule="auto"/>
                    <w:jc w:val="center"/>
                    <w:rPr>
                      <w:rFonts w:hint="default" w:ascii="Times New Roman" w:hAnsi="Times New Roman" w:eastAsia="宋体" w:cs="Times New Roman"/>
                      <w:color w:val="auto"/>
                      <w:kern w:val="0"/>
                      <w:sz w:val="18"/>
                      <w:szCs w:val="18"/>
                      <w:highlight w:val="none"/>
                      <w:u w:val="none" w:color="auto"/>
                      <w:lang w:val="en-US" w:eastAsia="zh-CN" w:bidi="ar-SA"/>
                    </w:rPr>
                  </w:pPr>
                </w:p>
              </w:tc>
              <w:tc>
                <w:tcPr>
                  <w:tcW w:w="477" w:type="pct"/>
                  <w:vMerge w:val="continue"/>
                  <w:tcBorders>
                    <w:tl2br w:val="nil"/>
                    <w:tr2bl w:val="nil"/>
                  </w:tcBorders>
                  <w:vAlign w:val="center"/>
                </w:tcPr>
                <w:p w14:paraId="000E01B5">
                  <w:pPr>
                    <w:pStyle w:val="94"/>
                    <w:spacing w:before="24" w:after="24"/>
                    <w:jc w:val="center"/>
                    <w:rPr>
                      <w:rFonts w:hint="default" w:ascii="Times New Roman" w:hAnsi="Times New Roman" w:eastAsia="宋体" w:cs="Times New Roman"/>
                      <w:b w:val="0"/>
                      <w:bCs w:val="0"/>
                      <w:color w:val="auto"/>
                      <w:kern w:val="2"/>
                      <w:sz w:val="18"/>
                      <w:szCs w:val="18"/>
                      <w:highlight w:val="none"/>
                      <w:u w:val="none" w:color="auto"/>
                      <w:lang w:val="en-US" w:eastAsia="zh-CN" w:bidi="ar-SA"/>
                    </w:rPr>
                  </w:pPr>
                </w:p>
              </w:tc>
              <w:tc>
                <w:tcPr>
                  <w:tcW w:w="451" w:type="pct"/>
                  <w:vMerge w:val="continue"/>
                  <w:tcBorders>
                    <w:tl2br w:val="nil"/>
                    <w:tr2bl w:val="nil"/>
                  </w:tcBorders>
                  <w:vAlign w:val="center"/>
                </w:tcPr>
                <w:p w14:paraId="362542D3">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765" w:type="pct"/>
                  <w:vMerge w:val="continue"/>
                  <w:tcBorders>
                    <w:tl2br w:val="nil"/>
                    <w:tr2bl w:val="nil"/>
                  </w:tcBorders>
                  <w:vAlign w:val="center"/>
                </w:tcPr>
                <w:p w14:paraId="19AF1F58">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lang w:val="en-US" w:eastAsia="zh-CN"/>
                    </w:rPr>
                  </w:pPr>
                </w:p>
              </w:tc>
              <w:tc>
                <w:tcPr>
                  <w:tcW w:w="368" w:type="pct"/>
                  <w:tcBorders>
                    <w:tl2br w:val="nil"/>
                    <w:tr2bl w:val="nil"/>
                  </w:tcBorders>
                  <w:vAlign w:val="center"/>
                </w:tcPr>
                <w:p w14:paraId="24636970">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24.2</w:t>
                  </w:r>
                </w:p>
              </w:tc>
              <w:tc>
                <w:tcPr>
                  <w:tcW w:w="400" w:type="pct"/>
                  <w:tcBorders>
                    <w:tl2br w:val="nil"/>
                    <w:tr2bl w:val="nil"/>
                  </w:tcBorders>
                  <w:vAlign w:val="center"/>
                </w:tcPr>
                <w:p w14:paraId="6777E498">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71.4</w:t>
                  </w:r>
                </w:p>
              </w:tc>
              <w:tc>
                <w:tcPr>
                  <w:tcW w:w="342" w:type="pct"/>
                  <w:vMerge w:val="continue"/>
                  <w:tcBorders>
                    <w:tl2br w:val="nil"/>
                    <w:tr2bl w:val="nil"/>
                  </w:tcBorders>
                  <w:vAlign w:val="center"/>
                </w:tcPr>
                <w:p w14:paraId="3A5D6927">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419" w:type="pct"/>
                  <w:tcBorders>
                    <w:tl2br w:val="nil"/>
                    <w:tr2bl w:val="nil"/>
                  </w:tcBorders>
                  <w:vAlign w:val="center"/>
                </w:tcPr>
                <w:p w14:paraId="76BE5824">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26</w:t>
                  </w:r>
                </w:p>
              </w:tc>
              <w:tc>
                <w:tcPr>
                  <w:tcW w:w="419" w:type="pct"/>
                  <w:tcBorders>
                    <w:tl2br w:val="nil"/>
                    <w:tr2bl w:val="nil"/>
                  </w:tcBorders>
                  <w:vAlign w:val="center"/>
                </w:tcPr>
                <w:p w14:paraId="0C9A388D">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45.4</w:t>
                  </w:r>
                </w:p>
              </w:tc>
              <w:tc>
                <w:tcPr>
                  <w:tcW w:w="235" w:type="pct"/>
                  <w:vMerge w:val="continue"/>
                  <w:tcBorders>
                    <w:tl2br w:val="nil"/>
                    <w:tr2bl w:val="nil"/>
                  </w:tcBorders>
                  <w:vAlign w:val="center"/>
                </w:tcPr>
                <w:p w14:paraId="16D02425">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r>
            <w:tr w14:paraId="6D551E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4" w:type="pct"/>
                  <w:vMerge w:val="continue"/>
                  <w:tcBorders>
                    <w:tl2br w:val="nil"/>
                    <w:tr2bl w:val="nil"/>
                  </w:tcBorders>
                  <w:vAlign w:val="center"/>
                </w:tcPr>
                <w:p w14:paraId="6F3A71C6">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234" w:type="pct"/>
                  <w:vMerge w:val="continue"/>
                  <w:tcBorders>
                    <w:tl2br w:val="nil"/>
                    <w:tr2bl w:val="nil"/>
                  </w:tcBorders>
                  <w:vAlign w:val="center"/>
                </w:tcPr>
                <w:p w14:paraId="6E2BF632">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393" w:type="pct"/>
                  <w:vMerge w:val="continue"/>
                  <w:tcBorders>
                    <w:tl2br w:val="nil"/>
                    <w:tr2bl w:val="nil"/>
                  </w:tcBorders>
                  <w:vAlign w:val="center"/>
                </w:tcPr>
                <w:p w14:paraId="25296288">
                  <w:pPr>
                    <w:jc w:val="center"/>
                    <w:rPr>
                      <w:rFonts w:hint="default" w:ascii="Times New Roman" w:hAnsi="Times New Roman" w:eastAsia="宋体" w:cs="Times New Roman"/>
                      <w:color w:val="auto"/>
                      <w:kern w:val="2"/>
                      <w:sz w:val="18"/>
                      <w:szCs w:val="18"/>
                      <w:highlight w:val="none"/>
                      <w:u w:val="none" w:color="auto"/>
                      <w:lang w:val="en-US" w:eastAsia="zh-CN" w:bidi="ar-SA"/>
                    </w:rPr>
                  </w:pPr>
                </w:p>
              </w:tc>
              <w:tc>
                <w:tcPr>
                  <w:tcW w:w="259" w:type="pct"/>
                  <w:vMerge w:val="continue"/>
                  <w:tcBorders>
                    <w:tl2br w:val="nil"/>
                    <w:tr2bl w:val="nil"/>
                  </w:tcBorders>
                  <w:vAlign w:val="center"/>
                </w:tcPr>
                <w:p w14:paraId="730A0B07">
                  <w:pPr>
                    <w:pStyle w:val="94"/>
                    <w:spacing w:beforeLines="0" w:afterLines="0" w:line="240" w:lineRule="auto"/>
                    <w:jc w:val="center"/>
                    <w:rPr>
                      <w:rFonts w:hint="default" w:ascii="Times New Roman" w:hAnsi="Times New Roman" w:eastAsia="宋体" w:cs="Times New Roman"/>
                      <w:color w:val="auto"/>
                      <w:kern w:val="0"/>
                      <w:sz w:val="18"/>
                      <w:szCs w:val="18"/>
                      <w:highlight w:val="none"/>
                      <w:u w:val="none" w:color="auto"/>
                      <w:lang w:val="en-US" w:eastAsia="zh-CN" w:bidi="ar-SA"/>
                    </w:rPr>
                  </w:pPr>
                </w:p>
              </w:tc>
              <w:tc>
                <w:tcPr>
                  <w:tcW w:w="477" w:type="pct"/>
                  <w:vMerge w:val="continue"/>
                  <w:tcBorders>
                    <w:tl2br w:val="nil"/>
                    <w:tr2bl w:val="nil"/>
                  </w:tcBorders>
                  <w:vAlign w:val="center"/>
                </w:tcPr>
                <w:p w14:paraId="13AC2280">
                  <w:pPr>
                    <w:pStyle w:val="94"/>
                    <w:spacing w:before="24" w:after="24"/>
                    <w:jc w:val="center"/>
                    <w:rPr>
                      <w:rFonts w:hint="default" w:ascii="Times New Roman" w:hAnsi="Times New Roman" w:eastAsia="宋体" w:cs="Times New Roman"/>
                      <w:b w:val="0"/>
                      <w:bCs w:val="0"/>
                      <w:color w:val="auto"/>
                      <w:kern w:val="2"/>
                      <w:sz w:val="18"/>
                      <w:szCs w:val="18"/>
                      <w:highlight w:val="none"/>
                      <w:u w:val="none" w:color="auto"/>
                      <w:lang w:val="en-US" w:eastAsia="zh-CN" w:bidi="ar-SA"/>
                    </w:rPr>
                  </w:pPr>
                </w:p>
              </w:tc>
              <w:tc>
                <w:tcPr>
                  <w:tcW w:w="451" w:type="pct"/>
                  <w:vMerge w:val="continue"/>
                  <w:tcBorders>
                    <w:tl2br w:val="nil"/>
                    <w:tr2bl w:val="nil"/>
                  </w:tcBorders>
                  <w:vAlign w:val="center"/>
                </w:tcPr>
                <w:p w14:paraId="1BBEAD05">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765" w:type="pct"/>
                  <w:vMerge w:val="continue"/>
                  <w:tcBorders>
                    <w:tl2br w:val="nil"/>
                    <w:tr2bl w:val="nil"/>
                  </w:tcBorders>
                  <w:vAlign w:val="center"/>
                </w:tcPr>
                <w:p w14:paraId="1D71CD0F">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lang w:val="en-US" w:eastAsia="zh-CN"/>
                    </w:rPr>
                  </w:pPr>
                </w:p>
              </w:tc>
              <w:tc>
                <w:tcPr>
                  <w:tcW w:w="368" w:type="pct"/>
                  <w:tcBorders>
                    <w:tl2br w:val="nil"/>
                    <w:tr2bl w:val="nil"/>
                  </w:tcBorders>
                  <w:vAlign w:val="center"/>
                </w:tcPr>
                <w:p w14:paraId="02700501">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39.2</w:t>
                  </w:r>
                </w:p>
              </w:tc>
              <w:tc>
                <w:tcPr>
                  <w:tcW w:w="400" w:type="pct"/>
                  <w:tcBorders>
                    <w:tl2br w:val="nil"/>
                    <w:tr2bl w:val="nil"/>
                  </w:tcBorders>
                  <w:vAlign w:val="center"/>
                </w:tcPr>
                <w:p w14:paraId="4D452A49">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71.4</w:t>
                  </w:r>
                </w:p>
              </w:tc>
              <w:tc>
                <w:tcPr>
                  <w:tcW w:w="342" w:type="pct"/>
                  <w:vMerge w:val="continue"/>
                  <w:tcBorders>
                    <w:tl2br w:val="nil"/>
                    <w:tr2bl w:val="nil"/>
                  </w:tcBorders>
                  <w:vAlign w:val="center"/>
                </w:tcPr>
                <w:p w14:paraId="14C79F61">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419" w:type="pct"/>
                  <w:tcBorders>
                    <w:tl2br w:val="nil"/>
                    <w:tr2bl w:val="nil"/>
                  </w:tcBorders>
                  <w:vAlign w:val="center"/>
                </w:tcPr>
                <w:p w14:paraId="774F3214">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16</w:t>
                  </w:r>
                </w:p>
              </w:tc>
              <w:tc>
                <w:tcPr>
                  <w:tcW w:w="419" w:type="pct"/>
                  <w:tcBorders>
                    <w:tl2br w:val="nil"/>
                    <w:tr2bl w:val="nil"/>
                  </w:tcBorders>
                  <w:vAlign w:val="center"/>
                </w:tcPr>
                <w:p w14:paraId="7F4A4ABB">
                  <w:pPr>
                    <w:keepNext w:val="0"/>
                    <w:keepLines w:val="0"/>
                    <w:widowControl/>
                    <w:suppressLineNumbers w:val="0"/>
                    <w:jc w:val="center"/>
                    <w:textAlignment w:val="center"/>
                    <w:rPr>
                      <w:rFonts w:hint="default" w:ascii="Times New Roman" w:hAnsi="Times New Roman" w:eastAsia="宋体"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55.4</w:t>
                  </w:r>
                </w:p>
              </w:tc>
              <w:tc>
                <w:tcPr>
                  <w:tcW w:w="235" w:type="pct"/>
                  <w:vMerge w:val="continue"/>
                  <w:tcBorders>
                    <w:tl2br w:val="nil"/>
                    <w:tr2bl w:val="nil"/>
                  </w:tcBorders>
                  <w:vAlign w:val="center"/>
                </w:tcPr>
                <w:p w14:paraId="43BF1E8E">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r>
            <w:tr w14:paraId="1FF33B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4" w:type="pct"/>
                  <w:vMerge w:val="restart"/>
                  <w:tcBorders>
                    <w:tl2br w:val="nil"/>
                    <w:tr2bl w:val="nil"/>
                  </w:tcBorders>
                  <w:vAlign w:val="center"/>
                </w:tcPr>
                <w:p w14:paraId="5986C1CD">
                  <w:pPr>
                    <w:pStyle w:val="26"/>
                    <w:spacing w:line="240" w:lineRule="auto"/>
                    <w:ind w:firstLine="0" w:firstLineChars="0"/>
                    <w:jc w:val="center"/>
                    <w:rPr>
                      <w:rFonts w:hint="eastAsia" w:ascii="Times New Roman" w:hAnsi="Times New Roman" w:eastAsia="宋体" w:cs="Times New Roman"/>
                      <w:color w:val="auto"/>
                      <w:sz w:val="18"/>
                      <w:szCs w:val="18"/>
                      <w:highlight w:val="none"/>
                      <w:u w:val="none" w:color="auto"/>
                      <w:lang w:val="en-US" w:eastAsia="zh-CN"/>
                    </w:rPr>
                  </w:pPr>
                  <w:r>
                    <w:rPr>
                      <w:rFonts w:hint="eastAsia" w:ascii="Times New Roman" w:hAnsi="Times New Roman" w:cs="Times New Roman"/>
                      <w:color w:val="auto"/>
                      <w:sz w:val="18"/>
                      <w:szCs w:val="18"/>
                      <w:highlight w:val="none"/>
                      <w:u w:val="none" w:color="auto"/>
                      <w:lang w:val="en-US" w:eastAsia="zh-CN"/>
                    </w:rPr>
                    <w:t>9</w:t>
                  </w:r>
                </w:p>
              </w:tc>
              <w:tc>
                <w:tcPr>
                  <w:tcW w:w="234" w:type="pct"/>
                  <w:vMerge w:val="restart"/>
                  <w:tcBorders>
                    <w:tl2br w:val="nil"/>
                    <w:tr2bl w:val="nil"/>
                  </w:tcBorders>
                  <w:vAlign w:val="center"/>
                </w:tcPr>
                <w:p w14:paraId="5EC992E5">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lang w:val="en-US" w:eastAsia="zh-CN"/>
                    </w:rPr>
                  </w:pPr>
                  <w:r>
                    <w:rPr>
                      <w:rFonts w:hint="eastAsia" w:ascii="Times New Roman" w:hAnsi="Times New Roman" w:cs="Times New Roman"/>
                      <w:color w:val="auto"/>
                      <w:sz w:val="18"/>
                      <w:szCs w:val="18"/>
                      <w:highlight w:val="none"/>
                      <w:u w:val="none" w:color="auto"/>
                      <w:lang w:val="en-US" w:eastAsia="zh-CN"/>
                    </w:rPr>
                    <w:t>豆制品生产车间</w:t>
                  </w:r>
                </w:p>
              </w:tc>
              <w:tc>
                <w:tcPr>
                  <w:tcW w:w="393" w:type="pct"/>
                  <w:vMerge w:val="restart"/>
                  <w:tcBorders>
                    <w:tl2br w:val="nil"/>
                    <w:tr2bl w:val="nil"/>
                  </w:tcBorders>
                  <w:vAlign w:val="center"/>
                </w:tcPr>
                <w:p w14:paraId="775C0130">
                  <w:pPr>
                    <w:jc w:val="center"/>
                    <w:rPr>
                      <w:rFonts w:hint="default" w:ascii="Times New Roman" w:hAnsi="Times New Roman" w:eastAsia="宋体" w:cs="Times New Roman"/>
                      <w:color w:val="auto"/>
                      <w:kern w:val="2"/>
                      <w:sz w:val="18"/>
                      <w:szCs w:val="18"/>
                      <w:highlight w:val="none"/>
                      <w:u w:val="none" w:color="auto"/>
                      <w:lang w:val="en-US" w:eastAsia="zh-CN" w:bidi="ar-SA"/>
                    </w:rPr>
                  </w:pPr>
                  <w:r>
                    <w:rPr>
                      <w:rFonts w:hint="eastAsia" w:cs="Times New Roman"/>
                      <w:color w:val="auto"/>
                      <w:kern w:val="2"/>
                      <w:sz w:val="18"/>
                      <w:szCs w:val="18"/>
                      <w:highlight w:val="none"/>
                      <w:u w:val="none" w:color="auto"/>
                      <w:lang w:val="en-US" w:eastAsia="zh-CN" w:bidi="ar-SA"/>
                    </w:rPr>
                    <w:t>磨浆机</w:t>
                  </w:r>
                </w:p>
              </w:tc>
              <w:tc>
                <w:tcPr>
                  <w:tcW w:w="259" w:type="pct"/>
                  <w:vMerge w:val="restart"/>
                  <w:tcBorders>
                    <w:tl2br w:val="nil"/>
                    <w:tr2bl w:val="nil"/>
                  </w:tcBorders>
                  <w:vAlign w:val="center"/>
                </w:tcPr>
                <w:p w14:paraId="1451FD54">
                  <w:pPr>
                    <w:pStyle w:val="94"/>
                    <w:spacing w:beforeLines="0" w:afterLines="0" w:line="240" w:lineRule="auto"/>
                    <w:jc w:val="center"/>
                    <w:rPr>
                      <w:rFonts w:hint="default" w:ascii="Times New Roman" w:hAnsi="Times New Roman" w:eastAsia="宋体" w:cs="Times New Roman"/>
                      <w:color w:val="auto"/>
                      <w:kern w:val="0"/>
                      <w:sz w:val="18"/>
                      <w:szCs w:val="18"/>
                      <w:highlight w:val="none"/>
                      <w:u w:val="none" w:color="auto"/>
                      <w:lang w:val="en-US" w:eastAsia="zh-CN" w:bidi="ar-SA"/>
                    </w:rPr>
                  </w:pPr>
                  <w:r>
                    <w:rPr>
                      <w:rFonts w:hint="eastAsia" w:ascii="Times New Roman" w:cs="Times New Roman"/>
                      <w:color w:val="auto"/>
                      <w:kern w:val="0"/>
                      <w:sz w:val="18"/>
                      <w:szCs w:val="18"/>
                      <w:highlight w:val="none"/>
                      <w:u w:val="none" w:color="auto"/>
                      <w:lang w:val="en-US" w:eastAsia="zh-CN" w:bidi="ar-SA"/>
                    </w:rPr>
                    <w:t>2</w:t>
                  </w:r>
                </w:p>
              </w:tc>
              <w:tc>
                <w:tcPr>
                  <w:tcW w:w="477" w:type="pct"/>
                  <w:vMerge w:val="restart"/>
                  <w:tcBorders>
                    <w:tl2br w:val="nil"/>
                    <w:tr2bl w:val="nil"/>
                  </w:tcBorders>
                  <w:vAlign w:val="center"/>
                </w:tcPr>
                <w:p w14:paraId="5A6827B7">
                  <w:pPr>
                    <w:pStyle w:val="94"/>
                    <w:spacing w:before="24" w:after="24"/>
                    <w:jc w:val="center"/>
                    <w:rPr>
                      <w:rFonts w:hint="default" w:ascii="Times New Roman" w:hAnsi="Times New Roman" w:eastAsia="宋体" w:cs="Times New Roman"/>
                      <w:b w:val="0"/>
                      <w:bCs w:val="0"/>
                      <w:color w:val="auto"/>
                      <w:kern w:val="2"/>
                      <w:sz w:val="18"/>
                      <w:szCs w:val="18"/>
                      <w:highlight w:val="none"/>
                      <w:u w:val="none" w:color="auto"/>
                      <w:lang w:val="en-US" w:eastAsia="zh-CN" w:bidi="ar-SA"/>
                    </w:rPr>
                  </w:pPr>
                  <w:r>
                    <w:rPr>
                      <w:rFonts w:hint="eastAsia" w:ascii="Times New Roman" w:cs="Times New Roman"/>
                      <w:b w:val="0"/>
                      <w:bCs w:val="0"/>
                      <w:color w:val="auto"/>
                      <w:kern w:val="2"/>
                      <w:sz w:val="18"/>
                      <w:szCs w:val="18"/>
                      <w:highlight w:val="none"/>
                      <w:u w:val="none" w:color="auto"/>
                      <w:lang w:val="en-US" w:eastAsia="zh-CN" w:bidi="ar-SA"/>
                    </w:rPr>
                    <w:t>85（等效后88）</w:t>
                  </w:r>
                </w:p>
              </w:tc>
              <w:tc>
                <w:tcPr>
                  <w:tcW w:w="451" w:type="pct"/>
                  <w:vMerge w:val="restart"/>
                  <w:tcBorders>
                    <w:tl2br w:val="nil"/>
                    <w:tr2bl w:val="nil"/>
                  </w:tcBorders>
                  <w:vAlign w:val="center"/>
                </w:tcPr>
                <w:p w14:paraId="3330404B">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r>
                    <w:rPr>
                      <w:rFonts w:hint="default" w:ascii="Times New Roman" w:hAnsi="Times New Roman" w:eastAsia="宋体" w:cs="Times New Roman"/>
                      <w:color w:val="auto"/>
                      <w:sz w:val="18"/>
                      <w:szCs w:val="18"/>
                      <w:highlight w:val="none"/>
                      <w:u w:val="none" w:color="auto"/>
                      <w:lang w:val="en-US" w:eastAsia="zh-CN"/>
                    </w:rPr>
                    <w:t>减振、厂房隔声</w:t>
                  </w:r>
                </w:p>
              </w:tc>
              <w:tc>
                <w:tcPr>
                  <w:tcW w:w="765" w:type="pct"/>
                  <w:vMerge w:val="restart"/>
                  <w:tcBorders>
                    <w:tl2br w:val="nil"/>
                    <w:tr2bl w:val="nil"/>
                  </w:tcBorders>
                  <w:vAlign w:val="center"/>
                </w:tcPr>
                <w:p w14:paraId="561553CF">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lang w:val="en-US" w:eastAsia="zh-CN"/>
                    </w:rPr>
                  </w:pPr>
                  <w:r>
                    <w:rPr>
                      <w:rFonts w:hint="eastAsia" w:ascii="Times New Roman" w:hAnsi="Times New Roman" w:cs="Times New Roman"/>
                      <w:color w:val="auto"/>
                      <w:sz w:val="18"/>
                      <w:szCs w:val="18"/>
                      <w:highlight w:val="none"/>
                      <w:u w:val="none" w:color="auto"/>
                      <w:lang w:val="en-US" w:eastAsia="zh-CN"/>
                    </w:rPr>
                    <w:t>-43.5，-1.7,1.2</w:t>
                  </w:r>
                </w:p>
              </w:tc>
              <w:tc>
                <w:tcPr>
                  <w:tcW w:w="368" w:type="pct"/>
                  <w:tcBorders>
                    <w:tl2br w:val="nil"/>
                    <w:tr2bl w:val="nil"/>
                  </w:tcBorders>
                  <w:vAlign w:val="center"/>
                </w:tcPr>
                <w:p w14:paraId="55995DFE">
                  <w:pPr>
                    <w:keepNext w:val="0"/>
                    <w:keepLines w:val="0"/>
                    <w:widowControl/>
                    <w:suppressLineNumbers w:val="0"/>
                    <w:jc w:val="center"/>
                    <w:textAlignment w:val="center"/>
                    <w:rPr>
                      <w:rFonts w:hint="default"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69.2</w:t>
                  </w:r>
                </w:p>
              </w:tc>
              <w:tc>
                <w:tcPr>
                  <w:tcW w:w="400" w:type="pct"/>
                  <w:tcBorders>
                    <w:tl2br w:val="nil"/>
                    <w:tr2bl w:val="nil"/>
                  </w:tcBorders>
                  <w:vAlign w:val="center"/>
                </w:tcPr>
                <w:p w14:paraId="4F81FD57">
                  <w:pPr>
                    <w:keepNext w:val="0"/>
                    <w:keepLines w:val="0"/>
                    <w:widowControl/>
                    <w:suppressLineNumbers w:val="0"/>
                    <w:jc w:val="center"/>
                    <w:textAlignment w:val="center"/>
                    <w:rPr>
                      <w:rFonts w:hint="default"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72.2</w:t>
                  </w:r>
                </w:p>
              </w:tc>
              <w:tc>
                <w:tcPr>
                  <w:tcW w:w="342" w:type="pct"/>
                  <w:vMerge w:val="continue"/>
                  <w:tcBorders>
                    <w:tl2br w:val="nil"/>
                    <w:tr2bl w:val="nil"/>
                  </w:tcBorders>
                  <w:vAlign w:val="center"/>
                </w:tcPr>
                <w:p w14:paraId="11D3C9BA">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419" w:type="pct"/>
                  <w:tcBorders>
                    <w:tl2br w:val="nil"/>
                    <w:tr2bl w:val="nil"/>
                  </w:tcBorders>
                  <w:vAlign w:val="center"/>
                </w:tcPr>
                <w:p w14:paraId="1FEBE879">
                  <w:pPr>
                    <w:keepNext w:val="0"/>
                    <w:keepLines w:val="0"/>
                    <w:widowControl/>
                    <w:suppressLineNumbers w:val="0"/>
                    <w:jc w:val="center"/>
                    <w:textAlignment w:val="center"/>
                    <w:rPr>
                      <w:rFonts w:hint="default"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26</w:t>
                  </w:r>
                </w:p>
              </w:tc>
              <w:tc>
                <w:tcPr>
                  <w:tcW w:w="419" w:type="pct"/>
                  <w:tcBorders>
                    <w:tl2br w:val="nil"/>
                    <w:tr2bl w:val="nil"/>
                  </w:tcBorders>
                  <w:vAlign w:val="center"/>
                </w:tcPr>
                <w:p w14:paraId="6FCEF43D">
                  <w:pPr>
                    <w:keepNext w:val="0"/>
                    <w:keepLines w:val="0"/>
                    <w:widowControl/>
                    <w:suppressLineNumbers w:val="0"/>
                    <w:jc w:val="center"/>
                    <w:textAlignment w:val="center"/>
                    <w:rPr>
                      <w:rFonts w:hint="default"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46.2</w:t>
                  </w:r>
                </w:p>
              </w:tc>
              <w:tc>
                <w:tcPr>
                  <w:tcW w:w="235" w:type="pct"/>
                  <w:vMerge w:val="restart"/>
                  <w:tcBorders>
                    <w:tl2br w:val="nil"/>
                    <w:tr2bl w:val="nil"/>
                  </w:tcBorders>
                  <w:vAlign w:val="center"/>
                </w:tcPr>
                <w:p w14:paraId="3D74A0FE">
                  <w:pPr>
                    <w:pStyle w:val="26"/>
                    <w:spacing w:line="240" w:lineRule="auto"/>
                    <w:ind w:firstLine="0" w:firstLineChars="0"/>
                    <w:jc w:val="center"/>
                    <w:rPr>
                      <w:rFonts w:hint="eastAsia" w:ascii="Times New Roman" w:hAnsi="Times New Roman" w:eastAsia="宋体" w:cs="Times New Roman"/>
                      <w:color w:val="auto"/>
                      <w:sz w:val="18"/>
                      <w:szCs w:val="18"/>
                      <w:highlight w:val="none"/>
                      <w:u w:val="none" w:color="auto"/>
                      <w:lang w:val="en-US" w:eastAsia="zh-CN"/>
                    </w:rPr>
                  </w:pPr>
                  <w:r>
                    <w:rPr>
                      <w:rFonts w:hint="eastAsia" w:ascii="Times New Roman" w:hAnsi="Times New Roman" w:cs="Times New Roman"/>
                      <w:color w:val="auto"/>
                      <w:sz w:val="18"/>
                      <w:szCs w:val="18"/>
                      <w:highlight w:val="none"/>
                      <w:u w:val="none" w:color="auto"/>
                      <w:lang w:val="en-US" w:eastAsia="zh-CN"/>
                    </w:rPr>
                    <w:t>1</w:t>
                  </w:r>
                </w:p>
              </w:tc>
            </w:tr>
            <w:tr w14:paraId="0F09AA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4" w:type="pct"/>
                  <w:vMerge w:val="continue"/>
                  <w:tcBorders>
                    <w:tl2br w:val="nil"/>
                    <w:tr2bl w:val="nil"/>
                  </w:tcBorders>
                  <w:vAlign w:val="center"/>
                </w:tcPr>
                <w:p w14:paraId="5F741C01">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234" w:type="pct"/>
                  <w:vMerge w:val="continue"/>
                  <w:tcBorders>
                    <w:tl2br w:val="nil"/>
                    <w:tr2bl w:val="nil"/>
                  </w:tcBorders>
                  <w:vAlign w:val="center"/>
                </w:tcPr>
                <w:p w14:paraId="62B02DF3">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393" w:type="pct"/>
                  <w:vMerge w:val="continue"/>
                  <w:tcBorders>
                    <w:tl2br w:val="nil"/>
                    <w:tr2bl w:val="nil"/>
                  </w:tcBorders>
                  <w:vAlign w:val="center"/>
                </w:tcPr>
                <w:p w14:paraId="3D87DF82">
                  <w:pPr>
                    <w:jc w:val="center"/>
                    <w:rPr>
                      <w:rFonts w:hint="default" w:ascii="Times New Roman" w:hAnsi="Times New Roman" w:eastAsia="宋体" w:cs="Times New Roman"/>
                      <w:color w:val="auto"/>
                      <w:kern w:val="2"/>
                      <w:sz w:val="18"/>
                      <w:szCs w:val="18"/>
                      <w:highlight w:val="none"/>
                      <w:u w:val="none" w:color="auto"/>
                      <w:lang w:val="en-US" w:eastAsia="zh-CN" w:bidi="ar-SA"/>
                    </w:rPr>
                  </w:pPr>
                </w:p>
              </w:tc>
              <w:tc>
                <w:tcPr>
                  <w:tcW w:w="259" w:type="pct"/>
                  <w:vMerge w:val="continue"/>
                  <w:tcBorders>
                    <w:tl2br w:val="nil"/>
                    <w:tr2bl w:val="nil"/>
                  </w:tcBorders>
                  <w:vAlign w:val="center"/>
                </w:tcPr>
                <w:p w14:paraId="72627DF9">
                  <w:pPr>
                    <w:pStyle w:val="94"/>
                    <w:spacing w:beforeLines="0" w:afterLines="0" w:line="240" w:lineRule="auto"/>
                    <w:jc w:val="center"/>
                    <w:rPr>
                      <w:rFonts w:hint="default" w:ascii="Times New Roman" w:hAnsi="Times New Roman" w:eastAsia="宋体" w:cs="Times New Roman"/>
                      <w:color w:val="auto"/>
                      <w:kern w:val="0"/>
                      <w:sz w:val="18"/>
                      <w:szCs w:val="18"/>
                      <w:highlight w:val="none"/>
                      <w:u w:val="none" w:color="auto"/>
                      <w:lang w:val="en-US" w:eastAsia="zh-CN" w:bidi="ar-SA"/>
                    </w:rPr>
                  </w:pPr>
                </w:p>
              </w:tc>
              <w:tc>
                <w:tcPr>
                  <w:tcW w:w="477" w:type="pct"/>
                  <w:vMerge w:val="continue"/>
                  <w:tcBorders>
                    <w:tl2br w:val="nil"/>
                    <w:tr2bl w:val="nil"/>
                  </w:tcBorders>
                  <w:vAlign w:val="center"/>
                </w:tcPr>
                <w:p w14:paraId="44E3F5E8">
                  <w:pPr>
                    <w:pStyle w:val="94"/>
                    <w:spacing w:before="24" w:after="24"/>
                    <w:jc w:val="center"/>
                    <w:rPr>
                      <w:rFonts w:hint="default" w:ascii="Times New Roman" w:hAnsi="Times New Roman" w:eastAsia="宋体" w:cs="Times New Roman"/>
                      <w:b w:val="0"/>
                      <w:bCs w:val="0"/>
                      <w:color w:val="auto"/>
                      <w:kern w:val="2"/>
                      <w:sz w:val="18"/>
                      <w:szCs w:val="18"/>
                      <w:highlight w:val="none"/>
                      <w:u w:val="none" w:color="auto"/>
                      <w:lang w:val="en-US" w:eastAsia="zh-CN" w:bidi="ar-SA"/>
                    </w:rPr>
                  </w:pPr>
                </w:p>
              </w:tc>
              <w:tc>
                <w:tcPr>
                  <w:tcW w:w="451" w:type="pct"/>
                  <w:vMerge w:val="continue"/>
                  <w:tcBorders>
                    <w:tl2br w:val="nil"/>
                    <w:tr2bl w:val="nil"/>
                  </w:tcBorders>
                  <w:vAlign w:val="center"/>
                </w:tcPr>
                <w:p w14:paraId="1B755ED3">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765" w:type="pct"/>
                  <w:vMerge w:val="continue"/>
                  <w:tcBorders>
                    <w:tl2br w:val="nil"/>
                    <w:tr2bl w:val="nil"/>
                  </w:tcBorders>
                  <w:vAlign w:val="center"/>
                </w:tcPr>
                <w:p w14:paraId="7EFBAF07">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lang w:val="en-US" w:eastAsia="zh-CN"/>
                    </w:rPr>
                  </w:pPr>
                </w:p>
              </w:tc>
              <w:tc>
                <w:tcPr>
                  <w:tcW w:w="368" w:type="pct"/>
                  <w:tcBorders>
                    <w:tl2br w:val="nil"/>
                    <w:tr2bl w:val="nil"/>
                  </w:tcBorders>
                  <w:vAlign w:val="center"/>
                </w:tcPr>
                <w:p w14:paraId="15829264">
                  <w:pPr>
                    <w:keepNext w:val="0"/>
                    <w:keepLines w:val="0"/>
                    <w:widowControl/>
                    <w:suppressLineNumbers w:val="0"/>
                    <w:jc w:val="center"/>
                    <w:textAlignment w:val="center"/>
                    <w:rPr>
                      <w:rFonts w:hint="default"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50.0</w:t>
                  </w:r>
                </w:p>
              </w:tc>
              <w:tc>
                <w:tcPr>
                  <w:tcW w:w="400" w:type="pct"/>
                  <w:tcBorders>
                    <w:tl2br w:val="nil"/>
                    <w:tr2bl w:val="nil"/>
                  </w:tcBorders>
                  <w:vAlign w:val="center"/>
                </w:tcPr>
                <w:p w14:paraId="2002D185">
                  <w:pPr>
                    <w:keepNext w:val="0"/>
                    <w:keepLines w:val="0"/>
                    <w:widowControl/>
                    <w:suppressLineNumbers w:val="0"/>
                    <w:jc w:val="center"/>
                    <w:textAlignment w:val="center"/>
                    <w:rPr>
                      <w:rFonts w:hint="default"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72.2</w:t>
                  </w:r>
                </w:p>
              </w:tc>
              <w:tc>
                <w:tcPr>
                  <w:tcW w:w="342" w:type="pct"/>
                  <w:vMerge w:val="continue"/>
                  <w:tcBorders>
                    <w:tl2br w:val="nil"/>
                    <w:tr2bl w:val="nil"/>
                  </w:tcBorders>
                  <w:vAlign w:val="center"/>
                </w:tcPr>
                <w:p w14:paraId="4A5A227F">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419" w:type="pct"/>
                  <w:tcBorders>
                    <w:tl2br w:val="nil"/>
                    <w:tr2bl w:val="nil"/>
                  </w:tcBorders>
                  <w:vAlign w:val="center"/>
                </w:tcPr>
                <w:p w14:paraId="479BEA7E">
                  <w:pPr>
                    <w:keepNext w:val="0"/>
                    <w:keepLines w:val="0"/>
                    <w:widowControl/>
                    <w:suppressLineNumbers w:val="0"/>
                    <w:jc w:val="center"/>
                    <w:textAlignment w:val="center"/>
                    <w:rPr>
                      <w:rFonts w:hint="default"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16</w:t>
                  </w:r>
                </w:p>
              </w:tc>
              <w:tc>
                <w:tcPr>
                  <w:tcW w:w="419" w:type="pct"/>
                  <w:tcBorders>
                    <w:tl2br w:val="nil"/>
                    <w:tr2bl w:val="nil"/>
                  </w:tcBorders>
                  <w:vAlign w:val="center"/>
                </w:tcPr>
                <w:p w14:paraId="0D1F56C0">
                  <w:pPr>
                    <w:keepNext w:val="0"/>
                    <w:keepLines w:val="0"/>
                    <w:widowControl/>
                    <w:suppressLineNumbers w:val="0"/>
                    <w:jc w:val="center"/>
                    <w:textAlignment w:val="center"/>
                    <w:rPr>
                      <w:rFonts w:hint="default"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56.2</w:t>
                  </w:r>
                </w:p>
              </w:tc>
              <w:tc>
                <w:tcPr>
                  <w:tcW w:w="235" w:type="pct"/>
                  <w:vMerge w:val="continue"/>
                  <w:tcBorders>
                    <w:tl2br w:val="nil"/>
                    <w:tr2bl w:val="nil"/>
                  </w:tcBorders>
                  <w:vAlign w:val="center"/>
                </w:tcPr>
                <w:p w14:paraId="54EC59BC">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r>
            <w:tr w14:paraId="24D8C78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4" w:type="pct"/>
                  <w:vMerge w:val="continue"/>
                  <w:tcBorders>
                    <w:tl2br w:val="nil"/>
                    <w:tr2bl w:val="nil"/>
                  </w:tcBorders>
                  <w:vAlign w:val="center"/>
                </w:tcPr>
                <w:p w14:paraId="4FD3C3A3">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234" w:type="pct"/>
                  <w:vMerge w:val="continue"/>
                  <w:tcBorders>
                    <w:tl2br w:val="nil"/>
                    <w:tr2bl w:val="nil"/>
                  </w:tcBorders>
                  <w:vAlign w:val="center"/>
                </w:tcPr>
                <w:p w14:paraId="7A63038F">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393" w:type="pct"/>
                  <w:vMerge w:val="continue"/>
                  <w:tcBorders>
                    <w:tl2br w:val="nil"/>
                    <w:tr2bl w:val="nil"/>
                  </w:tcBorders>
                  <w:vAlign w:val="center"/>
                </w:tcPr>
                <w:p w14:paraId="0649AB30">
                  <w:pPr>
                    <w:jc w:val="center"/>
                    <w:rPr>
                      <w:rFonts w:hint="default" w:ascii="Times New Roman" w:hAnsi="Times New Roman" w:eastAsia="宋体" w:cs="Times New Roman"/>
                      <w:color w:val="auto"/>
                      <w:kern w:val="2"/>
                      <w:sz w:val="18"/>
                      <w:szCs w:val="18"/>
                      <w:highlight w:val="none"/>
                      <w:u w:val="none" w:color="auto"/>
                      <w:lang w:val="en-US" w:eastAsia="zh-CN" w:bidi="ar-SA"/>
                    </w:rPr>
                  </w:pPr>
                </w:p>
              </w:tc>
              <w:tc>
                <w:tcPr>
                  <w:tcW w:w="259" w:type="pct"/>
                  <w:vMerge w:val="continue"/>
                  <w:tcBorders>
                    <w:tl2br w:val="nil"/>
                    <w:tr2bl w:val="nil"/>
                  </w:tcBorders>
                  <w:vAlign w:val="center"/>
                </w:tcPr>
                <w:p w14:paraId="7A9DA7D4">
                  <w:pPr>
                    <w:pStyle w:val="94"/>
                    <w:spacing w:beforeLines="0" w:afterLines="0" w:line="240" w:lineRule="auto"/>
                    <w:jc w:val="center"/>
                    <w:rPr>
                      <w:rFonts w:hint="default" w:ascii="Times New Roman" w:hAnsi="Times New Roman" w:eastAsia="宋体" w:cs="Times New Roman"/>
                      <w:color w:val="auto"/>
                      <w:kern w:val="0"/>
                      <w:sz w:val="18"/>
                      <w:szCs w:val="18"/>
                      <w:highlight w:val="none"/>
                      <w:u w:val="none" w:color="auto"/>
                      <w:lang w:val="en-US" w:eastAsia="zh-CN" w:bidi="ar-SA"/>
                    </w:rPr>
                  </w:pPr>
                </w:p>
              </w:tc>
              <w:tc>
                <w:tcPr>
                  <w:tcW w:w="477" w:type="pct"/>
                  <w:vMerge w:val="continue"/>
                  <w:tcBorders>
                    <w:tl2br w:val="nil"/>
                    <w:tr2bl w:val="nil"/>
                  </w:tcBorders>
                  <w:vAlign w:val="center"/>
                </w:tcPr>
                <w:p w14:paraId="6C0E792A">
                  <w:pPr>
                    <w:pStyle w:val="94"/>
                    <w:spacing w:before="24" w:after="24"/>
                    <w:jc w:val="center"/>
                    <w:rPr>
                      <w:rFonts w:hint="default" w:ascii="Times New Roman" w:hAnsi="Times New Roman" w:eastAsia="宋体" w:cs="Times New Roman"/>
                      <w:b w:val="0"/>
                      <w:bCs w:val="0"/>
                      <w:color w:val="auto"/>
                      <w:kern w:val="2"/>
                      <w:sz w:val="18"/>
                      <w:szCs w:val="18"/>
                      <w:highlight w:val="none"/>
                      <w:u w:val="none" w:color="auto"/>
                      <w:lang w:val="en-US" w:eastAsia="zh-CN" w:bidi="ar-SA"/>
                    </w:rPr>
                  </w:pPr>
                </w:p>
              </w:tc>
              <w:tc>
                <w:tcPr>
                  <w:tcW w:w="451" w:type="pct"/>
                  <w:vMerge w:val="continue"/>
                  <w:tcBorders>
                    <w:tl2br w:val="nil"/>
                    <w:tr2bl w:val="nil"/>
                  </w:tcBorders>
                  <w:vAlign w:val="center"/>
                </w:tcPr>
                <w:p w14:paraId="73C64416">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765" w:type="pct"/>
                  <w:vMerge w:val="continue"/>
                  <w:tcBorders>
                    <w:tl2br w:val="nil"/>
                    <w:tr2bl w:val="nil"/>
                  </w:tcBorders>
                  <w:vAlign w:val="center"/>
                </w:tcPr>
                <w:p w14:paraId="4043DBEA">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lang w:val="en-US" w:eastAsia="zh-CN"/>
                    </w:rPr>
                  </w:pPr>
                </w:p>
              </w:tc>
              <w:tc>
                <w:tcPr>
                  <w:tcW w:w="368" w:type="pct"/>
                  <w:tcBorders>
                    <w:tl2br w:val="nil"/>
                    <w:tr2bl w:val="nil"/>
                  </w:tcBorders>
                  <w:vAlign w:val="center"/>
                </w:tcPr>
                <w:p w14:paraId="0F5CD0D6">
                  <w:pPr>
                    <w:keepNext w:val="0"/>
                    <w:keepLines w:val="0"/>
                    <w:widowControl/>
                    <w:suppressLineNumbers w:val="0"/>
                    <w:jc w:val="center"/>
                    <w:textAlignment w:val="center"/>
                    <w:rPr>
                      <w:rFonts w:hint="default"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23.8</w:t>
                  </w:r>
                </w:p>
              </w:tc>
              <w:tc>
                <w:tcPr>
                  <w:tcW w:w="400" w:type="pct"/>
                  <w:tcBorders>
                    <w:tl2br w:val="nil"/>
                    <w:tr2bl w:val="nil"/>
                  </w:tcBorders>
                  <w:vAlign w:val="center"/>
                </w:tcPr>
                <w:p w14:paraId="5165E714">
                  <w:pPr>
                    <w:keepNext w:val="0"/>
                    <w:keepLines w:val="0"/>
                    <w:widowControl/>
                    <w:suppressLineNumbers w:val="0"/>
                    <w:jc w:val="center"/>
                    <w:textAlignment w:val="center"/>
                    <w:rPr>
                      <w:rFonts w:hint="default"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72.2</w:t>
                  </w:r>
                </w:p>
              </w:tc>
              <w:tc>
                <w:tcPr>
                  <w:tcW w:w="342" w:type="pct"/>
                  <w:vMerge w:val="continue"/>
                  <w:tcBorders>
                    <w:tl2br w:val="nil"/>
                    <w:tr2bl w:val="nil"/>
                  </w:tcBorders>
                  <w:vAlign w:val="center"/>
                </w:tcPr>
                <w:p w14:paraId="4DD0C6C0">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419" w:type="pct"/>
                  <w:tcBorders>
                    <w:tl2br w:val="nil"/>
                    <w:tr2bl w:val="nil"/>
                  </w:tcBorders>
                  <w:vAlign w:val="center"/>
                </w:tcPr>
                <w:p w14:paraId="4213BD76">
                  <w:pPr>
                    <w:keepNext w:val="0"/>
                    <w:keepLines w:val="0"/>
                    <w:widowControl/>
                    <w:suppressLineNumbers w:val="0"/>
                    <w:jc w:val="center"/>
                    <w:textAlignment w:val="center"/>
                    <w:rPr>
                      <w:rFonts w:hint="default"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26</w:t>
                  </w:r>
                </w:p>
              </w:tc>
              <w:tc>
                <w:tcPr>
                  <w:tcW w:w="419" w:type="pct"/>
                  <w:tcBorders>
                    <w:tl2br w:val="nil"/>
                    <w:tr2bl w:val="nil"/>
                  </w:tcBorders>
                  <w:vAlign w:val="center"/>
                </w:tcPr>
                <w:p w14:paraId="53CCB5BA">
                  <w:pPr>
                    <w:keepNext w:val="0"/>
                    <w:keepLines w:val="0"/>
                    <w:widowControl/>
                    <w:suppressLineNumbers w:val="0"/>
                    <w:jc w:val="center"/>
                    <w:textAlignment w:val="center"/>
                    <w:rPr>
                      <w:rFonts w:hint="default"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46.2</w:t>
                  </w:r>
                </w:p>
              </w:tc>
              <w:tc>
                <w:tcPr>
                  <w:tcW w:w="235" w:type="pct"/>
                  <w:vMerge w:val="continue"/>
                  <w:tcBorders>
                    <w:tl2br w:val="nil"/>
                    <w:tr2bl w:val="nil"/>
                  </w:tcBorders>
                  <w:vAlign w:val="center"/>
                </w:tcPr>
                <w:p w14:paraId="70C3D164">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r>
            <w:tr w14:paraId="1E7C529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4" w:type="pct"/>
                  <w:vMerge w:val="continue"/>
                  <w:tcBorders>
                    <w:tl2br w:val="nil"/>
                    <w:tr2bl w:val="nil"/>
                  </w:tcBorders>
                  <w:vAlign w:val="center"/>
                </w:tcPr>
                <w:p w14:paraId="437D8A83">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234" w:type="pct"/>
                  <w:vMerge w:val="continue"/>
                  <w:tcBorders>
                    <w:tl2br w:val="nil"/>
                    <w:tr2bl w:val="nil"/>
                  </w:tcBorders>
                  <w:vAlign w:val="center"/>
                </w:tcPr>
                <w:p w14:paraId="785E5B02">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393" w:type="pct"/>
                  <w:vMerge w:val="continue"/>
                  <w:tcBorders>
                    <w:tl2br w:val="nil"/>
                    <w:tr2bl w:val="nil"/>
                  </w:tcBorders>
                  <w:vAlign w:val="center"/>
                </w:tcPr>
                <w:p w14:paraId="027EFA66">
                  <w:pPr>
                    <w:jc w:val="center"/>
                    <w:rPr>
                      <w:rFonts w:hint="default" w:ascii="Times New Roman" w:hAnsi="Times New Roman" w:eastAsia="宋体" w:cs="Times New Roman"/>
                      <w:color w:val="auto"/>
                      <w:kern w:val="2"/>
                      <w:sz w:val="18"/>
                      <w:szCs w:val="18"/>
                      <w:highlight w:val="none"/>
                      <w:u w:val="none" w:color="auto"/>
                      <w:lang w:val="en-US" w:eastAsia="zh-CN" w:bidi="ar-SA"/>
                    </w:rPr>
                  </w:pPr>
                </w:p>
              </w:tc>
              <w:tc>
                <w:tcPr>
                  <w:tcW w:w="259" w:type="pct"/>
                  <w:vMerge w:val="continue"/>
                  <w:tcBorders>
                    <w:tl2br w:val="nil"/>
                    <w:tr2bl w:val="nil"/>
                  </w:tcBorders>
                  <w:vAlign w:val="center"/>
                </w:tcPr>
                <w:p w14:paraId="52B5AAE1">
                  <w:pPr>
                    <w:pStyle w:val="94"/>
                    <w:spacing w:beforeLines="0" w:afterLines="0" w:line="240" w:lineRule="auto"/>
                    <w:jc w:val="center"/>
                    <w:rPr>
                      <w:rFonts w:hint="default" w:ascii="Times New Roman" w:hAnsi="Times New Roman" w:eastAsia="宋体" w:cs="Times New Roman"/>
                      <w:color w:val="auto"/>
                      <w:kern w:val="0"/>
                      <w:sz w:val="18"/>
                      <w:szCs w:val="18"/>
                      <w:highlight w:val="none"/>
                      <w:u w:val="none" w:color="auto"/>
                      <w:lang w:val="en-US" w:eastAsia="zh-CN" w:bidi="ar-SA"/>
                    </w:rPr>
                  </w:pPr>
                </w:p>
              </w:tc>
              <w:tc>
                <w:tcPr>
                  <w:tcW w:w="477" w:type="pct"/>
                  <w:vMerge w:val="continue"/>
                  <w:tcBorders>
                    <w:tl2br w:val="nil"/>
                    <w:tr2bl w:val="nil"/>
                  </w:tcBorders>
                  <w:vAlign w:val="center"/>
                </w:tcPr>
                <w:p w14:paraId="1828A40F">
                  <w:pPr>
                    <w:pStyle w:val="94"/>
                    <w:spacing w:before="24" w:after="24"/>
                    <w:jc w:val="center"/>
                    <w:rPr>
                      <w:rFonts w:hint="default" w:ascii="Times New Roman" w:hAnsi="Times New Roman" w:eastAsia="宋体" w:cs="Times New Roman"/>
                      <w:b w:val="0"/>
                      <w:bCs w:val="0"/>
                      <w:color w:val="auto"/>
                      <w:kern w:val="2"/>
                      <w:sz w:val="18"/>
                      <w:szCs w:val="18"/>
                      <w:highlight w:val="none"/>
                      <w:u w:val="none" w:color="auto"/>
                      <w:lang w:val="en-US" w:eastAsia="zh-CN" w:bidi="ar-SA"/>
                    </w:rPr>
                  </w:pPr>
                </w:p>
              </w:tc>
              <w:tc>
                <w:tcPr>
                  <w:tcW w:w="451" w:type="pct"/>
                  <w:vMerge w:val="continue"/>
                  <w:tcBorders>
                    <w:tl2br w:val="nil"/>
                    <w:tr2bl w:val="nil"/>
                  </w:tcBorders>
                  <w:vAlign w:val="center"/>
                </w:tcPr>
                <w:p w14:paraId="12B68A5D">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765" w:type="pct"/>
                  <w:vMerge w:val="continue"/>
                  <w:tcBorders>
                    <w:tl2br w:val="nil"/>
                    <w:tr2bl w:val="nil"/>
                  </w:tcBorders>
                  <w:vAlign w:val="center"/>
                </w:tcPr>
                <w:p w14:paraId="7054FE02">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lang w:val="en-US" w:eastAsia="zh-CN"/>
                    </w:rPr>
                  </w:pPr>
                </w:p>
              </w:tc>
              <w:tc>
                <w:tcPr>
                  <w:tcW w:w="368" w:type="pct"/>
                  <w:tcBorders>
                    <w:tl2br w:val="nil"/>
                    <w:tr2bl w:val="nil"/>
                  </w:tcBorders>
                  <w:vAlign w:val="center"/>
                </w:tcPr>
                <w:p w14:paraId="2F5257F1">
                  <w:pPr>
                    <w:keepNext w:val="0"/>
                    <w:keepLines w:val="0"/>
                    <w:widowControl/>
                    <w:suppressLineNumbers w:val="0"/>
                    <w:jc w:val="center"/>
                    <w:textAlignment w:val="center"/>
                    <w:rPr>
                      <w:rFonts w:hint="default"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51.5</w:t>
                  </w:r>
                </w:p>
              </w:tc>
              <w:tc>
                <w:tcPr>
                  <w:tcW w:w="400" w:type="pct"/>
                  <w:tcBorders>
                    <w:tl2br w:val="nil"/>
                    <w:tr2bl w:val="nil"/>
                  </w:tcBorders>
                  <w:vAlign w:val="center"/>
                </w:tcPr>
                <w:p w14:paraId="0AC22A5E">
                  <w:pPr>
                    <w:keepNext w:val="0"/>
                    <w:keepLines w:val="0"/>
                    <w:widowControl/>
                    <w:suppressLineNumbers w:val="0"/>
                    <w:jc w:val="center"/>
                    <w:textAlignment w:val="center"/>
                    <w:rPr>
                      <w:rFonts w:hint="default"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72.2</w:t>
                  </w:r>
                </w:p>
              </w:tc>
              <w:tc>
                <w:tcPr>
                  <w:tcW w:w="342" w:type="pct"/>
                  <w:vMerge w:val="continue"/>
                  <w:tcBorders>
                    <w:tl2br w:val="nil"/>
                    <w:tr2bl w:val="nil"/>
                  </w:tcBorders>
                  <w:vAlign w:val="center"/>
                </w:tcPr>
                <w:p w14:paraId="671B2930">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419" w:type="pct"/>
                  <w:tcBorders>
                    <w:tl2br w:val="nil"/>
                    <w:tr2bl w:val="nil"/>
                  </w:tcBorders>
                  <w:vAlign w:val="center"/>
                </w:tcPr>
                <w:p w14:paraId="53BA8BB5">
                  <w:pPr>
                    <w:keepNext w:val="0"/>
                    <w:keepLines w:val="0"/>
                    <w:widowControl/>
                    <w:suppressLineNumbers w:val="0"/>
                    <w:jc w:val="center"/>
                    <w:textAlignment w:val="center"/>
                    <w:rPr>
                      <w:rFonts w:hint="default"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16</w:t>
                  </w:r>
                </w:p>
              </w:tc>
              <w:tc>
                <w:tcPr>
                  <w:tcW w:w="419" w:type="pct"/>
                  <w:tcBorders>
                    <w:tl2br w:val="nil"/>
                    <w:tr2bl w:val="nil"/>
                  </w:tcBorders>
                  <w:vAlign w:val="center"/>
                </w:tcPr>
                <w:p w14:paraId="10C59830">
                  <w:pPr>
                    <w:keepNext w:val="0"/>
                    <w:keepLines w:val="0"/>
                    <w:widowControl/>
                    <w:suppressLineNumbers w:val="0"/>
                    <w:jc w:val="center"/>
                    <w:textAlignment w:val="center"/>
                    <w:rPr>
                      <w:rFonts w:hint="default"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56.2</w:t>
                  </w:r>
                </w:p>
              </w:tc>
              <w:tc>
                <w:tcPr>
                  <w:tcW w:w="235" w:type="pct"/>
                  <w:vMerge w:val="continue"/>
                  <w:tcBorders>
                    <w:tl2br w:val="nil"/>
                    <w:tr2bl w:val="nil"/>
                  </w:tcBorders>
                  <w:vAlign w:val="center"/>
                </w:tcPr>
                <w:p w14:paraId="4C49DB51">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r>
            <w:tr w14:paraId="1CBD823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4" w:type="pct"/>
                  <w:vMerge w:val="restart"/>
                  <w:tcBorders>
                    <w:tl2br w:val="nil"/>
                    <w:tr2bl w:val="nil"/>
                  </w:tcBorders>
                  <w:vAlign w:val="center"/>
                </w:tcPr>
                <w:p w14:paraId="70674C99">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lang w:val="en-US" w:eastAsia="zh-CN"/>
                    </w:rPr>
                  </w:pPr>
                  <w:r>
                    <w:rPr>
                      <w:rFonts w:hint="eastAsia" w:ascii="Times New Roman" w:hAnsi="Times New Roman" w:cs="Times New Roman"/>
                      <w:color w:val="auto"/>
                      <w:sz w:val="18"/>
                      <w:szCs w:val="18"/>
                      <w:highlight w:val="none"/>
                      <w:u w:val="none" w:color="auto"/>
                      <w:lang w:val="en-US" w:eastAsia="zh-CN"/>
                    </w:rPr>
                    <w:t>10</w:t>
                  </w:r>
                </w:p>
              </w:tc>
              <w:tc>
                <w:tcPr>
                  <w:tcW w:w="234" w:type="pct"/>
                  <w:vMerge w:val="continue"/>
                  <w:tcBorders>
                    <w:tl2br w:val="nil"/>
                    <w:tr2bl w:val="nil"/>
                  </w:tcBorders>
                  <w:vAlign w:val="center"/>
                </w:tcPr>
                <w:p w14:paraId="2712EF9A">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393" w:type="pct"/>
                  <w:vMerge w:val="restart"/>
                  <w:tcBorders>
                    <w:tl2br w:val="nil"/>
                    <w:tr2bl w:val="nil"/>
                  </w:tcBorders>
                  <w:vAlign w:val="center"/>
                </w:tcPr>
                <w:p w14:paraId="0E0C3E93">
                  <w:pPr>
                    <w:jc w:val="center"/>
                    <w:rPr>
                      <w:rFonts w:hint="default" w:ascii="Times New Roman" w:hAnsi="Times New Roman" w:eastAsia="宋体" w:cs="Times New Roman"/>
                      <w:color w:val="auto"/>
                      <w:kern w:val="2"/>
                      <w:sz w:val="18"/>
                      <w:szCs w:val="18"/>
                      <w:highlight w:val="none"/>
                      <w:u w:val="none" w:color="auto"/>
                      <w:lang w:val="en-US" w:eastAsia="zh-CN" w:bidi="ar-SA"/>
                    </w:rPr>
                  </w:pPr>
                  <w:r>
                    <w:rPr>
                      <w:rFonts w:hint="eastAsia" w:cs="Times New Roman"/>
                      <w:color w:val="auto"/>
                      <w:kern w:val="2"/>
                      <w:sz w:val="18"/>
                      <w:szCs w:val="18"/>
                      <w:highlight w:val="none"/>
                      <w:u w:val="none" w:color="auto"/>
                      <w:lang w:val="en-US" w:eastAsia="zh-CN" w:bidi="ar-SA"/>
                    </w:rPr>
                    <w:t>油炸锅</w:t>
                  </w:r>
                </w:p>
              </w:tc>
              <w:tc>
                <w:tcPr>
                  <w:tcW w:w="259" w:type="pct"/>
                  <w:vMerge w:val="restart"/>
                  <w:tcBorders>
                    <w:tl2br w:val="nil"/>
                    <w:tr2bl w:val="nil"/>
                  </w:tcBorders>
                  <w:vAlign w:val="center"/>
                </w:tcPr>
                <w:p w14:paraId="40E5E6FB">
                  <w:pPr>
                    <w:pStyle w:val="94"/>
                    <w:spacing w:beforeLines="0" w:afterLines="0" w:line="240" w:lineRule="auto"/>
                    <w:jc w:val="center"/>
                    <w:rPr>
                      <w:rFonts w:hint="default" w:ascii="Times New Roman" w:hAnsi="Times New Roman" w:eastAsia="宋体" w:cs="Times New Roman"/>
                      <w:color w:val="auto"/>
                      <w:kern w:val="0"/>
                      <w:sz w:val="18"/>
                      <w:szCs w:val="18"/>
                      <w:highlight w:val="none"/>
                      <w:u w:val="none" w:color="auto"/>
                      <w:lang w:val="en-US" w:eastAsia="zh-CN" w:bidi="ar-SA"/>
                    </w:rPr>
                  </w:pPr>
                  <w:r>
                    <w:rPr>
                      <w:rFonts w:hint="eastAsia" w:ascii="Times New Roman" w:cs="Times New Roman"/>
                      <w:color w:val="auto"/>
                      <w:kern w:val="0"/>
                      <w:sz w:val="18"/>
                      <w:szCs w:val="18"/>
                      <w:highlight w:val="none"/>
                      <w:u w:val="none" w:color="auto"/>
                      <w:lang w:val="en-US" w:eastAsia="zh-CN" w:bidi="ar-SA"/>
                    </w:rPr>
                    <w:t>4</w:t>
                  </w:r>
                </w:p>
              </w:tc>
              <w:tc>
                <w:tcPr>
                  <w:tcW w:w="477" w:type="pct"/>
                  <w:vMerge w:val="restart"/>
                  <w:tcBorders>
                    <w:tl2br w:val="nil"/>
                    <w:tr2bl w:val="nil"/>
                  </w:tcBorders>
                  <w:vAlign w:val="center"/>
                </w:tcPr>
                <w:p w14:paraId="2A70DA88">
                  <w:pPr>
                    <w:pStyle w:val="94"/>
                    <w:spacing w:before="24" w:after="24"/>
                    <w:jc w:val="center"/>
                    <w:rPr>
                      <w:rFonts w:hint="default" w:ascii="Times New Roman" w:hAnsi="Times New Roman" w:eastAsia="宋体" w:cs="Times New Roman"/>
                      <w:b w:val="0"/>
                      <w:bCs w:val="0"/>
                      <w:color w:val="auto"/>
                      <w:kern w:val="2"/>
                      <w:sz w:val="18"/>
                      <w:szCs w:val="18"/>
                      <w:highlight w:val="none"/>
                      <w:u w:val="none" w:color="auto"/>
                      <w:lang w:val="en-US" w:eastAsia="zh-CN" w:bidi="ar-SA"/>
                    </w:rPr>
                  </w:pPr>
                  <w:r>
                    <w:rPr>
                      <w:rFonts w:hint="eastAsia" w:ascii="Times New Roman" w:cs="Times New Roman"/>
                      <w:b w:val="0"/>
                      <w:bCs w:val="0"/>
                      <w:color w:val="auto"/>
                      <w:kern w:val="2"/>
                      <w:sz w:val="18"/>
                      <w:szCs w:val="18"/>
                      <w:highlight w:val="none"/>
                      <w:u w:val="none" w:color="auto"/>
                      <w:lang w:val="en-US" w:eastAsia="zh-CN" w:bidi="ar-SA"/>
                    </w:rPr>
                    <w:t>85（等效后91）</w:t>
                  </w:r>
                </w:p>
              </w:tc>
              <w:tc>
                <w:tcPr>
                  <w:tcW w:w="451" w:type="pct"/>
                  <w:vMerge w:val="restart"/>
                  <w:tcBorders>
                    <w:tl2br w:val="nil"/>
                    <w:tr2bl w:val="nil"/>
                  </w:tcBorders>
                  <w:vAlign w:val="center"/>
                </w:tcPr>
                <w:p w14:paraId="42F6A4C7">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r>
                    <w:rPr>
                      <w:rFonts w:hint="default" w:ascii="Times New Roman" w:hAnsi="Times New Roman" w:eastAsia="宋体" w:cs="Times New Roman"/>
                      <w:color w:val="auto"/>
                      <w:sz w:val="18"/>
                      <w:szCs w:val="18"/>
                      <w:highlight w:val="none"/>
                      <w:u w:val="none" w:color="auto"/>
                      <w:lang w:val="en-US" w:eastAsia="zh-CN"/>
                    </w:rPr>
                    <w:t>减振、厂房隔声</w:t>
                  </w:r>
                </w:p>
              </w:tc>
              <w:tc>
                <w:tcPr>
                  <w:tcW w:w="765" w:type="pct"/>
                  <w:vMerge w:val="restart"/>
                  <w:tcBorders>
                    <w:tl2br w:val="nil"/>
                    <w:tr2bl w:val="nil"/>
                  </w:tcBorders>
                  <w:vAlign w:val="center"/>
                </w:tcPr>
                <w:p w14:paraId="7FB33CB5">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lang w:val="en-US" w:eastAsia="zh-CN"/>
                    </w:rPr>
                  </w:pPr>
                  <w:r>
                    <w:rPr>
                      <w:rFonts w:hint="eastAsia" w:ascii="Times New Roman" w:hAnsi="Times New Roman" w:cs="Times New Roman"/>
                      <w:color w:val="auto"/>
                      <w:sz w:val="18"/>
                      <w:szCs w:val="18"/>
                      <w:highlight w:val="none"/>
                      <w:u w:val="none" w:color="auto"/>
                      <w:lang w:val="en-US" w:eastAsia="zh-CN"/>
                    </w:rPr>
                    <w:t>0.3，-22.7,1.3</w:t>
                  </w:r>
                </w:p>
              </w:tc>
              <w:tc>
                <w:tcPr>
                  <w:tcW w:w="368" w:type="pct"/>
                  <w:tcBorders>
                    <w:tl2br w:val="nil"/>
                    <w:tr2bl w:val="nil"/>
                  </w:tcBorders>
                  <w:vAlign w:val="center"/>
                </w:tcPr>
                <w:p w14:paraId="3326D22C">
                  <w:pPr>
                    <w:keepNext w:val="0"/>
                    <w:keepLines w:val="0"/>
                    <w:widowControl/>
                    <w:suppressLineNumbers w:val="0"/>
                    <w:jc w:val="center"/>
                    <w:textAlignment w:val="center"/>
                    <w:rPr>
                      <w:rFonts w:hint="default"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21.4</w:t>
                  </w:r>
                </w:p>
              </w:tc>
              <w:tc>
                <w:tcPr>
                  <w:tcW w:w="400" w:type="pct"/>
                  <w:tcBorders>
                    <w:tl2br w:val="nil"/>
                    <w:tr2bl w:val="nil"/>
                  </w:tcBorders>
                  <w:vAlign w:val="center"/>
                </w:tcPr>
                <w:p w14:paraId="5E621B01">
                  <w:pPr>
                    <w:keepNext w:val="0"/>
                    <w:keepLines w:val="0"/>
                    <w:widowControl/>
                    <w:suppressLineNumbers w:val="0"/>
                    <w:jc w:val="center"/>
                    <w:textAlignment w:val="center"/>
                    <w:rPr>
                      <w:rFonts w:hint="default"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75.2</w:t>
                  </w:r>
                </w:p>
              </w:tc>
              <w:tc>
                <w:tcPr>
                  <w:tcW w:w="342" w:type="pct"/>
                  <w:vMerge w:val="continue"/>
                  <w:tcBorders>
                    <w:tl2br w:val="nil"/>
                    <w:tr2bl w:val="nil"/>
                  </w:tcBorders>
                  <w:vAlign w:val="center"/>
                </w:tcPr>
                <w:p w14:paraId="20881E53">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419" w:type="pct"/>
                  <w:tcBorders>
                    <w:tl2br w:val="nil"/>
                    <w:tr2bl w:val="nil"/>
                  </w:tcBorders>
                  <w:vAlign w:val="center"/>
                </w:tcPr>
                <w:p w14:paraId="1E413412">
                  <w:pPr>
                    <w:keepNext w:val="0"/>
                    <w:keepLines w:val="0"/>
                    <w:widowControl/>
                    <w:suppressLineNumbers w:val="0"/>
                    <w:jc w:val="center"/>
                    <w:textAlignment w:val="center"/>
                    <w:rPr>
                      <w:rFonts w:hint="default"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26</w:t>
                  </w:r>
                </w:p>
              </w:tc>
              <w:tc>
                <w:tcPr>
                  <w:tcW w:w="419" w:type="pct"/>
                  <w:tcBorders>
                    <w:tl2br w:val="nil"/>
                    <w:tr2bl w:val="nil"/>
                  </w:tcBorders>
                  <w:vAlign w:val="center"/>
                </w:tcPr>
                <w:p w14:paraId="6C7F2560">
                  <w:pPr>
                    <w:keepNext w:val="0"/>
                    <w:keepLines w:val="0"/>
                    <w:widowControl/>
                    <w:suppressLineNumbers w:val="0"/>
                    <w:jc w:val="center"/>
                    <w:textAlignment w:val="center"/>
                    <w:rPr>
                      <w:rFonts w:hint="default"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49.2</w:t>
                  </w:r>
                </w:p>
              </w:tc>
              <w:tc>
                <w:tcPr>
                  <w:tcW w:w="235" w:type="pct"/>
                  <w:vMerge w:val="restart"/>
                  <w:tcBorders>
                    <w:tl2br w:val="nil"/>
                    <w:tr2bl w:val="nil"/>
                  </w:tcBorders>
                  <w:vAlign w:val="center"/>
                </w:tcPr>
                <w:p w14:paraId="160CBD91">
                  <w:pPr>
                    <w:pStyle w:val="26"/>
                    <w:spacing w:line="240" w:lineRule="auto"/>
                    <w:ind w:firstLine="0" w:firstLineChars="0"/>
                    <w:jc w:val="center"/>
                    <w:rPr>
                      <w:rFonts w:hint="eastAsia" w:ascii="Times New Roman" w:hAnsi="Times New Roman" w:eastAsia="宋体" w:cs="Times New Roman"/>
                      <w:color w:val="auto"/>
                      <w:sz w:val="18"/>
                      <w:szCs w:val="18"/>
                      <w:highlight w:val="none"/>
                      <w:u w:val="none" w:color="auto"/>
                      <w:lang w:val="en-US" w:eastAsia="zh-CN"/>
                    </w:rPr>
                  </w:pPr>
                  <w:r>
                    <w:rPr>
                      <w:rFonts w:hint="eastAsia" w:ascii="Times New Roman" w:hAnsi="Times New Roman" w:cs="Times New Roman"/>
                      <w:color w:val="auto"/>
                      <w:sz w:val="18"/>
                      <w:szCs w:val="18"/>
                      <w:highlight w:val="none"/>
                      <w:u w:val="none" w:color="auto"/>
                      <w:lang w:val="en-US" w:eastAsia="zh-CN"/>
                    </w:rPr>
                    <w:t>1</w:t>
                  </w:r>
                </w:p>
              </w:tc>
            </w:tr>
            <w:tr w14:paraId="22CBB5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4" w:type="pct"/>
                  <w:vMerge w:val="continue"/>
                  <w:tcBorders>
                    <w:tl2br w:val="nil"/>
                    <w:tr2bl w:val="nil"/>
                  </w:tcBorders>
                  <w:vAlign w:val="center"/>
                </w:tcPr>
                <w:p w14:paraId="31DC095E">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234" w:type="pct"/>
                  <w:vMerge w:val="continue"/>
                  <w:tcBorders>
                    <w:tl2br w:val="nil"/>
                    <w:tr2bl w:val="nil"/>
                  </w:tcBorders>
                  <w:vAlign w:val="center"/>
                </w:tcPr>
                <w:p w14:paraId="4F4D5701">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393" w:type="pct"/>
                  <w:vMerge w:val="continue"/>
                  <w:tcBorders>
                    <w:tl2br w:val="nil"/>
                    <w:tr2bl w:val="nil"/>
                  </w:tcBorders>
                  <w:vAlign w:val="center"/>
                </w:tcPr>
                <w:p w14:paraId="6258BA71">
                  <w:pPr>
                    <w:jc w:val="center"/>
                    <w:rPr>
                      <w:rFonts w:hint="default" w:ascii="Times New Roman" w:hAnsi="Times New Roman" w:eastAsia="宋体" w:cs="Times New Roman"/>
                      <w:color w:val="auto"/>
                      <w:kern w:val="2"/>
                      <w:sz w:val="18"/>
                      <w:szCs w:val="18"/>
                      <w:highlight w:val="none"/>
                      <w:u w:val="none" w:color="auto"/>
                      <w:lang w:val="en-US" w:eastAsia="zh-CN" w:bidi="ar-SA"/>
                    </w:rPr>
                  </w:pPr>
                </w:p>
              </w:tc>
              <w:tc>
                <w:tcPr>
                  <w:tcW w:w="259" w:type="pct"/>
                  <w:vMerge w:val="continue"/>
                  <w:tcBorders>
                    <w:tl2br w:val="nil"/>
                    <w:tr2bl w:val="nil"/>
                  </w:tcBorders>
                  <w:vAlign w:val="center"/>
                </w:tcPr>
                <w:p w14:paraId="24E88BD4">
                  <w:pPr>
                    <w:pStyle w:val="94"/>
                    <w:spacing w:beforeLines="0" w:afterLines="0" w:line="240" w:lineRule="auto"/>
                    <w:jc w:val="center"/>
                    <w:rPr>
                      <w:rFonts w:hint="default" w:ascii="Times New Roman" w:hAnsi="Times New Roman" w:eastAsia="宋体" w:cs="Times New Roman"/>
                      <w:color w:val="auto"/>
                      <w:kern w:val="0"/>
                      <w:sz w:val="18"/>
                      <w:szCs w:val="18"/>
                      <w:highlight w:val="none"/>
                      <w:u w:val="none" w:color="auto"/>
                      <w:lang w:val="en-US" w:eastAsia="zh-CN" w:bidi="ar-SA"/>
                    </w:rPr>
                  </w:pPr>
                </w:p>
              </w:tc>
              <w:tc>
                <w:tcPr>
                  <w:tcW w:w="477" w:type="pct"/>
                  <w:vMerge w:val="continue"/>
                  <w:tcBorders>
                    <w:tl2br w:val="nil"/>
                    <w:tr2bl w:val="nil"/>
                  </w:tcBorders>
                  <w:vAlign w:val="center"/>
                </w:tcPr>
                <w:p w14:paraId="50DFFA9F">
                  <w:pPr>
                    <w:pStyle w:val="94"/>
                    <w:spacing w:before="24" w:after="24"/>
                    <w:jc w:val="center"/>
                    <w:rPr>
                      <w:rFonts w:hint="default" w:ascii="Times New Roman" w:hAnsi="Times New Roman" w:eastAsia="宋体" w:cs="Times New Roman"/>
                      <w:b w:val="0"/>
                      <w:bCs w:val="0"/>
                      <w:color w:val="auto"/>
                      <w:kern w:val="2"/>
                      <w:sz w:val="18"/>
                      <w:szCs w:val="18"/>
                      <w:highlight w:val="none"/>
                      <w:u w:val="none" w:color="auto"/>
                      <w:lang w:val="en-US" w:eastAsia="zh-CN" w:bidi="ar-SA"/>
                    </w:rPr>
                  </w:pPr>
                </w:p>
              </w:tc>
              <w:tc>
                <w:tcPr>
                  <w:tcW w:w="451" w:type="pct"/>
                  <w:vMerge w:val="continue"/>
                  <w:tcBorders>
                    <w:tl2br w:val="nil"/>
                    <w:tr2bl w:val="nil"/>
                  </w:tcBorders>
                  <w:vAlign w:val="center"/>
                </w:tcPr>
                <w:p w14:paraId="4FFC819A">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765" w:type="pct"/>
                  <w:vMerge w:val="continue"/>
                  <w:tcBorders>
                    <w:tl2br w:val="nil"/>
                    <w:tr2bl w:val="nil"/>
                  </w:tcBorders>
                  <w:vAlign w:val="center"/>
                </w:tcPr>
                <w:p w14:paraId="7E727D69">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lang w:val="en-US" w:eastAsia="zh-CN"/>
                    </w:rPr>
                  </w:pPr>
                </w:p>
              </w:tc>
              <w:tc>
                <w:tcPr>
                  <w:tcW w:w="368" w:type="pct"/>
                  <w:tcBorders>
                    <w:tl2br w:val="nil"/>
                    <w:tr2bl w:val="nil"/>
                  </w:tcBorders>
                  <w:vAlign w:val="center"/>
                </w:tcPr>
                <w:p w14:paraId="1CB6B897">
                  <w:pPr>
                    <w:keepNext w:val="0"/>
                    <w:keepLines w:val="0"/>
                    <w:widowControl/>
                    <w:suppressLineNumbers w:val="0"/>
                    <w:jc w:val="center"/>
                    <w:textAlignment w:val="center"/>
                    <w:rPr>
                      <w:rFonts w:hint="default"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20.9</w:t>
                  </w:r>
                </w:p>
              </w:tc>
              <w:tc>
                <w:tcPr>
                  <w:tcW w:w="400" w:type="pct"/>
                  <w:tcBorders>
                    <w:tl2br w:val="nil"/>
                    <w:tr2bl w:val="nil"/>
                  </w:tcBorders>
                  <w:vAlign w:val="center"/>
                </w:tcPr>
                <w:p w14:paraId="05471708">
                  <w:pPr>
                    <w:keepNext w:val="0"/>
                    <w:keepLines w:val="0"/>
                    <w:widowControl/>
                    <w:suppressLineNumbers w:val="0"/>
                    <w:jc w:val="center"/>
                    <w:textAlignment w:val="center"/>
                    <w:rPr>
                      <w:rFonts w:hint="default"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75.2</w:t>
                  </w:r>
                </w:p>
              </w:tc>
              <w:tc>
                <w:tcPr>
                  <w:tcW w:w="342" w:type="pct"/>
                  <w:vMerge w:val="continue"/>
                  <w:tcBorders>
                    <w:tl2br w:val="nil"/>
                    <w:tr2bl w:val="nil"/>
                  </w:tcBorders>
                  <w:vAlign w:val="center"/>
                </w:tcPr>
                <w:p w14:paraId="2857268E">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419" w:type="pct"/>
                  <w:tcBorders>
                    <w:tl2br w:val="nil"/>
                    <w:tr2bl w:val="nil"/>
                  </w:tcBorders>
                  <w:vAlign w:val="center"/>
                </w:tcPr>
                <w:p w14:paraId="28BC86B8">
                  <w:pPr>
                    <w:keepNext w:val="0"/>
                    <w:keepLines w:val="0"/>
                    <w:widowControl/>
                    <w:suppressLineNumbers w:val="0"/>
                    <w:jc w:val="center"/>
                    <w:textAlignment w:val="center"/>
                    <w:rPr>
                      <w:rFonts w:hint="default"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16</w:t>
                  </w:r>
                </w:p>
              </w:tc>
              <w:tc>
                <w:tcPr>
                  <w:tcW w:w="419" w:type="pct"/>
                  <w:tcBorders>
                    <w:tl2br w:val="nil"/>
                    <w:tr2bl w:val="nil"/>
                  </w:tcBorders>
                  <w:vAlign w:val="center"/>
                </w:tcPr>
                <w:p w14:paraId="121D743F">
                  <w:pPr>
                    <w:keepNext w:val="0"/>
                    <w:keepLines w:val="0"/>
                    <w:widowControl/>
                    <w:suppressLineNumbers w:val="0"/>
                    <w:jc w:val="center"/>
                    <w:textAlignment w:val="center"/>
                    <w:rPr>
                      <w:rFonts w:hint="default"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59.2</w:t>
                  </w:r>
                </w:p>
              </w:tc>
              <w:tc>
                <w:tcPr>
                  <w:tcW w:w="235" w:type="pct"/>
                  <w:vMerge w:val="continue"/>
                  <w:tcBorders>
                    <w:tl2br w:val="nil"/>
                    <w:tr2bl w:val="nil"/>
                  </w:tcBorders>
                  <w:vAlign w:val="center"/>
                </w:tcPr>
                <w:p w14:paraId="7F4B4FF1">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r>
            <w:tr w14:paraId="6182BE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4" w:type="pct"/>
                  <w:vMerge w:val="continue"/>
                  <w:tcBorders>
                    <w:tl2br w:val="nil"/>
                    <w:tr2bl w:val="nil"/>
                  </w:tcBorders>
                  <w:vAlign w:val="center"/>
                </w:tcPr>
                <w:p w14:paraId="5630D08A">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234" w:type="pct"/>
                  <w:vMerge w:val="continue"/>
                  <w:tcBorders>
                    <w:tl2br w:val="nil"/>
                    <w:tr2bl w:val="nil"/>
                  </w:tcBorders>
                  <w:vAlign w:val="center"/>
                </w:tcPr>
                <w:p w14:paraId="6D83EFCD">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393" w:type="pct"/>
                  <w:vMerge w:val="continue"/>
                  <w:tcBorders>
                    <w:tl2br w:val="nil"/>
                    <w:tr2bl w:val="nil"/>
                  </w:tcBorders>
                  <w:vAlign w:val="center"/>
                </w:tcPr>
                <w:p w14:paraId="78458C8E">
                  <w:pPr>
                    <w:jc w:val="center"/>
                    <w:rPr>
                      <w:rFonts w:hint="default" w:ascii="Times New Roman" w:hAnsi="Times New Roman" w:eastAsia="宋体" w:cs="Times New Roman"/>
                      <w:color w:val="auto"/>
                      <w:kern w:val="2"/>
                      <w:sz w:val="18"/>
                      <w:szCs w:val="18"/>
                      <w:highlight w:val="none"/>
                      <w:u w:val="none" w:color="auto"/>
                      <w:lang w:val="en-US" w:eastAsia="zh-CN" w:bidi="ar-SA"/>
                    </w:rPr>
                  </w:pPr>
                </w:p>
              </w:tc>
              <w:tc>
                <w:tcPr>
                  <w:tcW w:w="259" w:type="pct"/>
                  <w:vMerge w:val="continue"/>
                  <w:tcBorders>
                    <w:tl2br w:val="nil"/>
                    <w:tr2bl w:val="nil"/>
                  </w:tcBorders>
                  <w:vAlign w:val="center"/>
                </w:tcPr>
                <w:p w14:paraId="4546E985">
                  <w:pPr>
                    <w:pStyle w:val="94"/>
                    <w:spacing w:beforeLines="0" w:afterLines="0" w:line="240" w:lineRule="auto"/>
                    <w:jc w:val="center"/>
                    <w:rPr>
                      <w:rFonts w:hint="default" w:ascii="Times New Roman" w:hAnsi="Times New Roman" w:eastAsia="宋体" w:cs="Times New Roman"/>
                      <w:color w:val="auto"/>
                      <w:kern w:val="0"/>
                      <w:sz w:val="18"/>
                      <w:szCs w:val="18"/>
                      <w:highlight w:val="none"/>
                      <w:u w:val="none" w:color="auto"/>
                      <w:lang w:val="en-US" w:eastAsia="zh-CN" w:bidi="ar-SA"/>
                    </w:rPr>
                  </w:pPr>
                </w:p>
              </w:tc>
              <w:tc>
                <w:tcPr>
                  <w:tcW w:w="477" w:type="pct"/>
                  <w:vMerge w:val="continue"/>
                  <w:tcBorders>
                    <w:tl2br w:val="nil"/>
                    <w:tr2bl w:val="nil"/>
                  </w:tcBorders>
                  <w:vAlign w:val="center"/>
                </w:tcPr>
                <w:p w14:paraId="22E28BE1">
                  <w:pPr>
                    <w:pStyle w:val="94"/>
                    <w:spacing w:before="24" w:after="24"/>
                    <w:jc w:val="center"/>
                    <w:rPr>
                      <w:rFonts w:hint="default" w:ascii="Times New Roman" w:hAnsi="Times New Roman" w:eastAsia="宋体" w:cs="Times New Roman"/>
                      <w:b w:val="0"/>
                      <w:bCs w:val="0"/>
                      <w:color w:val="auto"/>
                      <w:kern w:val="2"/>
                      <w:sz w:val="18"/>
                      <w:szCs w:val="18"/>
                      <w:highlight w:val="none"/>
                      <w:u w:val="none" w:color="auto"/>
                      <w:lang w:val="en-US" w:eastAsia="zh-CN" w:bidi="ar-SA"/>
                    </w:rPr>
                  </w:pPr>
                </w:p>
              </w:tc>
              <w:tc>
                <w:tcPr>
                  <w:tcW w:w="451" w:type="pct"/>
                  <w:vMerge w:val="continue"/>
                  <w:tcBorders>
                    <w:tl2br w:val="nil"/>
                    <w:tr2bl w:val="nil"/>
                  </w:tcBorders>
                  <w:vAlign w:val="center"/>
                </w:tcPr>
                <w:p w14:paraId="71F0C028">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765" w:type="pct"/>
                  <w:vMerge w:val="continue"/>
                  <w:tcBorders>
                    <w:tl2br w:val="nil"/>
                    <w:tr2bl w:val="nil"/>
                  </w:tcBorders>
                  <w:vAlign w:val="center"/>
                </w:tcPr>
                <w:p w14:paraId="10E182A7">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lang w:val="en-US" w:eastAsia="zh-CN"/>
                    </w:rPr>
                  </w:pPr>
                </w:p>
              </w:tc>
              <w:tc>
                <w:tcPr>
                  <w:tcW w:w="368" w:type="pct"/>
                  <w:tcBorders>
                    <w:tl2br w:val="nil"/>
                    <w:tr2bl w:val="nil"/>
                  </w:tcBorders>
                  <w:vAlign w:val="center"/>
                </w:tcPr>
                <w:p w14:paraId="79D982E4">
                  <w:pPr>
                    <w:keepNext w:val="0"/>
                    <w:keepLines w:val="0"/>
                    <w:widowControl/>
                    <w:suppressLineNumbers w:val="0"/>
                    <w:jc w:val="center"/>
                    <w:textAlignment w:val="center"/>
                    <w:rPr>
                      <w:rFonts w:hint="default"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71.8</w:t>
                  </w:r>
                </w:p>
              </w:tc>
              <w:tc>
                <w:tcPr>
                  <w:tcW w:w="400" w:type="pct"/>
                  <w:tcBorders>
                    <w:tl2br w:val="nil"/>
                    <w:tr2bl w:val="nil"/>
                  </w:tcBorders>
                  <w:vAlign w:val="center"/>
                </w:tcPr>
                <w:p w14:paraId="44583E85">
                  <w:pPr>
                    <w:keepNext w:val="0"/>
                    <w:keepLines w:val="0"/>
                    <w:widowControl/>
                    <w:suppressLineNumbers w:val="0"/>
                    <w:jc w:val="center"/>
                    <w:textAlignment w:val="center"/>
                    <w:rPr>
                      <w:rFonts w:hint="default"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75.2</w:t>
                  </w:r>
                </w:p>
              </w:tc>
              <w:tc>
                <w:tcPr>
                  <w:tcW w:w="342" w:type="pct"/>
                  <w:vMerge w:val="continue"/>
                  <w:tcBorders>
                    <w:tl2br w:val="nil"/>
                    <w:tr2bl w:val="nil"/>
                  </w:tcBorders>
                  <w:vAlign w:val="center"/>
                </w:tcPr>
                <w:p w14:paraId="283C7728">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419" w:type="pct"/>
                  <w:tcBorders>
                    <w:tl2br w:val="nil"/>
                    <w:tr2bl w:val="nil"/>
                  </w:tcBorders>
                  <w:vAlign w:val="center"/>
                </w:tcPr>
                <w:p w14:paraId="2254D45A">
                  <w:pPr>
                    <w:keepNext w:val="0"/>
                    <w:keepLines w:val="0"/>
                    <w:widowControl/>
                    <w:suppressLineNumbers w:val="0"/>
                    <w:jc w:val="center"/>
                    <w:textAlignment w:val="center"/>
                    <w:rPr>
                      <w:rFonts w:hint="default"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26</w:t>
                  </w:r>
                </w:p>
              </w:tc>
              <w:tc>
                <w:tcPr>
                  <w:tcW w:w="419" w:type="pct"/>
                  <w:tcBorders>
                    <w:tl2br w:val="nil"/>
                    <w:tr2bl w:val="nil"/>
                  </w:tcBorders>
                  <w:vAlign w:val="center"/>
                </w:tcPr>
                <w:p w14:paraId="45129D5D">
                  <w:pPr>
                    <w:keepNext w:val="0"/>
                    <w:keepLines w:val="0"/>
                    <w:widowControl/>
                    <w:suppressLineNumbers w:val="0"/>
                    <w:jc w:val="center"/>
                    <w:textAlignment w:val="center"/>
                    <w:rPr>
                      <w:rFonts w:hint="default"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49.2</w:t>
                  </w:r>
                </w:p>
              </w:tc>
              <w:tc>
                <w:tcPr>
                  <w:tcW w:w="235" w:type="pct"/>
                  <w:vMerge w:val="continue"/>
                  <w:tcBorders>
                    <w:tl2br w:val="nil"/>
                    <w:tr2bl w:val="nil"/>
                  </w:tcBorders>
                  <w:vAlign w:val="center"/>
                </w:tcPr>
                <w:p w14:paraId="4791C161">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r>
            <w:tr w14:paraId="2C4882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4" w:type="pct"/>
                  <w:vMerge w:val="continue"/>
                  <w:tcBorders>
                    <w:tl2br w:val="nil"/>
                    <w:tr2bl w:val="nil"/>
                  </w:tcBorders>
                  <w:vAlign w:val="center"/>
                </w:tcPr>
                <w:p w14:paraId="0EC662A8">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234" w:type="pct"/>
                  <w:vMerge w:val="continue"/>
                  <w:tcBorders>
                    <w:tl2br w:val="nil"/>
                    <w:tr2bl w:val="nil"/>
                  </w:tcBorders>
                  <w:vAlign w:val="center"/>
                </w:tcPr>
                <w:p w14:paraId="0F9F35CC">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393" w:type="pct"/>
                  <w:vMerge w:val="continue"/>
                  <w:tcBorders>
                    <w:tl2br w:val="nil"/>
                    <w:tr2bl w:val="nil"/>
                  </w:tcBorders>
                  <w:vAlign w:val="center"/>
                </w:tcPr>
                <w:p w14:paraId="27B45B05">
                  <w:pPr>
                    <w:jc w:val="center"/>
                    <w:rPr>
                      <w:rFonts w:hint="default" w:ascii="Times New Roman" w:hAnsi="Times New Roman" w:eastAsia="宋体" w:cs="Times New Roman"/>
                      <w:color w:val="auto"/>
                      <w:kern w:val="2"/>
                      <w:sz w:val="18"/>
                      <w:szCs w:val="18"/>
                      <w:highlight w:val="none"/>
                      <w:u w:val="none" w:color="auto"/>
                      <w:lang w:val="en-US" w:eastAsia="zh-CN" w:bidi="ar-SA"/>
                    </w:rPr>
                  </w:pPr>
                </w:p>
              </w:tc>
              <w:tc>
                <w:tcPr>
                  <w:tcW w:w="259" w:type="pct"/>
                  <w:vMerge w:val="continue"/>
                  <w:tcBorders>
                    <w:tl2br w:val="nil"/>
                    <w:tr2bl w:val="nil"/>
                  </w:tcBorders>
                  <w:vAlign w:val="center"/>
                </w:tcPr>
                <w:p w14:paraId="15F8341D">
                  <w:pPr>
                    <w:pStyle w:val="94"/>
                    <w:spacing w:beforeLines="0" w:afterLines="0" w:line="240" w:lineRule="auto"/>
                    <w:jc w:val="center"/>
                    <w:rPr>
                      <w:rFonts w:hint="default" w:ascii="Times New Roman" w:hAnsi="Times New Roman" w:eastAsia="宋体" w:cs="Times New Roman"/>
                      <w:color w:val="auto"/>
                      <w:kern w:val="0"/>
                      <w:sz w:val="18"/>
                      <w:szCs w:val="18"/>
                      <w:highlight w:val="none"/>
                      <w:u w:val="none" w:color="auto"/>
                      <w:lang w:val="en-US" w:eastAsia="zh-CN" w:bidi="ar-SA"/>
                    </w:rPr>
                  </w:pPr>
                </w:p>
              </w:tc>
              <w:tc>
                <w:tcPr>
                  <w:tcW w:w="477" w:type="pct"/>
                  <w:vMerge w:val="continue"/>
                  <w:tcBorders>
                    <w:tl2br w:val="nil"/>
                    <w:tr2bl w:val="nil"/>
                  </w:tcBorders>
                  <w:vAlign w:val="center"/>
                </w:tcPr>
                <w:p w14:paraId="3FEA86B9">
                  <w:pPr>
                    <w:pStyle w:val="94"/>
                    <w:spacing w:before="24" w:after="24"/>
                    <w:jc w:val="center"/>
                    <w:rPr>
                      <w:rFonts w:hint="default" w:ascii="Times New Roman" w:hAnsi="Times New Roman" w:eastAsia="宋体" w:cs="Times New Roman"/>
                      <w:b w:val="0"/>
                      <w:bCs w:val="0"/>
                      <w:color w:val="auto"/>
                      <w:kern w:val="2"/>
                      <w:sz w:val="18"/>
                      <w:szCs w:val="18"/>
                      <w:highlight w:val="none"/>
                      <w:u w:val="none" w:color="auto"/>
                      <w:lang w:val="en-US" w:eastAsia="zh-CN" w:bidi="ar-SA"/>
                    </w:rPr>
                  </w:pPr>
                </w:p>
              </w:tc>
              <w:tc>
                <w:tcPr>
                  <w:tcW w:w="451" w:type="pct"/>
                  <w:vMerge w:val="continue"/>
                  <w:tcBorders>
                    <w:tl2br w:val="nil"/>
                    <w:tr2bl w:val="nil"/>
                  </w:tcBorders>
                  <w:vAlign w:val="center"/>
                </w:tcPr>
                <w:p w14:paraId="59113D3C">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765" w:type="pct"/>
                  <w:vMerge w:val="continue"/>
                  <w:tcBorders>
                    <w:tl2br w:val="nil"/>
                    <w:tr2bl w:val="nil"/>
                  </w:tcBorders>
                  <w:vAlign w:val="center"/>
                </w:tcPr>
                <w:p w14:paraId="439666FB">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lang w:val="en-US" w:eastAsia="zh-CN"/>
                    </w:rPr>
                  </w:pPr>
                </w:p>
              </w:tc>
              <w:tc>
                <w:tcPr>
                  <w:tcW w:w="368" w:type="pct"/>
                  <w:tcBorders>
                    <w:tl2br w:val="nil"/>
                    <w:tr2bl w:val="nil"/>
                  </w:tcBorders>
                  <w:vAlign w:val="center"/>
                </w:tcPr>
                <w:p w14:paraId="469BB50E">
                  <w:pPr>
                    <w:keepNext w:val="0"/>
                    <w:keepLines w:val="0"/>
                    <w:widowControl/>
                    <w:suppressLineNumbers w:val="0"/>
                    <w:jc w:val="center"/>
                    <w:textAlignment w:val="center"/>
                    <w:rPr>
                      <w:rFonts w:hint="default"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6.0</w:t>
                  </w:r>
                </w:p>
              </w:tc>
              <w:tc>
                <w:tcPr>
                  <w:tcW w:w="400" w:type="pct"/>
                  <w:tcBorders>
                    <w:tl2br w:val="nil"/>
                    <w:tr2bl w:val="nil"/>
                  </w:tcBorders>
                  <w:vAlign w:val="center"/>
                </w:tcPr>
                <w:p w14:paraId="19B5E6AD">
                  <w:pPr>
                    <w:keepNext w:val="0"/>
                    <w:keepLines w:val="0"/>
                    <w:widowControl/>
                    <w:suppressLineNumbers w:val="0"/>
                    <w:jc w:val="center"/>
                    <w:textAlignment w:val="center"/>
                    <w:rPr>
                      <w:rFonts w:hint="default"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75.5</w:t>
                  </w:r>
                </w:p>
              </w:tc>
              <w:tc>
                <w:tcPr>
                  <w:tcW w:w="342" w:type="pct"/>
                  <w:vMerge w:val="continue"/>
                  <w:tcBorders>
                    <w:tl2br w:val="nil"/>
                    <w:tr2bl w:val="nil"/>
                  </w:tcBorders>
                  <w:vAlign w:val="center"/>
                </w:tcPr>
                <w:p w14:paraId="34E50124">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419" w:type="pct"/>
                  <w:tcBorders>
                    <w:tl2br w:val="nil"/>
                    <w:tr2bl w:val="nil"/>
                  </w:tcBorders>
                  <w:vAlign w:val="center"/>
                </w:tcPr>
                <w:p w14:paraId="29180A90">
                  <w:pPr>
                    <w:keepNext w:val="0"/>
                    <w:keepLines w:val="0"/>
                    <w:widowControl/>
                    <w:suppressLineNumbers w:val="0"/>
                    <w:jc w:val="center"/>
                    <w:textAlignment w:val="center"/>
                    <w:rPr>
                      <w:rFonts w:hint="default"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16</w:t>
                  </w:r>
                </w:p>
              </w:tc>
              <w:tc>
                <w:tcPr>
                  <w:tcW w:w="419" w:type="pct"/>
                  <w:tcBorders>
                    <w:tl2br w:val="nil"/>
                    <w:tr2bl w:val="nil"/>
                  </w:tcBorders>
                  <w:vAlign w:val="center"/>
                </w:tcPr>
                <w:p w14:paraId="2C0AA58B">
                  <w:pPr>
                    <w:keepNext w:val="0"/>
                    <w:keepLines w:val="0"/>
                    <w:widowControl/>
                    <w:suppressLineNumbers w:val="0"/>
                    <w:jc w:val="center"/>
                    <w:textAlignment w:val="center"/>
                    <w:rPr>
                      <w:rFonts w:hint="default"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59.5</w:t>
                  </w:r>
                </w:p>
              </w:tc>
              <w:tc>
                <w:tcPr>
                  <w:tcW w:w="235" w:type="pct"/>
                  <w:vMerge w:val="continue"/>
                  <w:tcBorders>
                    <w:tl2br w:val="nil"/>
                    <w:tr2bl w:val="nil"/>
                  </w:tcBorders>
                  <w:vAlign w:val="center"/>
                </w:tcPr>
                <w:p w14:paraId="462A1C67">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r>
            <w:tr w14:paraId="6F07CC9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4" w:type="pct"/>
                  <w:vMerge w:val="restart"/>
                  <w:tcBorders>
                    <w:tl2br w:val="nil"/>
                    <w:tr2bl w:val="nil"/>
                  </w:tcBorders>
                  <w:vAlign w:val="center"/>
                </w:tcPr>
                <w:p w14:paraId="05393CE6">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lang w:val="en-US" w:eastAsia="zh-CN"/>
                    </w:rPr>
                  </w:pPr>
                  <w:r>
                    <w:rPr>
                      <w:rFonts w:hint="eastAsia" w:ascii="Times New Roman" w:hAnsi="Times New Roman" w:cs="Times New Roman"/>
                      <w:color w:val="auto"/>
                      <w:sz w:val="18"/>
                      <w:szCs w:val="18"/>
                      <w:highlight w:val="none"/>
                      <w:u w:val="none" w:color="auto"/>
                      <w:lang w:val="en-US" w:eastAsia="zh-CN"/>
                    </w:rPr>
                    <w:t>11</w:t>
                  </w:r>
                </w:p>
              </w:tc>
              <w:tc>
                <w:tcPr>
                  <w:tcW w:w="234" w:type="pct"/>
                  <w:vMerge w:val="continue"/>
                  <w:tcBorders>
                    <w:tl2br w:val="nil"/>
                    <w:tr2bl w:val="nil"/>
                  </w:tcBorders>
                  <w:vAlign w:val="center"/>
                </w:tcPr>
                <w:p w14:paraId="09A616FB">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393" w:type="pct"/>
                  <w:vMerge w:val="restart"/>
                  <w:tcBorders>
                    <w:tl2br w:val="nil"/>
                    <w:tr2bl w:val="nil"/>
                  </w:tcBorders>
                  <w:vAlign w:val="center"/>
                </w:tcPr>
                <w:p w14:paraId="49797AB9">
                  <w:pPr>
                    <w:jc w:val="center"/>
                    <w:rPr>
                      <w:rFonts w:hint="default" w:ascii="Times New Roman" w:hAnsi="Times New Roman" w:eastAsia="宋体" w:cs="Times New Roman"/>
                      <w:color w:val="auto"/>
                      <w:kern w:val="2"/>
                      <w:sz w:val="18"/>
                      <w:szCs w:val="18"/>
                      <w:highlight w:val="none"/>
                      <w:u w:val="none" w:color="auto"/>
                      <w:lang w:val="en-US" w:eastAsia="zh-CN" w:bidi="ar-SA"/>
                    </w:rPr>
                  </w:pPr>
                  <w:r>
                    <w:rPr>
                      <w:rFonts w:hint="eastAsia" w:cs="Times New Roman"/>
                      <w:color w:val="auto"/>
                      <w:kern w:val="2"/>
                      <w:sz w:val="18"/>
                      <w:szCs w:val="18"/>
                      <w:highlight w:val="none"/>
                      <w:u w:val="none" w:color="auto"/>
                      <w:lang w:val="en-US" w:eastAsia="zh-CN" w:bidi="ar-SA"/>
                    </w:rPr>
                    <w:t>真空包装机</w:t>
                  </w:r>
                </w:p>
              </w:tc>
              <w:tc>
                <w:tcPr>
                  <w:tcW w:w="259" w:type="pct"/>
                  <w:vMerge w:val="restart"/>
                  <w:tcBorders>
                    <w:tl2br w:val="nil"/>
                    <w:tr2bl w:val="nil"/>
                  </w:tcBorders>
                  <w:vAlign w:val="center"/>
                </w:tcPr>
                <w:p w14:paraId="3E33CF54">
                  <w:pPr>
                    <w:pStyle w:val="94"/>
                    <w:spacing w:beforeLines="0" w:afterLines="0" w:line="240" w:lineRule="auto"/>
                    <w:jc w:val="center"/>
                    <w:rPr>
                      <w:rFonts w:hint="default" w:ascii="Times New Roman" w:hAnsi="Times New Roman" w:eastAsia="宋体" w:cs="Times New Roman"/>
                      <w:color w:val="auto"/>
                      <w:kern w:val="0"/>
                      <w:sz w:val="18"/>
                      <w:szCs w:val="18"/>
                      <w:highlight w:val="none"/>
                      <w:u w:val="none" w:color="auto"/>
                      <w:lang w:val="en-US" w:eastAsia="zh-CN" w:bidi="ar-SA"/>
                    </w:rPr>
                  </w:pPr>
                  <w:r>
                    <w:rPr>
                      <w:rFonts w:hint="eastAsia" w:ascii="Times New Roman" w:cs="Times New Roman"/>
                      <w:color w:val="auto"/>
                      <w:kern w:val="0"/>
                      <w:sz w:val="18"/>
                      <w:szCs w:val="18"/>
                      <w:highlight w:val="none"/>
                      <w:u w:val="none" w:color="auto"/>
                      <w:lang w:val="en-US" w:eastAsia="zh-CN" w:bidi="ar-SA"/>
                    </w:rPr>
                    <w:t>4</w:t>
                  </w:r>
                </w:p>
              </w:tc>
              <w:tc>
                <w:tcPr>
                  <w:tcW w:w="477" w:type="pct"/>
                  <w:vMerge w:val="restart"/>
                  <w:tcBorders>
                    <w:tl2br w:val="nil"/>
                    <w:tr2bl w:val="nil"/>
                  </w:tcBorders>
                  <w:vAlign w:val="center"/>
                </w:tcPr>
                <w:p w14:paraId="65B6D09E">
                  <w:pPr>
                    <w:pStyle w:val="94"/>
                    <w:spacing w:before="24" w:after="24"/>
                    <w:jc w:val="center"/>
                    <w:rPr>
                      <w:rFonts w:hint="default" w:ascii="Times New Roman" w:hAnsi="Times New Roman" w:eastAsia="宋体" w:cs="Times New Roman"/>
                      <w:b w:val="0"/>
                      <w:bCs w:val="0"/>
                      <w:color w:val="auto"/>
                      <w:kern w:val="2"/>
                      <w:sz w:val="18"/>
                      <w:szCs w:val="18"/>
                      <w:highlight w:val="none"/>
                      <w:u w:val="none" w:color="auto"/>
                      <w:lang w:val="en-US" w:eastAsia="zh-CN" w:bidi="ar-SA"/>
                    </w:rPr>
                  </w:pPr>
                  <w:r>
                    <w:rPr>
                      <w:rFonts w:hint="eastAsia" w:ascii="Times New Roman" w:cs="Times New Roman"/>
                      <w:color w:val="auto"/>
                      <w:kern w:val="0"/>
                      <w:sz w:val="18"/>
                      <w:szCs w:val="18"/>
                      <w:highlight w:val="none"/>
                      <w:u w:val="none" w:color="auto"/>
                      <w:lang w:val="en-US" w:eastAsia="zh-CN" w:bidi="ar-SA"/>
                    </w:rPr>
                    <w:t>65（等效后71）</w:t>
                  </w:r>
                </w:p>
              </w:tc>
              <w:tc>
                <w:tcPr>
                  <w:tcW w:w="451" w:type="pct"/>
                  <w:vMerge w:val="restart"/>
                  <w:tcBorders>
                    <w:tl2br w:val="nil"/>
                    <w:tr2bl w:val="nil"/>
                  </w:tcBorders>
                  <w:vAlign w:val="center"/>
                </w:tcPr>
                <w:p w14:paraId="70A76402">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r>
                    <w:rPr>
                      <w:rFonts w:hint="default" w:ascii="Times New Roman" w:hAnsi="Times New Roman" w:eastAsia="宋体" w:cs="Times New Roman"/>
                      <w:color w:val="auto"/>
                      <w:sz w:val="18"/>
                      <w:szCs w:val="18"/>
                      <w:highlight w:val="none"/>
                      <w:u w:val="none" w:color="auto"/>
                      <w:lang w:val="en-US" w:eastAsia="zh-CN"/>
                    </w:rPr>
                    <w:t>减振、厂房隔声</w:t>
                  </w:r>
                </w:p>
              </w:tc>
              <w:tc>
                <w:tcPr>
                  <w:tcW w:w="765" w:type="pct"/>
                  <w:vMerge w:val="restart"/>
                  <w:tcBorders>
                    <w:tl2br w:val="nil"/>
                    <w:tr2bl w:val="nil"/>
                  </w:tcBorders>
                  <w:vAlign w:val="center"/>
                </w:tcPr>
                <w:p w14:paraId="11595A15">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lang w:val="en-US" w:eastAsia="zh-CN"/>
                    </w:rPr>
                  </w:pPr>
                  <w:r>
                    <w:rPr>
                      <w:rFonts w:hint="eastAsia" w:ascii="Times New Roman" w:hAnsi="Times New Roman" w:cs="Times New Roman"/>
                      <w:color w:val="auto"/>
                      <w:sz w:val="18"/>
                      <w:szCs w:val="18"/>
                      <w:highlight w:val="none"/>
                      <w:u w:val="none" w:color="auto"/>
                      <w:lang w:val="en-US" w:eastAsia="zh-CN"/>
                    </w:rPr>
                    <w:t>-4.3，-30.6,1.2</w:t>
                  </w:r>
                </w:p>
              </w:tc>
              <w:tc>
                <w:tcPr>
                  <w:tcW w:w="368" w:type="pct"/>
                  <w:tcBorders>
                    <w:tl2br w:val="nil"/>
                    <w:tr2bl w:val="nil"/>
                  </w:tcBorders>
                  <w:vAlign w:val="center"/>
                </w:tcPr>
                <w:p w14:paraId="5DD9F2FE">
                  <w:pPr>
                    <w:keepNext w:val="0"/>
                    <w:keepLines w:val="0"/>
                    <w:widowControl/>
                    <w:suppressLineNumbers w:val="0"/>
                    <w:jc w:val="center"/>
                    <w:textAlignment w:val="center"/>
                    <w:rPr>
                      <w:rFonts w:hint="default"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20.5</w:t>
                  </w:r>
                </w:p>
              </w:tc>
              <w:tc>
                <w:tcPr>
                  <w:tcW w:w="400" w:type="pct"/>
                  <w:tcBorders>
                    <w:tl2br w:val="nil"/>
                    <w:tr2bl w:val="nil"/>
                  </w:tcBorders>
                  <w:vAlign w:val="center"/>
                </w:tcPr>
                <w:p w14:paraId="46D18F17">
                  <w:pPr>
                    <w:keepNext w:val="0"/>
                    <w:keepLines w:val="0"/>
                    <w:widowControl/>
                    <w:suppressLineNumbers w:val="0"/>
                    <w:jc w:val="center"/>
                    <w:textAlignment w:val="center"/>
                    <w:rPr>
                      <w:rFonts w:hint="default"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55.2</w:t>
                  </w:r>
                </w:p>
              </w:tc>
              <w:tc>
                <w:tcPr>
                  <w:tcW w:w="342" w:type="pct"/>
                  <w:vMerge w:val="continue"/>
                  <w:tcBorders>
                    <w:tl2br w:val="nil"/>
                    <w:tr2bl w:val="nil"/>
                  </w:tcBorders>
                  <w:vAlign w:val="center"/>
                </w:tcPr>
                <w:p w14:paraId="3B5AD8D1">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419" w:type="pct"/>
                  <w:tcBorders>
                    <w:tl2br w:val="nil"/>
                    <w:tr2bl w:val="nil"/>
                  </w:tcBorders>
                  <w:vAlign w:val="center"/>
                </w:tcPr>
                <w:p w14:paraId="3614A881">
                  <w:pPr>
                    <w:keepNext w:val="0"/>
                    <w:keepLines w:val="0"/>
                    <w:widowControl/>
                    <w:suppressLineNumbers w:val="0"/>
                    <w:jc w:val="center"/>
                    <w:textAlignment w:val="center"/>
                    <w:rPr>
                      <w:rFonts w:hint="default"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26</w:t>
                  </w:r>
                </w:p>
              </w:tc>
              <w:tc>
                <w:tcPr>
                  <w:tcW w:w="419" w:type="pct"/>
                  <w:tcBorders>
                    <w:tl2br w:val="nil"/>
                    <w:tr2bl w:val="nil"/>
                  </w:tcBorders>
                  <w:vAlign w:val="center"/>
                </w:tcPr>
                <w:p w14:paraId="41BAB4E0">
                  <w:pPr>
                    <w:keepNext w:val="0"/>
                    <w:keepLines w:val="0"/>
                    <w:widowControl/>
                    <w:suppressLineNumbers w:val="0"/>
                    <w:jc w:val="center"/>
                    <w:textAlignment w:val="center"/>
                    <w:rPr>
                      <w:rFonts w:hint="default"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29.2</w:t>
                  </w:r>
                </w:p>
              </w:tc>
              <w:tc>
                <w:tcPr>
                  <w:tcW w:w="235" w:type="pct"/>
                  <w:vMerge w:val="restart"/>
                  <w:tcBorders>
                    <w:tl2br w:val="nil"/>
                    <w:tr2bl w:val="nil"/>
                  </w:tcBorders>
                  <w:vAlign w:val="center"/>
                </w:tcPr>
                <w:p w14:paraId="27373C40">
                  <w:pPr>
                    <w:pStyle w:val="26"/>
                    <w:spacing w:line="240" w:lineRule="auto"/>
                    <w:ind w:firstLine="0" w:firstLineChars="0"/>
                    <w:jc w:val="center"/>
                    <w:rPr>
                      <w:rFonts w:hint="eastAsia" w:ascii="Times New Roman" w:hAnsi="Times New Roman" w:eastAsia="宋体" w:cs="Times New Roman"/>
                      <w:color w:val="auto"/>
                      <w:sz w:val="18"/>
                      <w:szCs w:val="18"/>
                      <w:highlight w:val="none"/>
                      <w:u w:val="none" w:color="auto"/>
                      <w:lang w:val="en-US" w:eastAsia="zh-CN"/>
                    </w:rPr>
                  </w:pPr>
                  <w:r>
                    <w:rPr>
                      <w:rFonts w:hint="eastAsia" w:ascii="Times New Roman" w:hAnsi="Times New Roman" w:cs="Times New Roman"/>
                      <w:color w:val="auto"/>
                      <w:sz w:val="18"/>
                      <w:szCs w:val="18"/>
                      <w:highlight w:val="none"/>
                      <w:u w:val="none" w:color="auto"/>
                      <w:lang w:val="en-US" w:eastAsia="zh-CN"/>
                    </w:rPr>
                    <w:t>1</w:t>
                  </w:r>
                </w:p>
              </w:tc>
            </w:tr>
            <w:tr w14:paraId="6169E0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4" w:type="pct"/>
                  <w:vMerge w:val="continue"/>
                  <w:tcBorders>
                    <w:tl2br w:val="nil"/>
                    <w:tr2bl w:val="nil"/>
                  </w:tcBorders>
                  <w:vAlign w:val="center"/>
                </w:tcPr>
                <w:p w14:paraId="7B70EC12">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234" w:type="pct"/>
                  <w:vMerge w:val="continue"/>
                  <w:tcBorders>
                    <w:tl2br w:val="nil"/>
                    <w:tr2bl w:val="nil"/>
                  </w:tcBorders>
                  <w:vAlign w:val="center"/>
                </w:tcPr>
                <w:p w14:paraId="11656438">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393" w:type="pct"/>
                  <w:vMerge w:val="continue"/>
                  <w:tcBorders>
                    <w:tl2br w:val="nil"/>
                    <w:tr2bl w:val="nil"/>
                  </w:tcBorders>
                  <w:vAlign w:val="center"/>
                </w:tcPr>
                <w:p w14:paraId="76E6E3D5">
                  <w:pPr>
                    <w:jc w:val="center"/>
                    <w:rPr>
                      <w:rFonts w:hint="default" w:ascii="Times New Roman" w:hAnsi="Times New Roman" w:eastAsia="宋体" w:cs="Times New Roman"/>
                      <w:color w:val="auto"/>
                      <w:kern w:val="2"/>
                      <w:sz w:val="18"/>
                      <w:szCs w:val="18"/>
                      <w:highlight w:val="none"/>
                      <w:u w:val="none" w:color="auto"/>
                      <w:lang w:val="en-US" w:eastAsia="zh-CN" w:bidi="ar-SA"/>
                    </w:rPr>
                  </w:pPr>
                </w:p>
              </w:tc>
              <w:tc>
                <w:tcPr>
                  <w:tcW w:w="259" w:type="pct"/>
                  <w:vMerge w:val="continue"/>
                  <w:tcBorders>
                    <w:tl2br w:val="nil"/>
                    <w:tr2bl w:val="nil"/>
                  </w:tcBorders>
                  <w:vAlign w:val="center"/>
                </w:tcPr>
                <w:p w14:paraId="773BDBDC">
                  <w:pPr>
                    <w:pStyle w:val="94"/>
                    <w:spacing w:beforeLines="0" w:afterLines="0" w:line="240" w:lineRule="auto"/>
                    <w:jc w:val="center"/>
                    <w:rPr>
                      <w:rFonts w:hint="default" w:ascii="Times New Roman" w:hAnsi="Times New Roman" w:eastAsia="宋体" w:cs="Times New Roman"/>
                      <w:color w:val="auto"/>
                      <w:kern w:val="0"/>
                      <w:sz w:val="18"/>
                      <w:szCs w:val="18"/>
                      <w:highlight w:val="none"/>
                      <w:u w:val="none" w:color="auto"/>
                      <w:lang w:val="en-US" w:eastAsia="zh-CN" w:bidi="ar-SA"/>
                    </w:rPr>
                  </w:pPr>
                </w:p>
              </w:tc>
              <w:tc>
                <w:tcPr>
                  <w:tcW w:w="477" w:type="pct"/>
                  <w:vMerge w:val="continue"/>
                  <w:tcBorders>
                    <w:tl2br w:val="nil"/>
                    <w:tr2bl w:val="nil"/>
                  </w:tcBorders>
                  <w:vAlign w:val="center"/>
                </w:tcPr>
                <w:p w14:paraId="08D55E04">
                  <w:pPr>
                    <w:pStyle w:val="94"/>
                    <w:spacing w:before="24" w:after="24"/>
                    <w:jc w:val="center"/>
                    <w:rPr>
                      <w:rFonts w:hint="default" w:ascii="Times New Roman" w:hAnsi="Times New Roman" w:eastAsia="宋体" w:cs="Times New Roman"/>
                      <w:b w:val="0"/>
                      <w:bCs w:val="0"/>
                      <w:color w:val="auto"/>
                      <w:kern w:val="2"/>
                      <w:sz w:val="18"/>
                      <w:szCs w:val="18"/>
                      <w:highlight w:val="none"/>
                      <w:u w:val="none" w:color="auto"/>
                      <w:lang w:val="en-US" w:eastAsia="zh-CN" w:bidi="ar-SA"/>
                    </w:rPr>
                  </w:pPr>
                </w:p>
              </w:tc>
              <w:tc>
                <w:tcPr>
                  <w:tcW w:w="451" w:type="pct"/>
                  <w:vMerge w:val="continue"/>
                  <w:tcBorders>
                    <w:tl2br w:val="nil"/>
                    <w:tr2bl w:val="nil"/>
                  </w:tcBorders>
                  <w:vAlign w:val="center"/>
                </w:tcPr>
                <w:p w14:paraId="14A4C410">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765" w:type="pct"/>
                  <w:vMerge w:val="continue"/>
                  <w:tcBorders>
                    <w:tl2br w:val="nil"/>
                    <w:tr2bl w:val="nil"/>
                  </w:tcBorders>
                  <w:vAlign w:val="center"/>
                </w:tcPr>
                <w:p w14:paraId="21565531">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lang w:val="en-US" w:eastAsia="zh-CN"/>
                    </w:rPr>
                  </w:pPr>
                </w:p>
              </w:tc>
              <w:tc>
                <w:tcPr>
                  <w:tcW w:w="368" w:type="pct"/>
                  <w:tcBorders>
                    <w:tl2br w:val="nil"/>
                    <w:tr2bl w:val="nil"/>
                  </w:tcBorders>
                  <w:vAlign w:val="center"/>
                </w:tcPr>
                <w:p w14:paraId="272B881F">
                  <w:pPr>
                    <w:keepNext w:val="0"/>
                    <w:keepLines w:val="0"/>
                    <w:widowControl/>
                    <w:suppressLineNumbers w:val="0"/>
                    <w:jc w:val="center"/>
                    <w:textAlignment w:val="center"/>
                    <w:rPr>
                      <w:rFonts w:hint="default"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11.8</w:t>
                  </w:r>
                </w:p>
              </w:tc>
              <w:tc>
                <w:tcPr>
                  <w:tcW w:w="400" w:type="pct"/>
                  <w:tcBorders>
                    <w:tl2br w:val="nil"/>
                    <w:tr2bl w:val="nil"/>
                  </w:tcBorders>
                  <w:vAlign w:val="center"/>
                </w:tcPr>
                <w:p w14:paraId="071102EC">
                  <w:pPr>
                    <w:keepNext w:val="0"/>
                    <w:keepLines w:val="0"/>
                    <w:widowControl/>
                    <w:suppressLineNumbers w:val="0"/>
                    <w:jc w:val="center"/>
                    <w:textAlignment w:val="center"/>
                    <w:rPr>
                      <w:rFonts w:hint="default"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55.3</w:t>
                  </w:r>
                </w:p>
              </w:tc>
              <w:tc>
                <w:tcPr>
                  <w:tcW w:w="342" w:type="pct"/>
                  <w:vMerge w:val="continue"/>
                  <w:tcBorders>
                    <w:tl2br w:val="nil"/>
                    <w:tr2bl w:val="nil"/>
                  </w:tcBorders>
                  <w:vAlign w:val="center"/>
                </w:tcPr>
                <w:p w14:paraId="4FB15423">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419" w:type="pct"/>
                  <w:tcBorders>
                    <w:tl2br w:val="nil"/>
                    <w:tr2bl w:val="nil"/>
                  </w:tcBorders>
                  <w:vAlign w:val="center"/>
                </w:tcPr>
                <w:p w14:paraId="7E24FCDC">
                  <w:pPr>
                    <w:keepNext w:val="0"/>
                    <w:keepLines w:val="0"/>
                    <w:widowControl/>
                    <w:suppressLineNumbers w:val="0"/>
                    <w:jc w:val="center"/>
                    <w:textAlignment w:val="center"/>
                    <w:rPr>
                      <w:rFonts w:hint="default"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16</w:t>
                  </w:r>
                </w:p>
              </w:tc>
              <w:tc>
                <w:tcPr>
                  <w:tcW w:w="419" w:type="pct"/>
                  <w:tcBorders>
                    <w:tl2br w:val="nil"/>
                    <w:tr2bl w:val="nil"/>
                  </w:tcBorders>
                  <w:vAlign w:val="center"/>
                </w:tcPr>
                <w:p w14:paraId="66155B5B">
                  <w:pPr>
                    <w:keepNext w:val="0"/>
                    <w:keepLines w:val="0"/>
                    <w:widowControl/>
                    <w:suppressLineNumbers w:val="0"/>
                    <w:jc w:val="center"/>
                    <w:textAlignment w:val="center"/>
                    <w:rPr>
                      <w:rFonts w:hint="default"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39.3</w:t>
                  </w:r>
                </w:p>
              </w:tc>
              <w:tc>
                <w:tcPr>
                  <w:tcW w:w="235" w:type="pct"/>
                  <w:vMerge w:val="continue"/>
                  <w:tcBorders>
                    <w:tl2br w:val="nil"/>
                    <w:tr2bl w:val="nil"/>
                  </w:tcBorders>
                  <w:vAlign w:val="center"/>
                </w:tcPr>
                <w:p w14:paraId="18E5660B">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r>
            <w:tr w14:paraId="3EA102A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4" w:type="pct"/>
                  <w:vMerge w:val="continue"/>
                  <w:tcBorders>
                    <w:tl2br w:val="nil"/>
                    <w:tr2bl w:val="nil"/>
                  </w:tcBorders>
                  <w:vAlign w:val="center"/>
                </w:tcPr>
                <w:p w14:paraId="677C3A31">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234" w:type="pct"/>
                  <w:vMerge w:val="continue"/>
                  <w:tcBorders>
                    <w:tl2br w:val="nil"/>
                    <w:tr2bl w:val="nil"/>
                  </w:tcBorders>
                  <w:vAlign w:val="center"/>
                </w:tcPr>
                <w:p w14:paraId="3A245595">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393" w:type="pct"/>
                  <w:vMerge w:val="continue"/>
                  <w:tcBorders>
                    <w:tl2br w:val="nil"/>
                    <w:tr2bl w:val="nil"/>
                  </w:tcBorders>
                  <w:vAlign w:val="center"/>
                </w:tcPr>
                <w:p w14:paraId="16D7704E">
                  <w:pPr>
                    <w:jc w:val="center"/>
                    <w:rPr>
                      <w:rFonts w:hint="default" w:ascii="Times New Roman" w:hAnsi="Times New Roman" w:eastAsia="宋体" w:cs="Times New Roman"/>
                      <w:color w:val="auto"/>
                      <w:kern w:val="2"/>
                      <w:sz w:val="18"/>
                      <w:szCs w:val="18"/>
                      <w:highlight w:val="none"/>
                      <w:u w:val="none" w:color="auto"/>
                      <w:lang w:val="en-US" w:eastAsia="zh-CN" w:bidi="ar-SA"/>
                    </w:rPr>
                  </w:pPr>
                </w:p>
              </w:tc>
              <w:tc>
                <w:tcPr>
                  <w:tcW w:w="259" w:type="pct"/>
                  <w:vMerge w:val="continue"/>
                  <w:tcBorders>
                    <w:tl2br w:val="nil"/>
                    <w:tr2bl w:val="nil"/>
                  </w:tcBorders>
                  <w:vAlign w:val="center"/>
                </w:tcPr>
                <w:p w14:paraId="40E7C47D">
                  <w:pPr>
                    <w:pStyle w:val="94"/>
                    <w:spacing w:beforeLines="0" w:afterLines="0" w:line="240" w:lineRule="auto"/>
                    <w:jc w:val="center"/>
                    <w:rPr>
                      <w:rFonts w:hint="default" w:ascii="Times New Roman" w:hAnsi="Times New Roman" w:eastAsia="宋体" w:cs="Times New Roman"/>
                      <w:color w:val="auto"/>
                      <w:kern w:val="0"/>
                      <w:sz w:val="18"/>
                      <w:szCs w:val="18"/>
                      <w:highlight w:val="none"/>
                      <w:u w:val="none" w:color="auto"/>
                      <w:lang w:val="en-US" w:eastAsia="zh-CN" w:bidi="ar-SA"/>
                    </w:rPr>
                  </w:pPr>
                </w:p>
              </w:tc>
              <w:tc>
                <w:tcPr>
                  <w:tcW w:w="477" w:type="pct"/>
                  <w:vMerge w:val="continue"/>
                  <w:tcBorders>
                    <w:tl2br w:val="nil"/>
                    <w:tr2bl w:val="nil"/>
                  </w:tcBorders>
                  <w:vAlign w:val="center"/>
                </w:tcPr>
                <w:p w14:paraId="343A68E5">
                  <w:pPr>
                    <w:pStyle w:val="94"/>
                    <w:spacing w:before="24" w:after="24"/>
                    <w:jc w:val="center"/>
                    <w:rPr>
                      <w:rFonts w:hint="default" w:ascii="Times New Roman" w:hAnsi="Times New Roman" w:eastAsia="宋体" w:cs="Times New Roman"/>
                      <w:b w:val="0"/>
                      <w:bCs w:val="0"/>
                      <w:color w:val="auto"/>
                      <w:kern w:val="2"/>
                      <w:sz w:val="18"/>
                      <w:szCs w:val="18"/>
                      <w:highlight w:val="none"/>
                      <w:u w:val="none" w:color="auto"/>
                      <w:lang w:val="en-US" w:eastAsia="zh-CN" w:bidi="ar-SA"/>
                    </w:rPr>
                  </w:pPr>
                </w:p>
              </w:tc>
              <w:tc>
                <w:tcPr>
                  <w:tcW w:w="451" w:type="pct"/>
                  <w:vMerge w:val="continue"/>
                  <w:tcBorders>
                    <w:tl2br w:val="nil"/>
                    <w:tr2bl w:val="nil"/>
                  </w:tcBorders>
                  <w:vAlign w:val="center"/>
                </w:tcPr>
                <w:p w14:paraId="0AFBA789">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765" w:type="pct"/>
                  <w:vMerge w:val="continue"/>
                  <w:tcBorders>
                    <w:tl2br w:val="nil"/>
                    <w:tr2bl w:val="nil"/>
                  </w:tcBorders>
                  <w:vAlign w:val="center"/>
                </w:tcPr>
                <w:p w14:paraId="5A97101F">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lang w:val="en-US" w:eastAsia="zh-CN"/>
                    </w:rPr>
                  </w:pPr>
                </w:p>
              </w:tc>
              <w:tc>
                <w:tcPr>
                  <w:tcW w:w="368" w:type="pct"/>
                  <w:tcBorders>
                    <w:tl2br w:val="nil"/>
                    <w:tr2bl w:val="nil"/>
                  </w:tcBorders>
                  <w:vAlign w:val="center"/>
                </w:tcPr>
                <w:p w14:paraId="21C4FE08">
                  <w:pPr>
                    <w:keepNext w:val="0"/>
                    <w:keepLines w:val="0"/>
                    <w:widowControl/>
                    <w:suppressLineNumbers w:val="0"/>
                    <w:jc w:val="center"/>
                    <w:textAlignment w:val="center"/>
                    <w:rPr>
                      <w:rFonts w:hint="default"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72.4</w:t>
                  </w:r>
                </w:p>
              </w:tc>
              <w:tc>
                <w:tcPr>
                  <w:tcW w:w="400" w:type="pct"/>
                  <w:tcBorders>
                    <w:tl2br w:val="nil"/>
                    <w:tr2bl w:val="nil"/>
                  </w:tcBorders>
                  <w:vAlign w:val="center"/>
                </w:tcPr>
                <w:p w14:paraId="6E9C9853">
                  <w:pPr>
                    <w:keepNext w:val="0"/>
                    <w:keepLines w:val="0"/>
                    <w:widowControl/>
                    <w:suppressLineNumbers w:val="0"/>
                    <w:jc w:val="center"/>
                    <w:textAlignment w:val="center"/>
                    <w:rPr>
                      <w:rFonts w:hint="default"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55.2</w:t>
                  </w:r>
                </w:p>
              </w:tc>
              <w:tc>
                <w:tcPr>
                  <w:tcW w:w="342" w:type="pct"/>
                  <w:vMerge w:val="continue"/>
                  <w:tcBorders>
                    <w:tl2br w:val="nil"/>
                    <w:tr2bl w:val="nil"/>
                  </w:tcBorders>
                  <w:vAlign w:val="center"/>
                </w:tcPr>
                <w:p w14:paraId="6B2CC56B">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419" w:type="pct"/>
                  <w:tcBorders>
                    <w:tl2br w:val="nil"/>
                    <w:tr2bl w:val="nil"/>
                  </w:tcBorders>
                  <w:vAlign w:val="center"/>
                </w:tcPr>
                <w:p w14:paraId="3A3BFEF9">
                  <w:pPr>
                    <w:keepNext w:val="0"/>
                    <w:keepLines w:val="0"/>
                    <w:widowControl/>
                    <w:suppressLineNumbers w:val="0"/>
                    <w:jc w:val="center"/>
                    <w:textAlignment w:val="center"/>
                    <w:rPr>
                      <w:rFonts w:hint="default"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26</w:t>
                  </w:r>
                </w:p>
              </w:tc>
              <w:tc>
                <w:tcPr>
                  <w:tcW w:w="419" w:type="pct"/>
                  <w:tcBorders>
                    <w:tl2br w:val="nil"/>
                    <w:tr2bl w:val="nil"/>
                  </w:tcBorders>
                  <w:vAlign w:val="center"/>
                </w:tcPr>
                <w:p w14:paraId="7F7B9679">
                  <w:pPr>
                    <w:keepNext w:val="0"/>
                    <w:keepLines w:val="0"/>
                    <w:widowControl/>
                    <w:suppressLineNumbers w:val="0"/>
                    <w:jc w:val="center"/>
                    <w:textAlignment w:val="center"/>
                    <w:rPr>
                      <w:rFonts w:hint="default"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29.2</w:t>
                  </w:r>
                </w:p>
              </w:tc>
              <w:tc>
                <w:tcPr>
                  <w:tcW w:w="235" w:type="pct"/>
                  <w:vMerge w:val="continue"/>
                  <w:tcBorders>
                    <w:tl2br w:val="nil"/>
                    <w:tr2bl w:val="nil"/>
                  </w:tcBorders>
                  <w:vAlign w:val="center"/>
                </w:tcPr>
                <w:p w14:paraId="17A7EAAE">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r>
            <w:tr w14:paraId="4229405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4" w:type="pct"/>
                  <w:vMerge w:val="continue"/>
                  <w:tcBorders>
                    <w:tl2br w:val="nil"/>
                    <w:tr2bl w:val="nil"/>
                  </w:tcBorders>
                  <w:vAlign w:val="center"/>
                </w:tcPr>
                <w:p w14:paraId="09FD2F67">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234" w:type="pct"/>
                  <w:vMerge w:val="continue"/>
                  <w:tcBorders>
                    <w:tl2br w:val="nil"/>
                    <w:tr2bl w:val="nil"/>
                  </w:tcBorders>
                  <w:vAlign w:val="center"/>
                </w:tcPr>
                <w:p w14:paraId="5B13A5E8">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393" w:type="pct"/>
                  <w:vMerge w:val="continue"/>
                  <w:tcBorders>
                    <w:tl2br w:val="nil"/>
                    <w:tr2bl w:val="nil"/>
                  </w:tcBorders>
                  <w:vAlign w:val="center"/>
                </w:tcPr>
                <w:p w14:paraId="553AC032">
                  <w:pPr>
                    <w:jc w:val="center"/>
                    <w:rPr>
                      <w:rFonts w:hint="default" w:ascii="Times New Roman" w:hAnsi="Times New Roman" w:eastAsia="宋体" w:cs="Times New Roman"/>
                      <w:color w:val="auto"/>
                      <w:kern w:val="2"/>
                      <w:sz w:val="18"/>
                      <w:szCs w:val="18"/>
                      <w:highlight w:val="none"/>
                      <w:u w:val="none" w:color="auto"/>
                      <w:lang w:val="en-US" w:eastAsia="zh-CN" w:bidi="ar-SA"/>
                    </w:rPr>
                  </w:pPr>
                </w:p>
              </w:tc>
              <w:tc>
                <w:tcPr>
                  <w:tcW w:w="259" w:type="pct"/>
                  <w:vMerge w:val="continue"/>
                  <w:tcBorders>
                    <w:tl2br w:val="nil"/>
                    <w:tr2bl w:val="nil"/>
                  </w:tcBorders>
                  <w:vAlign w:val="center"/>
                </w:tcPr>
                <w:p w14:paraId="7D62D49F">
                  <w:pPr>
                    <w:pStyle w:val="94"/>
                    <w:spacing w:beforeLines="0" w:afterLines="0" w:line="240" w:lineRule="auto"/>
                    <w:jc w:val="center"/>
                    <w:rPr>
                      <w:rFonts w:hint="default" w:ascii="Times New Roman" w:hAnsi="Times New Roman" w:eastAsia="宋体" w:cs="Times New Roman"/>
                      <w:color w:val="auto"/>
                      <w:kern w:val="0"/>
                      <w:sz w:val="18"/>
                      <w:szCs w:val="18"/>
                      <w:highlight w:val="none"/>
                      <w:u w:val="none" w:color="auto"/>
                      <w:lang w:val="en-US" w:eastAsia="zh-CN" w:bidi="ar-SA"/>
                    </w:rPr>
                  </w:pPr>
                </w:p>
              </w:tc>
              <w:tc>
                <w:tcPr>
                  <w:tcW w:w="477" w:type="pct"/>
                  <w:vMerge w:val="continue"/>
                  <w:tcBorders>
                    <w:tl2br w:val="nil"/>
                    <w:tr2bl w:val="nil"/>
                  </w:tcBorders>
                  <w:vAlign w:val="center"/>
                </w:tcPr>
                <w:p w14:paraId="1BDCAD54">
                  <w:pPr>
                    <w:pStyle w:val="94"/>
                    <w:spacing w:before="24" w:after="24"/>
                    <w:jc w:val="center"/>
                    <w:rPr>
                      <w:rFonts w:hint="default" w:ascii="Times New Roman" w:hAnsi="Times New Roman" w:eastAsia="宋体" w:cs="Times New Roman"/>
                      <w:b w:val="0"/>
                      <w:bCs w:val="0"/>
                      <w:color w:val="auto"/>
                      <w:kern w:val="2"/>
                      <w:sz w:val="18"/>
                      <w:szCs w:val="18"/>
                      <w:highlight w:val="none"/>
                      <w:u w:val="none" w:color="auto"/>
                      <w:lang w:val="en-US" w:eastAsia="zh-CN" w:bidi="ar-SA"/>
                    </w:rPr>
                  </w:pPr>
                </w:p>
              </w:tc>
              <w:tc>
                <w:tcPr>
                  <w:tcW w:w="451" w:type="pct"/>
                  <w:vMerge w:val="continue"/>
                  <w:tcBorders>
                    <w:tl2br w:val="nil"/>
                    <w:tr2bl w:val="nil"/>
                  </w:tcBorders>
                  <w:vAlign w:val="center"/>
                </w:tcPr>
                <w:p w14:paraId="256D056E">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765" w:type="pct"/>
                  <w:vMerge w:val="continue"/>
                  <w:tcBorders>
                    <w:tl2br w:val="nil"/>
                    <w:tr2bl w:val="nil"/>
                  </w:tcBorders>
                  <w:vAlign w:val="center"/>
                </w:tcPr>
                <w:p w14:paraId="279B1801">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lang w:val="en-US" w:eastAsia="zh-CN"/>
                    </w:rPr>
                  </w:pPr>
                </w:p>
              </w:tc>
              <w:tc>
                <w:tcPr>
                  <w:tcW w:w="368" w:type="pct"/>
                  <w:tcBorders>
                    <w:tl2br w:val="nil"/>
                    <w:tr2bl w:val="nil"/>
                  </w:tcBorders>
                  <w:vAlign w:val="center"/>
                </w:tcPr>
                <w:p w14:paraId="2697C990">
                  <w:pPr>
                    <w:keepNext w:val="0"/>
                    <w:keepLines w:val="0"/>
                    <w:widowControl/>
                    <w:suppressLineNumbers w:val="0"/>
                    <w:jc w:val="center"/>
                    <w:textAlignment w:val="center"/>
                    <w:rPr>
                      <w:rFonts w:hint="default"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14.9</w:t>
                  </w:r>
                </w:p>
              </w:tc>
              <w:tc>
                <w:tcPr>
                  <w:tcW w:w="400" w:type="pct"/>
                  <w:tcBorders>
                    <w:tl2br w:val="nil"/>
                    <w:tr2bl w:val="nil"/>
                  </w:tcBorders>
                  <w:vAlign w:val="center"/>
                </w:tcPr>
                <w:p w14:paraId="63F836E8">
                  <w:pPr>
                    <w:keepNext w:val="0"/>
                    <w:keepLines w:val="0"/>
                    <w:widowControl/>
                    <w:suppressLineNumbers w:val="0"/>
                    <w:jc w:val="center"/>
                    <w:textAlignment w:val="center"/>
                    <w:rPr>
                      <w:rFonts w:hint="default"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55.2</w:t>
                  </w:r>
                </w:p>
              </w:tc>
              <w:tc>
                <w:tcPr>
                  <w:tcW w:w="342" w:type="pct"/>
                  <w:vMerge w:val="continue"/>
                  <w:tcBorders>
                    <w:tl2br w:val="nil"/>
                    <w:tr2bl w:val="nil"/>
                  </w:tcBorders>
                  <w:vAlign w:val="center"/>
                </w:tcPr>
                <w:p w14:paraId="4A95B929">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419" w:type="pct"/>
                  <w:tcBorders>
                    <w:tl2br w:val="nil"/>
                    <w:tr2bl w:val="nil"/>
                  </w:tcBorders>
                  <w:vAlign w:val="center"/>
                </w:tcPr>
                <w:p w14:paraId="2E815D02">
                  <w:pPr>
                    <w:keepNext w:val="0"/>
                    <w:keepLines w:val="0"/>
                    <w:widowControl/>
                    <w:suppressLineNumbers w:val="0"/>
                    <w:jc w:val="center"/>
                    <w:textAlignment w:val="center"/>
                    <w:rPr>
                      <w:rFonts w:hint="default"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16</w:t>
                  </w:r>
                </w:p>
              </w:tc>
              <w:tc>
                <w:tcPr>
                  <w:tcW w:w="419" w:type="pct"/>
                  <w:tcBorders>
                    <w:tl2br w:val="nil"/>
                    <w:tr2bl w:val="nil"/>
                  </w:tcBorders>
                  <w:vAlign w:val="center"/>
                </w:tcPr>
                <w:p w14:paraId="7DBF6A8D">
                  <w:pPr>
                    <w:keepNext w:val="0"/>
                    <w:keepLines w:val="0"/>
                    <w:widowControl/>
                    <w:suppressLineNumbers w:val="0"/>
                    <w:jc w:val="center"/>
                    <w:textAlignment w:val="center"/>
                    <w:rPr>
                      <w:rFonts w:hint="default"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39.2</w:t>
                  </w:r>
                </w:p>
              </w:tc>
              <w:tc>
                <w:tcPr>
                  <w:tcW w:w="235" w:type="pct"/>
                  <w:vMerge w:val="continue"/>
                  <w:tcBorders>
                    <w:tl2br w:val="nil"/>
                    <w:tr2bl w:val="nil"/>
                  </w:tcBorders>
                  <w:vAlign w:val="center"/>
                </w:tcPr>
                <w:p w14:paraId="2CBEDE38">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r>
            <w:tr w14:paraId="24C3444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4" w:type="pct"/>
                  <w:vMerge w:val="restart"/>
                  <w:tcBorders>
                    <w:tl2br w:val="nil"/>
                    <w:tr2bl w:val="nil"/>
                  </w:tcBorders>
                  <w:vAlign w:val="center"/>
                </w:tcPr>
                <w:p w14:paraId="3460E6A4">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lang w:val="en-US" w:eastAsia="zh-CN"/>
                    </w:rPr>
                  </w:pPr>
                  <w:r>
                    <w:rPr>
                      <w:rFonts w:hint="eastAsia" w:ascii="Times New Roman" w:hAnsi="Times New Roman" w:cs="Times New Roman"/>
                      <w:color w:val="auto"/>
                      <w:sz w:val="18"/>
                      <w:szCs w:val="18"/>
                      <w:highlight w:val="none"/>
                      <w:u w:val="none" w:color="auto"/>
                      <w:lang w:val="en-US" w:eastAsia="zh-CN"/>
                    </w:rPr>
                    <w:t>12</w:t>
                  </w:r>
                </w:p>
              </w:tc>
              <w:tc>
                <w:tcPr>
                  <w:tcW w:w="234" w:type="pct"/>
                  <w:vMerge w:val="restart"/>
                  <w:tcBorders>
                    <w:tl2br w:val="nil"/>
                    <w:tr2bl w:val="nil"/>
                  </w:tcBorders>
                  <w:vAlign w:val="center"/>
                </w:tcPr>
                <w:p w14:paraId="0E44858A">
                  <w:pPr>
                    <w:pStyle w:val="26"/>
                    <w:spacing w:line="240" w:lineRule="auto"/>
                    <w:ind w:firstLine="0" w:firstLineChars="0"/>
                    <w:jc w:val="center"/>
                    <w:rPr>
                      <w:rFonts w:hint="eastAsia" w:ascii="Times New Roman" w:hAnsi="Times New Roman" w:eastAsia="宋体" w:cs="Times New Roman"/>
                      <w:color w:val="auto"/>
                      <w:sz w:val="18"/>
                      <w:szCs w:val="18"/>
                      <w:highlight w:val="none"/>
                      <w:u w:val="none" w:color="auto"/>
                      <w:lang w:eastAsia="zh-CN"/>
                    </w:rPr>
                  </w:pPr>
                  <w:r>
                    <w:rPr>
                      <w:rFonts w:hint="eastAsia" w:ascii="Times New Roman" w:hAnsi="Times New Roman" w:cs="Times New Roman"/>
                      <w:color w:val="auto"/>
                      <w:sz w:val="18"/>
                      <w:szCs w:val="18"/>
                      <w:highlight w:val="none"/>
                      <w:u w:val="none" w:color="auto"/>
                      <w:lang w:eastAsia="zh-CN"/>
                    </w:rPr>
                    <w:t>锅炉房</w:t>
                  </w:r>
                </w:p>
              </w:tc>
              <w:tc>
                <w:tcPr>
                  <w:tcW w:w="393" w:type="pct"/>
                  <w:vMerge w:val="restart"/>
                  <w:tcBorders>
                    <w:tl2br w:val="nil"/>
                    <w:tr2bl w:val="nil"/>
                  </w:tcBorders>
                  <w:vAlign w:val="center"/>
                </w:tcPr>
                <w:p w14:paraId="30A99898">
                  <w:pPr>
                    <w:jc w:val="center"/>
                    <w:rPr>
                      <w:rFonts w:hint="default" w:ascii="Times New Roman" w:hAnsi="Times New Roman" w:eastAsia="宋体" w:cs="Times New Roman"/>
                      <w:color w:val="auto"/>
                      <w:kern w:val="2"/>
                      <w:sz w:val="18"/>
                      <w:szCs w:val="18"/>
                      <w:highlight w:val="none"/>
                      <w:u w:val="none" w:color="auto"/>
                      <w:lang w:val="en-US" w:eastAsia="zh-CN" w:bidi="ar-SA"/>
                    </w:rPr>
                  </w:pPr>
                  <w:r>
                    <w:rPr>
                      <w:rFonts w:hint="eastAsia" w:cs="Times New Roman"/>
                      <w:color w:val="auto"/>
                      <w:kern w:val="2"/>
                      <w:sz w:val="18"/>
                      <w:szCs w:val="18"/>
                      <w:highlight w:val="none"/>
                      <w:u w:val="none" w:color="auto"/>
                      <w:lang w:val="en-US" w:eastAsia="zh-CN" w:bidi="ar-SA"/>
                    </w:rPr>
                    <w:t>2.2t/h蒸汽发生器</w:t>
                  </w:r>
                </w:p>
              </w:tc>
              <w:tc>
                <w:tcPr>
                  <w:tcW w:w="259" w:type="pct"/>
                  <w:vMerge w:val="restart"/>
                  <w:tcBorders>
                    <w:tl2br w:val="nil"/>
                    <w:tr2bl w:val="nil"/>
                  </w:tcBorders>
                  <w:vAlign w:val="center"/>
                </w:tcPr>
                <w:p w14:paraId="4B080420">
                  <w:pPr>
                    <w:pStyle w:val="94"/>
                    <w:spacing w:beforeLines="0" w:afterLines="0" w:line="240" w:lineRule="auto"/>
                    <w:jc w:val="center"/>
                    <w:rPr>
                      <w:rFonts w:hint="default" w:ascii="Times New Roman" w:hAnsi="Times New Roman" w:eastAsia="宋体" w:cs="Times New Roman"/>
                      <w:color w:val="auto"/>
                      <w:kern w:val="0"/>
                      <w:sz w:val="18"/>
                      <w:szCs w:val="18"/>
                      <w:highlight w:val="none"/>
                      <w:u w:val="none" w:color="auto"/>
                      <w:lang w:val="en-US" w:eastAsia="zh-CN" w:bidi="ar-SA"/>
                    </w:rPr>
                  </w:pPr>
                  <w:r>
                    <w:rPr>
                      <w:rFonts w:hint="eastAsia" w:ascii="Times New Roman" w:cs="Times New Roman"/>
                      <w:color w:val="auto"/>
                      <w:kern w:val="0"/>
                      <w:sz w:val="18"/>
                      <w:szCs w:val="18"/>
                      <w:highlight w:val="none"/>
                      <w:u w:val="none" w:color="auto"/>
                      <w:lang w:val="en-US" w:eastAsia="zh-CN" w:bidi="ar-SA"/>
                    </w:rPr>
                    <w:t>1</w:t>
                  </w:r>
                </w:p>
              </w:tc>
              <w:tc>
                <w:tcPr>
                  <w:tcW w:w="477" w:type="pct"/>
                  <w:vMerge w:val="restart"/>
                  <w:tcBorders>
                    <w:tl2br w:val="nil"/>
                    <w:tr2bl w:val="nil"/>
                  </w:tcBorders>
                  <w:vAlign w:val="center"/>
                </w:tcPr>
                <w:p w14:paraId="4517924F">
                  <w:pPr>
                    <w:pStyle w:val="94"/>
                    <w:spacing w:before="24" w:after="24"/>
                    <w:jc w:val="center"/>
                    <w:rPr>
                      <w:rFonts w:hint="default" w:ascii="Times New Roman" w:hAnsi="Times New Roman" w:eastAsia="宋体" w:cs="Times New Roman"/>
                      <w:b w:val="0"/>
                      <w:bCs w:val="0"/>
                      <w:color w:val="auto"/>
                      <w:kern w:val="2"/>
                      <w:sz w:val="18"/>
                      <w:szCs w:val="18"/>
                      <w:highlight w:val="none"/>
                      <w:u w:val="none" w:color="auto"/>
                      <w:lang w:val="en-US" w:eastAsia="zh-CN" w:bidi="ar-SA"/>
                    </w:rPr>
                  </w:pPr>
                  <w:r>
                    <w:rPr>
                      <w:rFonts w:hint="eastAsia" w:ascii="Times New Roman" w:cs="Times New Roman"/>
                      <w:color w:val="auto"/>
                      <w:kern w:val="0"/>
                      <w:sz w:val="18"/>
                      <w:szCs w:val="18"/>
                      <w:highlight w:val="none"/>
                      <w:u w:val="none" w:color="auto"/>
                      <w:lang w:val="en-US" w:eastAsia="zh-CN" w:bidi="ar-SA"/>
                    </w:rPr>
                    <w:t>90</w:t>
                  </w:r>
                </w:p>
              </w:tc>
              <w:tc>
                <w:tcPr>
                  <w:tcW w:w="451" w:type="pct"/>
                  <w:vMerge w:val="restart"/>
                  <w:tcBorders>
                    <w:tl2br w:val="nil"/>
                    <w:tr2bl w:val="nil"/>
                  </w:tcBorders>
                  <w:vAlign w:val="center"/>
                </w:tcPr>
                <w:p w14:paraId="4AC1C290">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r>
                    <w:rPr>
                      <w:rFonts w:hint="default" w:ascii="Times New Roman" w:hAnsi="Times New Roman" w:eastAsia="宋体" w:cs="Times New Roman"/>
                      <w:color w:val="auto"/>
                      <w:sz w:val="18"/>
                      <w:szCs w:val="18"/>
                      <w:highlight w:val="none"/>
                      <w:u w:val="none" w:color="auto"/>
                      <w:lang w:val="en-US" w:eastAsia="zh-CN"/>
                    </w:rPr>
                    <w:t>减振、厂房隔声</w:t>
                  </w:r>
                </w:p>
              </w:tc>
              <w:tc>
                <w:tcPr>
                  <w:tcW w:w="765" w:type="pct"/>
                  <w:vMerge w:val="restart"/>
                  <w:tcBorders>
                    <w:tl2br w:val="nil"/>
                    <w:tr2bl w:val="nil"/>
                  </w:tcBorders>
                  <w:vAlign w:val="center"/>
                </w:tcPr>
                <w:p w14:paraId="5E373527">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lang w:val="en-US" w:eastAsia="zh-CN"/>
                    </w:rPr>
                  </w:pPr>
                  <w:r>
                    <w:rPr>
                      <w:rFonts w:hint="eastAsia" w:ascii="Times New Roman" w:hAnsi="Times New Roman" w:cs="Times New Roman"/>
                      <w:color w:val="auto"/>
                      <w:sz w:val="18"/>
                      <w:szCs w:val="18"/>
                      <w:highlight w:val="none"/>
                      <w:u w:val="none" w:color="auto"/>
                      <w:lang w:val="en-US" w:eastAsia="zh-CN"/>
                    </w:rPr>
                    <w:t>-36,71.5,1.2</w:t>
                  </w:r>
                </w:p>
              </w:tc>
              <w:tc>
                <w:tcPr>
                  <w:tcW w:w="368" w:type="pct"/>
                  <w:tcBorders>
                    <w:tl2br w:val="nil"/>
                    <w:tr2bl w:val="nil"/>
                  </w:tcBorders>
                  <w:vAlign w:val="center"/>
                </w:tcPr>
                <w:p w14:paraId="01618CF7">
                  <w:pPr>
                    <w:keepNext w:val="0"/>
                    <w:keepLines w:val="0"/>
                    <w:widowControl/>
                    <w:suppressLineNumbers w:val="0"/>
                    <w:jc w:val="center"/>
                    <w:textAlignment w:val="center"/>
                    <w:rPr>
                      <w:rFonts w:hint="default"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6.2</w:t>
                  </w:r>
                </w:p>
              </w:tc>
              <w:tc>
                <w:tcPr>
                  <w:tcW w:w="400" w:type="pct"/>
                  <w:tcBorders>
                    <w:tl2br w:val="nil"/>
                    <w:tr2bl w:val="nil"/>
                  </w:tcBorders>
                  <w:vAlign w:val="center"/>
                </w:tcPr>
                <w:p w14:paraId="2F3358DA">
                  <w:pPr>
                    <w:keepNext w:val="0"/>
                    <w:keepLines w:val="0"/>
                    <w:widowControl/>
                    <w:suppressLineNumbers w:val="0"/>
                    <w:jc w:val="center"/>
                    <w:textAlignment w:val="center"/>
                    <w:rPr>
                      <w:rFonts w:hint="default"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83.0</w:t>
                  </w:r>
                </w:p>
              </w:tc>
              <w:tc>
                <w:tcPr>
                  <w:tcW w:w="342" w:type="pct"/>
                  <w:vMerge w:val="continue"/>
                  <w:tcBorders>
                    <w:tl2br w:val="nil"/>
                    <w:tr2bl w:val="nil"/>
                  </w:tcBorders>
                  <w:vAlign w:val="center"/>
                </w:tcPr>
                <w:p w14:paraId="7264B0F9">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419" w:type="pct"/>
                  <w:tcBorders>
                    <w:tl2br w:val="nil"/>
                    <w:tr2bl w:val="nil"/>
                  </w:tcBorders>
                  <w:vAlign w:val="center"/>
                </w:tcPr>
                <w:p w14:paraId="65379974">
                  <w:pPr>
                    <w:keepNext w:val="0"/>
                    <w:keepLines w:val="0"/>
                    <w:widowControl/>
                    <w:suppressLineNumbers w:val="0"/>
                    <w:jc w:val="center"/>
                    <w:textAlignment w:val="center"/>
                    <w:rPr>
                      <w:rFonts w:hint="default"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16</w:t>
                  </w:r>
                </w:p>
              </w:tc>
              <w:tc>
                <w:tcPr>
                  <w:tcW w:w="419" w:type="pct"/>
                  <w:tcBorders>
                    <w:tl2br w:val="nil"/>
                    <w:tr2bl w:val="nil"/>
                  </w:tcBorders>
                  <w:vAlign w:val="center"/>
                </w:tcPr>
                <w:p w14:paraId="0ACA2185">
                  <w:pPr>
                    <w:keepNext w:val="0"/>
                    <w:keepLines w:val="0"/>
                    <w:widowControl/>
                    <w:suppressLineNumbers w:val="0"/>
                    <w:jc w:val="center"/>
                    <w:textAlignment w:val="center"/>
                    <w:rPr>
                      <w:rFonts w:hint="default"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67.0</w:t>
                  </w:r>
                </w:p>
              </w:tc>
              <w:tc>
                <w:tcPr>
                  <w:tcW w:w="235" w:type="pct"/>
                  <w:vMerge w:val="restart"/>
                  <w:tcBorders>
                    <w:tl2br w:val="nil"/>
                    <w:tr2bl w:val="nil"/>
                  </w:tcBorders>
                  <w:vAlign w:val="center"/>
                </w:tcPr>
                <w:p w14:paraId="1940C0D2">
                  <w:pPr>
                    <w:pStyle w:val="26"/>
                    <w:spacing w:line="240" w:lineRule="auto"/>
                    <w:ind w:firstLine="0" w:firstLineChars="0"/>
                    <w:jc w:val="center"/>
                    <w:rPr>
                      <w:rFonts w:hint="eastAsia" w:ascii="Times New Roman" w:hAnsi="Times New Roman" w:eastAsia="宋体" w:cs="Times New Roman"/>
                      <w:color w:val="auto"/>
                      <w:sz w:val="18"/>
                      <w:szCs w:val="18"/>
                      <w:highlight w:val="none"/>
                      <w:u w:val="none" w:color="auto"/>
                      <w:lang w:val="en-US" w:eastAsia="zh-CN"/>
                    </w:rPr>
                  </w:pPr>
                  <w:r>
                    <w:rPr>
                      <w:rFonts w:hint="eastAsia" w:ascii="Times New Roman" w:hAnsi="Times New Roman" w:cs="Times New Roman"/>
                      <w:color w:val="auto"/>
                      <w:sz w:val="18"/>
                      <w:szCs w:val="18"/>
                      <w:highlight w:val="none"/>
                      <w:u w:val="none" w:color="auto"/>
                      <w:lang w:val="en-US" w:eastAsia="zh-CN"/>
                    </w:rPr>
                    <w:t>1</w:t>
                  </w:r>
                </w:p>
              </w:tc>
            </w:tr>
            <w:tr w14:paraId="6DFCF84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4" w:type="pct"/>
                  <w:vMerge w:val="continue"/>
                  <w:tcBorders>
                    <w:tl2br w:val="nil"/>
                    <w:tr2bl w:val="nil"/>
                  </w:tcBorders>
                  <w:vAlign w:val="center"/>
                </w:tcPr>
                <w:p w14:paraId="31DFCD54">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234" w:type="pct"/>
                  <w:vMerge w:val="continue"/>
                  <w:tcBorders>
                    <w:tl2br w:val="nil"/>
                    <w:tr2bl w:val="nil"/>
                  </w:tcBorders>
                  <w:vAlign w:val="center"/>
                </w:tcPr>
                <w:p w14:paraId="373CA9BF">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393" w:type="pct"/>
                  <w:vMerge w:val="continue"/>
                  <w:tcBorders>
                    <w:tl2br w:val="nil"/>
                    <w:tr2bl w:val="nil"/>
                  </w:tcBorders>
                  <w:vAlign w:val="center"/>
                </w:tcPr>
                <w:p w14:paraId="5AF964F1">
                  <w:pPr>
                    <w:jc w:val="center"/>
                    <w:rPr>
                      <w:rFonts w:hint="default" w:ascii="Times New Roman" w:hAnsi="Times New Roman" w:eastAsia="宋体" w:cs="Times New Roman"/>
                      <w:color w:val="auto"/>
                      <w:kern w:val="2"/>
                      <w:sz w:val="18"/>
                      <w:szCs w:val="18"/>
                      <w:highlight w:val="none"/>
                      <w:u w:val="none" w:color="auto"/>
                      <w:lang w:val="en-US" w:eastAsia="zh-CN" w:bidi="ar-SA"/>
                    </w:rPr>
                  </w:pPr>
                </w:p>
              </w:tc>
              <w:tc>
                <w:tcPr>
                  <w:tcW w:w="259" w:type="pct"/>
                  <w:vMerge w:val="continue"/>
                  <w:tcBorders>
                    <w:tl2br w:val="nil"/>
                    <w:tr2bl w:val="nil"/>
                  </w:tcBorders>
                  <w:vAlign w:val="center"/>
                </w:tcPr>
                <w:p w14:paraId="6AC3269C">
                  <w:pPr>
                    <w:pStyle w:val="94"/>
                    <w:spacing w:beforeLines="0" w:afterLines="0" w:line="240" w:lineRule="auto"/>
                    <w:jc w:val="center"/>
                    <w:rPr>
                      <w:rFonts w:hint="default" w:ascii="Times New Roman" w:hAnsi="Times New Roman" w:eastAsia="宋体" w:cs="Times New Roman"/>
                      <w:color w:val="auto"/>
                      <w:kern w:val="0"/>
                      <w:sz w:val="18"/>
                      <w:szCs w:val="18"/>
                      <w:highlight w:val="none"/>
                      <w:u w:val="none" w:color="auto"/>
                      <w:lang w:val="en-US" w:eastAsia="zh-CN" w:bidi="ar-SA"/>
                    </w:rPr>
                  </w:pPr>
                </w:p>
              </w:tc>
              <w:tc>
                <w:tcPr>
                  <w:tcW w:w="477" w:type="pct"/>
                  <w:vMerge w:val="continue"/>
                  <w:tcBorders>
                    <w:tl2br w:val="nil"/>
                    <w:tr2bl w:val="nil"/>
                  </w:tcBorders>
                  <w:vAlign w:val="center"/>
                </w:tcPr>
                <w:p w14:paraId="7DE2B234">
                  <w:pPr>
                    <w:pStyle w:val="94"/>
                    <w:spacing w:before="24" w:after="24"/>
                    <w:jc w:val="center"/>
                    <w:rPr>
                      <w:rFonts w:hint="default" w:ascii="Times New Roman" w:hAnsi="Times New Roman" w:eastAsia="宋体" w:cs="Times New Roman"/>
                      <w:b w:val="0"/>
                      <w:bCs w:val="0"/>
                      <w:color w:val="auto"/>
                      <w:kern w:val="2"/>
                      <w:sz w:val="18"/>
                      <w:szCs w:val="18"/>
                      <w:highlight w:val="none"/>
                      <w:u w:val="none" w:color="auto"/>
                      <w:lang w:val="en-US" w:eastAsia="zh-CN" w:bidi="ar-SA"/>
                    </w:rPr>
                  </w:pPr>
                </w:p>
              </w:tc>
              <w:tc>
                <w:tcPr>
                  <w:tcW w:w="451" w:type="pct"/>
                  <w:vMerge w:val="continue"/>
                  <w:tcBorders>
                    <w:tl2br w:val="nil"/>
                    <w:tr2bl w:val="nil"/>
                  </w:tcBorders>
                  <w:vAlign w:val="center"/>
                </w:tcPr>
                <w:p w14:paraId="03913130">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765" w:type="pct"/>
                  <w:vMerge w:val="continue"/>
                  <w:tcBorders>
                    <w:tl2br w:val="nil"/>
                    <w:tr2bl w:val="nil"/>
                  </w:tcBorders>
                  <w:vAlign w:val="center"/>
                </w:tcPr>
                <w:p w14:paraId="4478FB79">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lang w:val="en-US" w:eastAsia="zh-CN"/>
                    </w:rPr>
                  </w:pPr>
                </w:p>
              </w:tc>
              <w:tc>
                <w:tcPr>
                  <w:tcW w:w="368" w:type="pct"/>
                  <w:tcBorders>
                    <w:tl2br w:val="nil"/>
                    <w:tr2bl w:val="nil"/>
                  </w:tcBorders>
                  <w:vAlign w:val="center"/>
                </w:tcPr>
                <w:p w14:paraId="278FA322">
                  <w:pPr>
                    <w:keepNext w:val="0"/>
                    <w:keepLines w:val="0"/>
                    <w:widowControl/>
                    <w:suppressLineNumbers w:val="0"/>
                    <w:jc w:val="center"/>
                    <w:textAlignment w:val="center"/>
                    <w:rPr>
                      <w:rFonts w:hint="default"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9.6</w:t>
                  </w:r>
                </w:p>
              </w:tc>
              <w:tc>
                <w:tcPr>
                  <w:tcW w:w="400" w:type="pct"/>
                  <w:tcBorders>
                    <w:tl2br w:val="nil"/>
                    <w:tr2bl w:val="nil"/>
                  </w:tcBorders>
                  <w:vAlign w:val="center"/>
                </w:tcPr>
                <w:p w14:paraId="688F0B9A">
                  <w:pPr>
                    <w:keepNext w:val="0"/>
                    <w:keepLines w:val="0"/>
                    <w:widowControl/>
                    <w:suppressLineNumbers w:val="0"/>
                    <w:jc w:val="center"/>
                    <w:textAlignment w:val="center"/>
                    <w:rPr>
                      <w:rFonts w:hint="default"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83.0</w:t>
                  </w:r>
                </w:p>
              </w:tc>
              <w:tc>
                <w:tcPr>
                  <w:tcW w:w="342" w:type="pct"/>
                  <w:vMerge w:val="continue"/>
                  <w:tcBorders>
                    <w:tl2br w:val="nil"/>
                    <w:tr2bl w:val="nil"/>
                  </w:tcBorders>
                  <w:vAlign w:val="center"/>
                </w:tcPr>
                <w:p w14:paraId="3BEE081C">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419" w:type="pct"/>
                  <w:tcBorders>
                    <w:tl2br w:val="nil"/>
                    <w:tr2bl w:val="nil"/>
                  </w:tcBorders>
                  <w:vAlign w:val="center"/>
                </w:tcPr>
                <w:p w14:paraId="0CA9AF5E">
                  <w:pPr>
                    <w:keepNext w:val="0"/>
                    <w:keepLines w:val="0"/>
                    <w:widowControl/>
                    <w:suppressLineNumbers w:val="0"/>
                    <w:jc w:val="center"/>
                    <w:textAlignment w:val="center"/>
                    <w:rPr>
                      <w:rFonts w:hint="default"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26</w:t>
                  </w:r>
                </w:p>
              </w:tc>
              <w:tc>
                <w:tcPr>
                  <w:tcW w:w="419" w:type="pct"/>
                  <w:tcBorders>
                    <w:tl2br w:val="nil"/>
                    <w:tr2bl w:val="nil"/>
                  </w:tcBorders>
                  <w:vAlign w:val="center"/>
                </w:tcPr>
                <w:p w14:paraId="39A1721E">
                  <w:pPr>
                    <w:keepNext w:val="0"/>
                    <w:keepLines w:val="0"/>
                    <w:widowControl/>
                    <w:suppressLineNumbers w:val="0"/>
                    <w:jc w:val="center"/>
                    <w:textAlignment w:val="center"/>
                    <w:rPr>
                      <w:rFonts w:hint="default"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57.0</w:t>
                  </w:r>
                </w:p>
              </w:tc>
              <w:tc>
                <w:tcPr>
                  <w:tcW w:w="235" w:type="pct"/>
                  <w:vMerge w:val="continue"/>
                  <w:tcBorders>
                    <w:tl2br w:val="nil"/>
                    <w:tr2bl w:val="nil"/>
                  </w:tcBorders>
                  <w:vAlign w:val="center"/>
                </w:tcPr>
                <w:p w14:paraId="41140AE0">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r>
            <w:tr w14:paraId="390F3B7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4" w:type="pct"/>
                  <w:vMerge w:val="continue"/>
                  <w:tcBorders>
                    <w:tl2br w:val="nil"/>
                    <w:tr2bl w:val="nil"/>
                  </w:tcBorders>
                  <w:vAlign w:val="center"/>
                </w:tcPr>
                <w:p w14:paraId="3C51BD29">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234" w:type="pct"/>
                  <w:vMerge w:val="continue"/>
                  <w:tcBorders>
                    <w:tl2br w:val="nil"/>
                    <w:tr2bl w:val="nil"/>
                  </w:tcBorders>
                  <w:vAlign w:val="center"/>
                </w:tcPr>
                <w:p w14:paraId="1B42B6EB">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393" w:type="pct"/>
                  <w:vMerge w:val="continue"/>
                  <w:tcBorders>
                    <w:tl2br w:val="nil"/>
                    <w:tr2bl w:val="nil"/>
                  </w:tcBorders>
                  <w:vAlign w:val="center"/>
                </w:tcPr>
                <w:p w14:paraId="29C27DF4">
                  <w:pPr>
                    <w:jc w:val="center"/>
                    <w:rPr>
                      <w:rFonts w:hint="default" w:ascii="Times New Roman" w:hAnsi="Times New Roman" w:eastAsia="宋体" w:cs="Times New Roman"/>
                      <w:color w:val="auto"/>
                      <w:kern w:val="2"/>
                      <w:sz w:val="18"/>
                      <w:szCs w:val="18"/>
                      <w:highlight w:val="none"/>
                      <w:u w:val="none" w:color="auto"/>
                      <w:lang w:val="en-US" w:eastAsia="zh-CN" w:bidi="ar-SA"/>
                    </w:rPr>
                  </w:pPr>
                </w:p>
              </w:tc>
              <w:tc>
                <w:tcPr>
                  <w:tcW w:w="259" w:type="pct"/>
                  <w:vMerge w:val="continue"/>
                  <w:tcBorders>
                    <w:tl2br w:val="nil"/>
                    <w:tr2bl w:val="nil"/>
                  </w:tcBorders>
                  <w:vAlign w:val="center"/>
                </w:tcPr>
                <w:p w14:paraId="076D260A">
                  <w:pPr>
                    <w:pStyle w:val="94"/>
                    <w:spacing w:beforeLines="0" w:afterLines="0" w:line="240" w:lineRule="auto"/>
                    <w:jc w:val="center"/>
                    <w:rPr>
                      <w:rFonts w:hint="default" w:ascii="Times New Roman" w:hAnsi="Times New Roman" w:eastAsia="宋体" w:cs="Times New Roman"/>
                      <w:color w:val="auto"/>
                      <w:kern w:val="0"/>
                      <w:sz w:val="18"/>
                      <w:szCs w:val="18"/>
                      <w:highlight w:val="none"/>
                      <w:u w:val="none" w:color="auto"/>
                      <w:lang w:val="en-US" w:eastAsia="zh-CN" w:bidi="ar-SA"/>
                    </w:rPr>
                  </w:pPr>
                </w:p>
              </w:tc>
              <w:tc>
                <w:tcPr>
                  <w:tcW w:w="477" w:type="pct"/>
                  <w:vMerge w:val="continue"/>
                  <w:tcBorders>
                    <w:tl2br w:val="nil"/>
                    <w:tr2bl w:val="nil"/>
                  </w:tcBorders>
                  <w:vAlign w:val="center"/>
                </w:tcPr>
                <w:p w14:paraId="78389E83">
                  <w:pPr>
                    <w:pStyle w:val="94"/>
                    <w:spacing w:before="24" w:after="24"/>
                    <w:jc w:val="center"/>
                    <w:rPr>
                      <w:rFonts w:hint="default" w:ascii="Times New Roman" w:hAnsi="Times New Roman" w:eastAsia="宋体" w:cs="Times New Roman"/>
                      <w:b w:val="0"/>
                      <w:bCs w:val="0"/>
                      <w:color w:val="auto"/>
                      <w:kern w:val="2"/>
                      <w:sz w:val="18"/>
                      <w:szCs w:val="18"/>
                      <w:highlight w:val="none"/>
                      <w:u w:val="none" w:color="auto"/>
                      <w:lang w:val="en-US" w:eastAsia="zh-CN" w:bidi="ar-SA"/>
                    </w:rPr>
                  </w:pPr>
                </w:p>
              </w:tc>
              <w:tc>
                <w:tcPr>
                  <w:tcW w:w="451" w:type="pct"/>
                  <w:vMerge w:val="continue"/>
                  <w:tcBorders>
                    <w:tl2br w:val="nil"/>
                    <w:tr2bl w:val="nil"/>
                  </w:tcBorders>
                  <w:vAlign w:val="center"/>
                </w:tcPr>
                <w:p w14:paraId="3BDA758E">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765" w:type="pct"/>
                  <w:vMerge w:val="continue"/>
                  <w:tcBorders>
                    <w:tl2br w:val="nil"/>
                    <w:tr2bl w:val="nil"/>
                  </w:tcBorders>
                  <w:vAlign w:val="center"/>
                </w:tcPr>
                <w:p w14:paraId="3EF2E2CE">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lang w:val="en-US" w:eastAsia="zh-CN"/>
                    </w:rPr>
                  </w:pPr>
                </w:p>
              </w:tc>
              <w:tc>
                <w:tcPr>
                  <w:tcW w:w="368" w:type="pct"/>
                  <w:tcBorders>
                    <w:tl2br w:val="nil"/>
                    <w:tr2bl w:val="nil"/>
                  </w:tcBorders>
                  <w:vAlign w:val="center"/>
                </w:tcPr>
                <w:p w14:paraId="225A3603">
                  <w:pPr>
                    <w:keepNext w:val="0"/>
                    <w:keepLines w:val="0"/>
                    <w:widowControl/>
                    <w:suppressLineNumbers w:val="0"/>
                    <w:jc w:val="center"/>
                    <w:textAlignment w:val="center"/>
                    <w:rPr>
                      <w:rFonts w:hint="default"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6.4</w:t>
                  </w:r>
                </w:p>
              </w:tc>
              <w:tc>
                <w:tcPr>
                  <w:tcW w:w="400" w:type="pct"/>
                  <w:tcBorders>
                    <w:tl2br w:val="nil"/>
                    <w:tr2bl w:val="nil"/>
                  </w:tcBorders>
                  <w:vAlign w:val="center"/>
                </w:tcPr>
                <w:p w14:paraId="7BFD00E9">
                  <w:pPr>
                    <w:keepNext w:val="0"/>
                    <w:keepLines w:val="0"/>
                    <w:widowControl/>
                    <w:suppressLineNumbers w:val="0"/>
                    <w:jc w:val="center"/>
                    <w:textAlignment w:val="center"/>
                    <w:rPr>
                      <w:rFonts w:hint="default"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83.0</w:t>
                  </w:r>
                </w:p>
              </w:tc>
              <w:tc>
                <w:tcPr>
                  <w:tcW w:w="342" w:type="pct"/>
                  <w:vMerge w:val="continue"/>
                  <w:tcBorders>
                    <w:tl2br w:val="nil"/>
                    <w:tr2bl w:val="nil"/>
                  </w:tcBorders>
                  <w:vAlign w:val="center"/>
                </w:tcPr>
                <w:p w14:paraId="352C1730">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419" w:type="pct"/>
                  <w:tcBorders>
                    <w:tl2br w:val="nil"/>
                    <w:tr2bl w:val="nil"/>
                  </w:tcBorders>
                  <w:vAlign w:val="center"/>
                </w:tcPr>
                <w:p w14:paraId="172361A5">
                  <w:pPr>
                    <w:keepNext w:val="0"/>
                    <w:keepLines w:val="0"/>
                    <w:widowControl/>
                    <w:suppressLineNumbers w:val="0"/>
                    <w:jc w:val="center"/>
                    <w:textAlignment w:val="center"/>
                    <w:rPr>
                      <w:rFonts w:hint="default"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16</w:t>
                  </w:r>
                </w:p>
              </w:tc>
              <w:tc>
                <w:tcPr>
                  <w:tcW w:w="419" w:type="pct"/>
                  <w:tcBorders>
                    <w:tl2br w:val="nil"/>
                    <w:tr2bl w:val="nil"/>
                  </w:tcBorders>
                  <w:vAlign w:val="center"/>
                </w:tcPr>
                <w:p w14:paraId="0EB8E4CA">
                  <w:pPr>
                    <w:keepNext w:val="0"/>
                    <w:keepLines w:val="0"/>
                    <w:widowControl/>
                    <w:suppressLineNumbers w:val="0"/>
                    <w:jc w:val="center"/>
                    <w:textAlignment w:val="center"/>
                    <w:rPr>
                      <w:rFonts w:hint="default"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67.0</w:t>
                  </w:r>
                </w:p>
              </w:tc>
              <w:tc>
                <w:tcPr>
                  <w:tcW w:w="235" w:type="pct"/>
                  <w:vMerge w:val="continue"/>
                  <w:tcBorders>
                    <w:tl2br w:val="nil"/>
                    <w:tr2bl w:val="nil"/>
                  </w:tcBorders>
                  <w:vAlign w:val="center"/>
                </w:tcPr>
                <w:p w14:paraId="364CBC27">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r>
            <w:tr w14:paraId="2AF0DE6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4" w:type="pct"/>
                  <w:vMerge w:val="continue"/>
                  <w:tcBorders>
                    <w:tl2br w:val="nil"/>
                    <w:tr2bl w:val="nil"/>
                  </w:tcBorders>
                  <w:vAlign w:val="center"/>
                </w:tcPr>
                <w:p w14:paraId="0C43EB70">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234" w:type="pct"/>
                  <w:vMerge w:val="continue"/>
                  <w:tcBorders>
                    <w:tl2br w:val="nil"/>
                    <w:tr2bl w:val="nil"/>
                  </w:tcBorders>
                  <w:vAlign w:val="center"/>
                </w:tcPr>
                <w:p w14:paraId="17E47B81">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393" w:type="pct"/>
                  <w:vMerge w:val="continue"/>
                  <w:tcBorders>
                    <w:tl2br w:val="nil"/>
                    <w:tr2bl w:val="nil"/>
                  </w:tcBorders>
                  <w:vAlign w:val="center"/>
                </w:tcPr>
                <w:p w14:paraId="5902FD7A">
                  <w:pPr>
                    <w:jc w:val="center"/>
                    <w:rPr>
                      <w:rFonts w:hint="default" w:ascii="Times New Roman" w:hAnsi="Times New Roman" w:eastAsia="宋体" w:cs="Times New Roman"/>
                      <w:color w:val="auto"/>
                      <w:kern w:val="2"/>
                      <w:sz w:val="18"/>
                      <w:szCs w:val="18"/>
                      <w:highlight w:val="none"/>
                      <w:u w:val="none" w:color="auto"/>
                      <w:lang w:val="en-US" w:eastAsia="zh-CN" w:bidi="ar-SA"/>
                    </w:rPr>
                  </w:pPr>
                </w:p>
              </w:tc>
              <w:tc>
                <w:tcPr>
                  <w:tcW w:w="259" w:type="pct"/>
                  <w:vMerge w:val="continue"/>
                  <w:tcBorders>
                    <w:tl2br w:val="nil"/>
                    <w:tr2bl w:val="nil"/>
                  </w:tcBorders>
                  <w:vAlign w:val="center"/>
                </w:tcPr>
                <w:p w14:paraId="5186F777">
                  <w:pPr>
                    <w:pStyle w:val="94"/>
                    <w:spacing w:beforeLines="0" w:afterLines="0" w:line="240" w:lineRule="auto"/>
                    <w:jc w:val="center"/>
                    <w:rPr>
                      <w:rFonts w:hint="default" w:ascii="Times New Roman" w:hAnsi="Times New Roman" w:eastAsia="宋体" w:cs="Times New Roman"/>
                      <w:color w:val="auto"/>
                      <w:kern w:val="0"/>
                      <w:sz w:val="18"/>
                      <w:szCs w:val="18"/>
                      <w:highlight w:val="none"/>
                      <w:u w:val="none" w:color="auto"/>
                      <w:lang w:val="en-US" w:eastAsia="zh-CN" w:bidi="ar-SA"/>
                    </w:rPr>
                  </w:pPr>
                </w:p>
              </w:tc>
              <w:tc>
                <w:tcPr>
                  <w:tcW w:w="477" w:type="pct"/>
                  <w:vMerge w:val="continue"/>
                  <w:tcBorders>
                    <w:tl2br w:val="nil"/>
                    <w:tr2bl w:val="nil"/>
                  </w:tcBorders>
                  <w:vAlign w:val="center"/>
                </w:tcPr>
                <w:p w14:paraId="2D4E6C85">
                  <w:pPr>
                    <w:pStyle w:val="94"/>
                    <w:spacing w:before="24" w:after="24"/>
                    <w:jc w:val="center"/>
                    <w:rPr>
                      <w:rFonts w:hint="default" w:ascii="Times New Roman" w:hAnsi="Times New Roman" w:eastAsia="宋体" w:cs="Times New Roman"/>
                      <w:b w:val="0"/>
                      <w:bCs w:val="0"/>
                      <w:color w:val="auto"/>
                      <w:kern w:val="2"/>
                      <w:sz w:val="18"/>
                      <w:szCs w:val="18"/>
                      <w:highlight w:val="none"/>
                      <w:u w:val="none" w:color="auto"/>
                      <w:lang w:val="en-US" w:eastAsia="zh-CN" w:bidi="ar-SA"/>
                    </w:rPr>
                  </w:pPr>
                </w:p>
              </w:tc>
              <w:tc>
                <w:tcPr>
                  <w:tcW w:w="451" w:type="pct"/>
                  <w:vMerge w:val="continue"/>
                  <w:tcBorders>
                    <w:tl2br w:val="nil"/>
                    <w:tr2bl w:val="nil"/>
                  </w:tcBorders>
                  <w:vAlign w:val="center"/>
                </w:tcPr>
                <w:p w14:paraId="29DD7A90">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765" w:type="pct"/>
                  <w:vMerge w:val="continue"/>
                  <w:tcBorders>
                    <w:tl2br w:val="nil"/>
                    <w:tr2bl w:val="nil"/>
                  </w:tcBorders>
                  <w:vAlign w:val="center"/>
                </w:tcPr>
                <w:p w14:paraId="788F50B0">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lang w:val="en-US" w:eastAsia="zh-CN"/>
                    </w:rPr>
                  </w:pPr>
                </w:p>
              </w:tc>
              <w:tc>
                <w:tcPr>
                  <w:tcW w:w="368" w:type="pct"/>
                  <w:tcBorders>
                    <w:tl2br w:val="nil"/>
                    <w:tr2bl w:val="nil"/>
                  </w:tcBorders>
                  <w:vAlign w:val="center"/>
                </w:tcPr>
                <w:p w14:paraId="72F74C08">
                  <w:pPr>
                    <w:keepNext w:val="0"/>
                    <w:keepLines w:val="0"/>
                    <w:widowControl/>
                    <w:suppressLineNumbers w:val="0"/>
                    <w:jc w:val="center"/>
                    <w:textAlignment w:val="center"/>
                    <w:rPr>
                      <w:rFonts w:hint="default"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9.0</w:t>
                  </w:r>
                </w:p>
              </w:tc>
              <w:tc>
                <w:tcPr>
                  <w:tcW w:w="400" w:type="pct"/>
                  <w:tcBorders>
                    <w:tl2br w:val="nil"/>
                    <w:tr2bl w:val="nil"/>
                  </w:tcBorders>
                  <w:vAlign w:val="center"/>
                </w:tcPr>
                <w:p w14:paraId="2FBC9C4A">
                  <w:pPr>
                    <w:keepNext w:val="0"/>
                    <w:keepLines w:val="0"/>
                    <w:widowControl/>
                    <w:suppressLineNumbers w:val="0"/>
                    <w:jc w:val="center"/>
                    <w:textAlignment w:val="center"/>
                    <w:rPr>
                      <w:rFonts w:hint="default"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83.0</w:t>
                  </w:r>
                </w:p>
              </w:tc>
              <w:tc>
                <w:tcPr>
                  <w:tcW w:w="342" w:type="pct"/>
                  <w:vMerge w:val="continue"/>
                  <w:tcBorders>
                    <w:tl2br w:val="nil"/>
                    <w:tr2bl w:val="nil"/>
                  </w:tcBorders>
                  <w:vAlign w:val="center"/>
                </w:tcPr>
                <w:p w14:paraId="323B7162">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419" w:type="pct"/>
                  <w:tcBorders>
                    <w:tl2br w:val="nil"/>
                    <w:tr2bl w:val="nil"/>
                  </w:tcBorders>
                  <w:vAlign w:val="center"/>
                </w:tcPr>
                <w:p w14:paraId="3522188E">
                  <w:pPr>
                    <w:keepNext w:val="0"/>
                    <w:keepLines w:val="0"/>
                    <w:widowControl/>
                    <w:suppressLineNumbers w:val="0"/>
                    <w:jc w:val="center"/>
                    <w:textAlignment w:val="center"/>
                    <w:rPr>
                      <w:rFonts w:hint="default"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26</w:t>
                  </w:r>
                </w:p>
              </w:tc>
              <w:tc>
                <w:tcPr>
                  <w:tcW w:w="419" w:type="pct"/>
                  <w:tcBorders>
                    <w:tl2br w:val="nil"/>
                    <w:tr2bl w:val="nil"/>
                  </w:tcBorders>
                  <w:vAlign w:val="center"/>
                </w:tcPr>
                <w:p w14:paraId="095AD5F7">
                  <w:pPr>
                    <w:keepNext w:val="0"/>
                    <w:keepLines w:val="0"/>
                    <w:widowControl/>
                    <w:suppressLineNumbers w:val="0"/>
                    <w:jc w:val="center"/>
                    <w:textAlignment w:val="center"/>
                    <w:rPr>
                      <w:rFonts w:hint="default"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57.0</w:t>
                  </w:r>
                </w:p>
              </w:tc>
              <w:tc>
                <w:tcPr>
                  <w:tcW w:w="235" w:type="pct"/>
                  <w:vMerge w:val="continue"/>
                  <w:tcBorders>
                    <w:tl2br w:val="nil"/>
                    <w:tr2bl w:val="nil"/>
                  </w:tcBorders>
                  <w:vAlign w:val="center"/>
                </w:tcPr>
                <w:p w14:paraId="186C1D0B">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r>
            <w:tr w14:paraId="4D818D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4" w:type="pct"/>
                  <w:vMerge w:val="restart"/>
                  <w:tcBorders>
                    <w:tl2br w:val="nil"/>
                    <w:tr2bl w:val="nil"/>
                  </w:tcBorders>
                  <w:vAlign w:val="center"/>
                </w:tcPr>
                <w:p w14:paraId="2A7A9000">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lang w:val="en-US" w:eastAsia="zh-CN"/>
                    </w:rPr>
                  </w:pPr>
                  <w:r>
                    <w:rPr>
                      <w:rFonts w:hint="eastAsia" w:ascii="Times New Roman" w:hAnsi="Times New Roman" w:cs="Times New Roman"/>
                      <w:color w:val="auto"/>
                      <w:sz w:val="18"/>
                      <w:szCs w:val="18"/>
                      <w:highlight w:val="none"/>
                      <w:u w:val="none" w:color="auto"/>
                      <w:lang w:val="en-US" w:eastAsia="zh-CN"/>
                    </w:rPr>
                    <w:t>13</w:t>
                  </w:r>
                </w:p>
              </w:tc>
              <w:tc>
                <w:tcPr>
                  <w:tcW w:w="234" w:type="pct"/>
                  <w:vMerge w:val="continue"/>
                  <w:tcBorders>
                    <w:tl2br w:val="nil"/>
                    <w:tr2bl w:val="nil"/>
                  </w:tcBorders>
                  <w:vAlign w:val="center"/>
                </w:tcPr>
                <w:p w14:paraId="31FFA844">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393" w:type="pct"/>
                  <w:vMerge w:val="restart"/>
                  <w:tcBorders>
                    <w:tl2br w:val="nil"/>
                    <w:tr2bl w:val="nil"/>
                  </w:tcBorders>
                  <w:vAlign w:val="center"/>
                </w:tcPr>
                <w:p w14:paraId="4FDF7AF7">
                  <w:pPr>
                    <w:jc w:val="center"/>
                    <w:rPr>
                      <w:rFonts w:hint="default" w:ascii="Times New Roman" w:hAnsi="Times New Roman" w:eastAsia="宋体" w:cs="Times New Roman"/>
                      <w:color w:val="auto"/>
                      <w:kern w:val="2"/>
                      <w:sz w:val="18"/>
                      <w:szCs w:val="18"/>
                      <w:highlight w:val="none"/>
                      <w:u w:val="none" w:color="auto"/>
                      <w:lang w:val="en-US" w:eastAsia="zh-CN" w:bidi="ar-SA"/>
                    </w:rPr>
                  </w:pPr>
                  <w:r>
                    <w:rPr>
                      <w:rFonts w:hint="default" w:ascii="Times New Roman" w:hAnsi="Times New Roman" w:eastAsia="宋体" w:cs="Times New Roman"/>
                      <w:color w:val="auto"/>
                      <w:kern w:val="2"/>
                      <w:sz w:val="18"/>
                      <w:szCs w:val="18"/>
                      <w:highlight w:val="none"/>
                      <w:u w:val="none" w:color="auto"/>
                      <w:lang w:val="en-US" w:eastAsia="zh-CN" w:bidi="ar-SA"/>
                    </w:rPr>
                    <w:t>2.</w:t>
                  </w:r>
                  <w:r>
                    <w:rPr>
                      <w:rFonts w:hint="eastAsia" w:cs="Times New Roman"/>
                      <w:color w:val="auto"/>
                      <w:kern w:val="2"/>
                      <w:sz w:val="18"/>
                      <w:szCs w:val="18"/>
                      <w:highlight w:val="none"/>
                      <w:u w:val="none" w:color="auto"/>
                      <w:lang w:val="en-US" w:eastAsia="zh-CN" w:bidi="ar-SA"/>
                    </w:rPr>
                    <w:t>5</w:t>
                  </w:r>
                  <w:r>
                    <w:rPr>
                      <w:rFonts w:hint="default" w:ascii="Times New Roman" w:hAnsi="Times New Roman" w:eastAsia="宋体" w:cs="Times New Roman"/>
                      <w:color w:val="auto"/>
                      <w:kern w:val="2"/>
                      <w:sz w:val="18"/>
                      <w:szCs w:val="18"/>
                      <w:highlight w:val="none"/>
                      <w:u w:val="none" w:color="auto"/>
                      <w:lang w:val="en-US" w:eastAsia="zh-CN" w:bidi="ar-SA"/>
                    </w:rPr>
                    <w:t>t/h蒸汽发生器</w:t>
                  </w:r>
                </w:p>
              </w:tc>
              <w:tc>
                <w:tcPr>
                  <w:tcW w:w="259" w:type="pct"/>
                  <w:vMerge w:val="restart"/>
                  <w:tcBorders>
                    <w:tl2br w:val="nil"/>
                    <w:tr2bl w:val="nil"/>
                  </w:tcBorders>
                  <w:vAlign w:val="center"/>
                </w:tcPr>
                <w:p w14:paraId="1459E9C7">
                  <w:pPr>
                    <w:pStyle w:val="94"/>
                    <w:spacing w:beforeLines="0" w:afterLines="0" w:line="240" w:lineRule="auto"/>
                    <w:jc w:val="center"/>
                    <w:rPr>
                      <w:rFonts w:hint="default" w:ascii="Times New Roman" w:hAnsi="Times New Roman" w:eastAsia="宋体" w:cs="Times New Roman"/>
                      <w:color w:val="auto"/>
                      <w:kern w:val="0"/>
                      <w:sz w:val="18"/>
                      <w:szCs w:val="18"/>
                      <w:highlight w:val="none"/>
                      <w:u w:val="none" w:color="auto"/>
                      <w:lang w:val="en-US" w:eastAsia="zh-CN" w:bidi="ar-SA"/>
                    </w:rPr>
                  </w:pPr>
                  <w:r>
                    <w:rPr>
                      <w:rFonts w:hint="eastAsia" w:ascii="Times New Roman" w:cs="Times New Roman"/>
                      <w:color w:val="auto"/>
                      <w:kern w:val="0"/>
                      <w:sz w:val="18"/>
                      <w:szCs w:val="18"/>
                      <w:highlight w:val="none"/>
                      <w:u w:val="none" w:color="auto"/>
                      <w:lang w:val="en-US" w:eastAsia="zh-CN" w:bidi="ar-SA"/>
                    </w:rPr>
                    <w:t>1</w:t>
                  </w:r>
                </w:p>
              </w:tc>
              <w:tc>
                <w:tcPr>
                  <w:tcW w:w="477" w:type="pct"/>
                  <w:vMerge w:val="restart"/>
                  <w:tcBorders>
                    <w:tl2br w:val="nil"/>
                    <w:tr2bl w:val="nil"/>
                  </w:tcBorders>
                  <w:vAlign w:val="center"/>
                </w:tcPr>
                <w:p w14:paraId="25EB7CA9">
                  <w:pPr>
                    <w:pStyle w:val="94"/>
                    <w:spacing w:before="24" w:after="24"/>
                    <w:jc w:val="center"/>
                    <w:rPr>
                      <w:rFonts w:hint="default" w:ascii="Times New Roman" w:hAnsi="Times New Roman" w:eastAsia="宋体" w:cs="Times New Roman"/>
                      <w:b w:val="0"/>
                      <w:bCs w:val="0"/>
                      <w:color w:val="auto"/>
                      <w:kern w:val="2"/>
                      <w:sz w:val="18"/>
                      <w:szCs w:val="18"/>
                      <w:highlight w:val="none"/>
                      <w:u w:val="none" w:color="auto"/>
                      <w:lang w:val="en-US" w:eastAsia="zh-CN" w:bidi="ar-SA"/>
                    </w:rPr>
                  </w:pPr>
                  <w:r>
                    <w:rPr>
                      <w:rFonts w:hint="eastAsia" w:ascii="Times New Roman" w:cs="Times New Roman"/>
                      <w:b w:val="0"/>
                      <w:bCs w:val="0"/>
                      <w:color w:val="auto"/>
                      <w:kern w:val="2"/>
                      <w:sz w:val="18"/>
                      <w:szCs w:val="18"/>
                      <w:highlight w:val="none"/>
                      <w:u w:val="none" w:color="auto"/>
                      <w:lang w:val="en-US" w:eastAsia="zh-CN" w:bidi="ar-SA"/>
                    </w:rPr>
                    <w:t>90</w:t>
                  </w:r>
                </w:p>
              </w:tc>
              <w:tc>
                <w:tcPr>
                  <w:tcW w:w="451" w:type="pct"/>
                  <w:vMerge w:val="restart"/>
                  <w:tcBorders>
                    <w:tl2br w:val="nil"/>
                    <w:tr2bl w:val="nil"/>
                  </w:tcBorders>
                  <w:vAlign w:val="center"/>
                </w:tcPr>
                <w:p w14:paraId="4D3C5412">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r>
                    <w:rPr>
                      <w:rFonts w:hint="default" w:ascii="Times New Roman" w:hAnsi="Times New Roman" w:eastAsia="宋体" w:cs="Times New Roman"/>
                      <w:color w:val="auto"/>
                      <w:sz w:val="18"/>
                      <w:szCs w:val="18"/>
                      <w:highlight w:val="none"/>
                      <w:u w:val="none" w:color="auto"/>
                      <w:lang w:val="en-US" w:eastAsia="zh-CN"/>
                    </w:rPr>
                    <w:t>减振、厂房隔声</w:t>
                  </w:r>
                </w:p>
              </w:tc>
              <w:tc>
                <w:tcPr>
                  <w:tcW w:w="765" w:type="pct"/>
                  <w:vMerge w:val="restart"/>
                  <w:tcBorders>
                    <w:tl2br w:val="nil"/>
                    <w:tr2bl w:val="nil"/>
                  </w:tcBorders>
                  <w:vAlign w:val="center"/>
                </w:tcPr>
                <w:p w14:paraId="75DA0A85">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lang w:val="en-US" w:eastAsia="zh-CN"/>
                    </w:rPr>
                  </w:pPr>
                  <w:r>
                    <w:rPr>
                      <w:rFonts w:hint="eastAsia" w:ascii="Times New Roman" w:hAnsi="Times New Roman" w:cs="Times New Roman"/>
                      <w:color w:val="auto"/>
                      <w:sz w:val="18"/>
                      <w:szCs w:val="18"/>
                      <w:highlight w:val="none"/>
                      <w:u w:val="none" w:color="auto"/>
                      <w:lang w:val="en-US" w:eastAsia="zh-CN"/>
                    </w:rPr>
                    <w:t>-39,66.3,1.2</w:t>
                  </w:r>
                </w:p>
              </w:tc>
              <w:tc>
                <w:tcPr>
                  <w:tcW w:w="368" w:type="pct"/>
                  <w:tcBorders>
                    <w:tl2br w:val="nil"/>
                    <w:tr2bl w:val="nil"/>
                  </w:tcBorders>
                  <w:vAlign w:val="center"/>
                </w:tcPr>
                <w:p w14:paraId="2BD7C75C">
                  <w:pPr>
                    <w:keepNext w:val="0"/>
                    <w:keepLines w:val="0"/>
                    <w:widowControl/>
                    <w:suppressLineNumbers w:val="0"/>
                    <w:jc w:val="center"/>
                    <w:textAlignment w:val="center"/>
                    <w:rPr>
                      <w:rFonts w:hint="default"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9.1</w:t>
                  </w:r>
                </w:p>
              </w:tc>
              <w:tc>
                <w:tcPr>
                  <w:tcW w:w="400" w:type="pct"/>
                  <w:tcBorders>
                    <w:tl2br w:val="nil"/>
                    <w:tr2bl w:val="nil"/>
                  </w:tcBorders>
                  <w:vAlign w:val="center"/>
                </w:tcPr>
                <w:p w14:paraId="4659E5AB">
                  <w:pPr>
                    <w:keepNext w:val="0"/>
                    <w:keepLines w:val="0"/>
                    <w:widowControl/>
                    <w:suppressLineNumbers w:val="0"/>
                    <w:jc w:val="center"/>
                    <w:textAlignment w:val="center"/>
                    <w:rPr>
                      <w:rFonts w:hint="default"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83</w:t>
                  </w:r>
                </w:p>
              </w:tc>
              <w:tc>
                <w:tcPr>
                  <w:tcW w:w="342" w:type="pct"/>
                  <w:vMerge w:val="continue"/>
                  <w:tcBorders>
                    <w:tl2br w:val="nil"/>
                    <w:tr2bl w:val="nil"/>
                  </w:tcBorders>
                  <w:vAlign w:val="center"/>
                </w:tcPr>
                <w:p w14:paraId="668375D6">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419" w:type="pct"/>
                  <w:tcBorders>
                    <w:tl2br w:val="nil"/>
                    <w:tr2bl w:val="nil"/>
                  </w:tcBorders>
                  <w:vAlign w:val="center"/>
                </w:tcPr>
                <w:p w14:paraId="0F900DD4">
                  <w:pPr>
                    <w:keepNext w:val="0"/>
                    <w:keepLines w:val="0"/>
                    <w:widowControl/>
                    <w:suppressLineNumbers w:val="0"/>
                    <w:jc w:val="center"/>
                    <w:textAlignment w:val="center"/>
                    <w:rPr>
                      <w:rFonts w:hint="default"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16</w:t>
                  </w:r>
                </w:p>
              </w:tc>
              <w:tc>
                <w:tcPr>
                  <w:tcW w:w="419" w:type="pct"/>
                  <w:tcBorders>
                    <w:tl2br w:val="nil"/>
                    <w:tr2bl w:val="nil"/>
                  </w:tcBorders>
                  <w:vAlign w:val="center"/>
                </w:tcPr>
                <w:p w14:paraId="552B2E69">
                  <w:pPr>
                    <w:keepNext w:val="0"/>
                    <w:keepLines w:val="0"/>
                    <w:widowControl/>
                    <w:suppressLineNumbers w:val="0"/>
                    <w:jc w:val="center"/>
                    <w:textAlignment w:val="center"/>
                    <w:rPr>
                      <w:rFonts w:hint="default"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67.0</w:t>
                  </w:r>
                </w:p>
              </w:tc>
              <w:tc>
                <w:tcPr>
                  <w:tcW w:w="235" w:type="pct"/>
                  <w:tcBorders>
                    <w:tl2br w:val="nil"/>
                    <w:tr2bl w:val="nil"/>
                  </w:tcBorders>
                  <w:vAlign w:val="center"/>
                </w:tcPr>
                <w:p w14:paraId="55BFB6D0">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r>
            <w:tr w14:paraId="3863912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4" w:type="pct"/>
                  <w:vMerge w:val="continue"/>
                  <w:tcBorders>
                    <w:tl2br w:val="nil"/>
                    <w:tr2bl w:val="nil"/>
                  </w:tcBorders>
                  <w:vAlign w:val="center"/>
                </w:tcPr>
                <w:p w14:paraId="342B9304">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234" w:type="pct"/>
                  <w:vMerge w:val="continue"/>
                  <w:tcBorders>
                    <w:tl2br w:val="nil"/>
                    <w:tr2bl w:val="nil"/>
                  </w:tcBorders>
                  <w:vAlign w:val="center"/>
                </w:tcPr>
                <w:p w14:paraId="1384C6DD">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393" w:type="pct"/>
                  <w:vMerge w:val="continue"/>
                  <w:tcBorders>
                    <w:tl2br w:val="nil"/>
                    <w:tr2bl w:val="nil"/>
                  </w:tcBorders>
                  <w:vAlign w:val="center"/>
                </w:tcPr>
                <w:p w14:paraId="528EB60E">
                  <w:pPr>
                    <w:jc w:val="center"/>
                    <w:rPr>
                      <w:rFonts w:hint="default" w:ascii="Times New Roman" w:hAnsi="Times New Roman" w:eastAsia="宋体" w:cs="Times New Roman"/>
                      <w:color w:val="auto"/>
                      <w:kern w:val="2"/>
                      <w:sz w:val="18"/>
                      <w:szCs w:val="18"/>
                      <w:highlight w:val="none"/>
                      <w:u w:val="none" w:color="auto"/>
                      <w:lang w:val="en-US" w:eastAsia="zh-CN" w:bidi="ar-SA"/>
                    </w:rPr>
                  </w:pPr>
                </w:p>
              </w:tc>
              <w:tc>
                <w:tcPr>
                  <w:tcW w:w="259" w:type="pct"/>
                  <w:vMerge w:val="continue"/>
                  <w:tcBorders>
                    <w:tl2br w:val="nil"/>
                    <w:tr2bl w:val="nil"/>
                  </w:tcBorders>
                  <w:vAlign w:val="center"/>
                </w:tcPr>
                <w:p w14:paraId="0FC846CA">
                  <w:pPr>
                    <w:pStyle w:val="94"/>
                    <w:spacing w:beforeLines="0" w:afterLines="0" w:line="240" w:lineRule="auto"/>
                    <w:jc w:val="center"/>
                    <w:rPr>
                      <w:rFonts w:hint="default" w:ascii="Times New Roman" w:hAnsi="Times New Roman" w:eastAsia="宋体" w:cs="Times New Roman"/>
                      <w:color w:val="auto"/>
                      <w:kern w:val="0"/>
                      <w:sz w:val="18"/>
                      <w:szCs w:val="18"/>
                      <w:highlight w:val="none"/>
                      <w:u w:val="none" w:color="auto"/>
                      <w:lang w:val="en-US" w:eastAsia="zh-CN" w:bidi="ar-SA"/>
                    </w:rPr>
                  </w:pPr>
                </w:p>
              </w:tc>
              <w:tc>
                <w:tcPr>
                  <w:tcW w:w="477" w:type="pct"/>
                  <w:vMerge w:val="continue"/>
                  <w:tcBorders>
                    <w:tl2br w:val="nil"/>
                    <w:tr2bl w:val="nil"/>
                  </w:tcBorders>
                  <w:vAlign w:val="center"/>
                </w:tcPr>
                <w:p w14:paraId="2ABBEEB5">
                  <w:pPr>
                    <w:pStyle w:val="94"/>
                    <w:spacing w:before="24" w:after="24"/>
                    <w:jc w:val="center"/>
                    <w:rPr>
                      <w:rFonts w:hint="default" w:ascii="Times New Roman" w:hAnsi="Times New Roman" w:eastAsia="宋体" w:cs="Times New Roman"/>
                      <w:b w:val="0"/>
                      <w:bCs w:val="0"/>
                      <w:color w:val="auto"/>
                      <w:kern w:val="2"/>
                      <w:sz w:val="18"/>
                      <w:szCs w:val="18"/>
                      <w:highlight w:val="none"/>
                      <w:u w:val="none" w:color="auto"/>
                      <w:lang w:val="en-US" w:eastAsia="zh-CN" w:bidi="ar-SA"/>
                    </w:rPr>
                  </w:pPr>
                </w:p>
              </w:tc>
              <w:tc>
                <w:tcPr>
                  <w:tcW w:w="451" w:type="pct"/>
                  <w:vMerge w:val="continue"/>
                  <w:tcBorders>
                    <w:tl2br w:val="nil"/>
                    <w:tr2bl w:val="nil"/>
                  </w:tcBorders>
                  <w:vAlign w:val="center"/>
                </w:tcPr>
                <w:p w14:paraId="4813ED27">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765" w:type="pct"/>
                  <w:vMerge w:val="continue"/>
                  <w:tcBorders>
                    <w:tl2br w:val="nil"/>
                    <w:tr2bl w:val="nil"/>
                  </w:tcBorders>
                  <w:vAlign w:val="center"/>
                </w:tcPr>
                <w:p w14:paraId="2D3E1F89">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lang w:val="en-US" w:eastAsia="zh-CN"/>
                    </w:rPr>
                  </w:pPr>
                </w:p>
              </w:tc>
              <w:tc>
                <w:tcPr>
                  <w:tcW w:w="368" w:type="pct"/>
                  <w:tcBorders>
                    <w:tl2br w:val="nil"/>
                    <w:tr2bl w:val="nil"/>
                  </w:tcBorders>
                  <w:vAlign w:val="center"/>
                </w:tcPr>
                <w:p w14:paraId="105B6863">
                  <w:pPr>
                    <w:keepNext w:val="0"/>
                    <w:keepLines w:val="0"/>
                    <w:widowControl/>
                    <w:suppressLineNumbers w:val="0"/>
                    <w:jc w:val="center"/>
                    <w:textAlignment w:val="center"/>
                    <w:rPr>
                      <w:rFonts w:hint="default"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3.6</w:t>
                  </w:r>
                </w:p>
              </w:tc>
              <w:tc>
                <w:tcPr>
                  <w:tcW w:w="400" w:type="pct"/>
                  <w:tcBorders>
                    <w:tl2br w:val="nil"/>
                    <w:tr2bl w:val="nil"/>
                  </w:tcBorders>
                  <w:vAlign w:val="center"/>
                </w:tcPr>
                <w:p w14:paraId="0F87B87E">
                  <w:pPr>
                    <w:keepNext w:val="0"/>
                    <w:keepLines w:val="0"/>
                    <w:widowControl/>
                    <w:suppressLineNumbers w:val="0"/>
                    <w:jc w:val="center"/>
                    <w:textAlignment w:val="center"/>
                    <w:rPr>
                      <w:rFonts w:hint="default"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83.1</w:t>
                  </w:r>
                </w:p>
              </w:tc>
              <w:tc>
                <w:tcPr>
                  <w:tcW w:w="342" w:type="pct"/>
                  <w:vMerge w:val="continue"/>
                  <w:tcBorders>
                    <w:tl2br w:val="nil"/>
                    <w:tr2bl w:val="nil"/>
                  </w:tcBorders>
                  <w:vAlign w:val="center"/>
                </w:tcPr>
                <w:p w14:paraId="2F285247">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419" w:type="pct"/>
                  <w:tcBorders>
                    <w:tl2br w:val="nil"/>
                    <w:tr2bl w:val="nil"/>
                  </w:tcBorders>
                  <w:vAlign w:val="center"/>
                </w:tcPr>
                <w:p w14:paraId="45BF5A3B">
                  <w:pPr>
                    <w:keepNext w:val="0"/>
                    <w:keepLines w:val="0"/>
                    <w:widowControl/>
                    <w:suppressLineNumbers w:val="0"/>
                    <w:jc w:val="center"/>
                    <w:textAlignment w:val="center"/>
                    <w:rPr>
                      <w:rFonts w:hint="default"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26</w:t>
                  </w:r>
                </w:p>
              </w:tc>
              <w:tc>
                <w:tcPr>
                  <w:tcW w:w="419" w:type="pct"/>
                  <w:tcBorders>
                    <w:tl2br w:val="nil"/>
                    <w:tr2bl w:val="nil"/>
                  </w:tcBorders>
                  <w:vAlign w:val="center"/>
                </w:tcPr>
                <w:p w14:paraId="5BA3EACC">
                  <w:pPr>
                    <w:keepNext w:val="0"/>
                    <w:keepLines w:val="0"/>
                    <w:widowControl/>
                    <w:suppressLineNumbers w:val="0"/>
                    <w:jc w:val="center"/>
                    <w:textAlignment w:val="center"/>
                    <w:rPr>
                      <w:rFonts w:hint="default"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57.1</w:t>
                  </w:r>
                </w:p>
              </w:tc>
              <w:tc>
                <w:tcPr>
                  <w:tcW w:w="235" w:type="pct"/>
                  <w:tcBorders>
                    <w:tl2br w:val="nil"/>
                    <w:tr2bl w:val="nil"/>
                  </w:tcBorders>
                  <w:vAlign w:val="center"/>
                </w:tcPr>
                <w:p w14:paraId="6E3106C4">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r>
            <w:tr w14:paraId="789D9AC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4" w:type="pct"/>
                  <w:vMerge w:val="continue"/>
                  <w:tcBorders>
                    <w:tl2br w:val="nil"/>
                    <w:tr2bl w:val="nil"/>
                  </w:tcBorders>
                  <w:vAlign w:val="center"/>
                </w:tcPr>
                <w:p w14:paraId="6291F578">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234" w:type="pct"/>
                  <w:vMerge w:val="continue"/>
                  <w:tcBorders>
                    <w:tl2br w:val="nil"/>
                    <w:tr2bl w:val="nil"/>
                  </w:tcBorders>
                  <w:vAlign w:val="center"/>
                </w:tcPr>
                <w:p w14:paraId="4ED6848D">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393" w:type="pct"/>
                  <w:vMerge w:val="continue"/>
                  <w:tcBorders>
                    <w:tl2br w:val="nil"/>
                    <w:tr2bl w:val="nil"/>
                  </w:tcBorders>
                  <w:vAlign w:val="center"/>
                </w:tcPr>
                <w:p w14:paraId="3F2DF682">
                  <w:pPr>
                    <w:jc w:val="center"/>
                    <w:rPr>
                      <w:rFonts w:hint="default" w:ascii="Times New Roman" w:hAnsi="Times New Roman" w:eastAsia="宋体" w:cs="Times New Roman"/>
                      <w:color w:val="auto"/>
                      <w:kern w:val="2"/>
                      <w:sz w:val="18"/>
                      <w:szCs w:val="18"/>
                      <w:highlight w:val="none"/>
                      <w:u w:val="none" w:color="auto"/>
                      <w:lang w:val="en-US" w:eastAsia="zh-CN" w:bidi="ar-SA"/>
                    </w:rPr>
                  </w:pPr>
                </w:p>
              </w:tc>
              <w:tc>
                <w:tcPr>
                  <w:tcW w:w="259" w:type="pct"/>
                  <w:vMerge w:val="continue"/>
                  <w:tcBorders>
                    <w:tl2br w:val="nil"/>
                    <w:tr2bl w:val="nil"/>
                  </w:tcBorders>
                  <w:vAlign w:val="center"/>
                </w:tcPr>
                <w:p w14:paraId="5B9BF2A9">
                  <w:pPr>
                    <w:pStyle w:val="94"/>
                    <w:spacing w:beforeLines="0" w:afterLines="0" w:line="240" w:lineRule="auto"/>
                    <w:jc w:val="center"/>
                    <w:rPr>
                      <w:rFonts w:hint="default" w:ascii="Times New Roman" w:hAnsi="Times New Roman" w:eastAsia="宋体" w:cs="Times New Roman"/>
                      <w:color w:val="auto"/>
                      <w:kern w:val="0"/>
                      <w:sz w:val="18"/>
                      <w:szCs w:val="18"/>
                      <w:highlight w:val="none"/>
                      <w:u w:val="none" w:color="auto"/>
                      <w:lang w:val="en-US" w:eastAsia="zh-CN" w:bidi="ar-SA"/>
                    </w:rPr>
                  </w:pPr>
                </w:p>
              </w:tc>
              <w:tc>
                <w:tcPr>
                  <w:tcW w:w="477" w:type="pct"/>
                  <w:vMerge w:val="continue"/>
                  <w:tcBorders>
                    <w:tl2br w:val="nil"/>
                    <w:tr2bl w:val="nil"/>
                  </w:tcBorders>
                  <w:vAlign w:val="center"/>
                </w:tcPr>
                <w:p w14:paraId="425F4DC5">
                  <w:pPr>
                    <w:pStyle w:val="94"/>
                    <w:spacing w:before="24" w:after="24"/>
                    <w:jc w:val="center"/>
                    <w:rPr>
                      <w:rFonts w:hint="default" w:ascii="Times New Roman" w:hAnsi="Times New Roman" w:eastAsia="宋体" w:cs="Times New Roman"/>
                      <w:b w:val="0"/>
                      <w:bCs w:val="0"/>
                      <w:color w:val="auto"/>
                      <w:kern w:val="2"/>
                      <w:sz w:val="18"/>
                      <w:szCs w:val="18"/>
                      <w:highlight w:val="none"/>
                      <w:u w:val="none" w:color="auto"/>
                      <w:lang w:val="en-US" w:eastAsia="zh-CN" w:bidi="ar-SA"/>
                    </w:rPr>
                  </w:pPr>
                </w:p>
              </w:tc>
              <w:tc>
                <w:tcPr>
                  <w:tcW w:w="451" w:type="pct"/>
                  <w:vMerge w:val="continue"/>
                  <w:tcBorders>
                    <w:tl2br w:val="nil"/>
                    <w:tr2bl w:val="nil"/>
                  </w:tcBorders>
                  <w:vAlign w:val="center"/>
                </w:tcPr>
                <w:p w14:paraId="1A848909">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765" w:type="pct"/>
                  <w:vMerge w:val="continue"/>
                  <w:tcBorders>
                    <w:tl2br w:val="nil"/>
                    <w:tr2bl w:val="nil"/>
                  </w:tcBorders>
                  <w:vAlign w:val="center"/>
                </w:tcPr>
                <w:p w14:paraId="1602A7E8">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lang w:val="en-US" w:eastAsia="zh-CN"/>
                    </w:rPr>
                  </w:pPr>
                </w:p>
              </w:tc>
              <w:tc>
                <w:tcPr>
                  <w:tcW w:w="368" w:type="pct"/>
                  <w:tcBorders>
                    <w:tl2br w:val="nil"/>
                    <w:tr2bl w:val="nil"/>
                  </w:tcBorders>
                  <w:vAlign w:val="center"/>
                </w:tcPr>
                <w:p w14:paraId="4F18F15E">
                  <w:pPr>
                    <w:keepNext w:val="0"/>
                    <w:keepLines w:val="0"/>
                    <w:widowControl/>
                    <w:suppressLineNumbers w:val="0"/>
                    <w:jc w:val="center"/>
                    <w:textAlignment w:val="center"/>
                    <w:rPr>
                      <w:rFonts w:hint="default"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9.9</w:t>
                  </w:r>
                </w:p>
              </w:tc>
              <w:tc>
                <w:tcPr>
                  <w:tcW w:w="400" w:type="pct"/>
                  <w:tcBorders>
                    <w:tl2br w:val="nil"/>
                    <w:tr2bl w:val="nil"/>
                  </w:tcBorders>
                  <w:vAlign w:val="center"/>
                </w:tcPr>
                <w:p w14:paraId="3D745146">
                  <w:pPr>
                    <w:keepNext w:val="0"/>
                    <w:keepLines w:val="0"/>
                    <w:widowControl/>
                    <w:suppressLineNumbers w:val="0"/>
                    <w:jc w:val="center"/>
                    <w:textAlignment w:val="center"/>
                    <w:rPr>
                      <w:rFonts w:hint="default"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83.0</w:t>
                  </w:r>
                </w:p>
              </w:tc>
              <w:tc>
                <w:tcPr>
                  <w:tcW w:w="342" w:type="pct"/>
                  <w:vMerge w:val="continue"/>
                  <w:tcBorders>
                    <w:tl2br w:val="nil"/>
                    <w:tr2bl w:val="nil"/>
                  </w:tcBorders>
                  <w:vAlign w:val="center"/>
                </w:tcPr>
                <w:p w14:paraId="647C5684">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419" w:type="pct"/>
                  <w:tcBorders>
                    <w:tl2br w:val="nil"/>
                    <w:tr2bl w:val="nil"/>
                  </w:tcBorders>
                  <w:vAlign w:val="center"/>
                </w:tcPr>
                <w:p w14:paraId="4DA5541D">
                  <w:pPr>
                    <w:keepNext w:val="0"/>
                    <w:keepLines w:val="0"/>
                    <w:widowControl/>
                    <w:suppressLineNumbers w:val="0"/>
                    <w:jc w:val="center"/>
                    <w:textAlignment w:val="center"/>
                    <w:rPr>
                      <w:rFonts w:hint="default"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16</w:t>
                  </w:r>
                </w:p>
              </w:tc>
              <w:tc>
                <w:tcPr>
                  <w:tcW w:w="419" w:type="pct"/>
                  <w:tcBorders>
                    <w:tl2br w:val="nil"/>
                    <w:tr2bl w:val="nil"/>
                  </w:tcBorders>
                  <w:vAlign w:val="center"/>
                </w:tcPr>
                <w:p w14:paraId="7C46AA73">
                  <w:pPr>
                    <w:keepNext w:val="0"/>
                    <w:keepLines w:val="0"/>
                    <w:widowControl/>
                    <w:suppressLineNumbers w:val="0"/>
                    <w:jc w:val="center"/>
                    <w:textAlignment w:val="center"/>
                    <w:rPr>
                      <w:rFonts w:hint="default"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67.0</w:t>
                  </w:r>
                </w:p>
              </w:tc>
              <w:tc>
                <w:tcPr>
                  <w:tcW w:w="235" w:type="pct"/>
                  <w:tcBorders>
                    <w:tl2br w:val="nil"/>
                    <w:tr2bl w:val="nil"/>
                  </w:tcBorders>
                  <w:vAlign w:val="center"/>
                </w:tcPr>
                <w:p w14:paraId="448DC501">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r>
            <w:tr w14:paraId="7A09983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234" w:type="pct"/>
                  <w:vMerge w:val="continue"/>
                  <w:tcBorders>
                    <w:tl2br w:val="nil"/>
                    <w:tr2bl w:val="nil"/>
                  </w:tcBorders>
                  <w:vAlign w:val="center"/>
                </w:tcPr>
                <w:p w14:paraId="10497EA0">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234" w:type="pct"/>
                  <w:vMerge w:val="continue"/>
                  <w:tcBorders>
                    <w:tl2br w:val="nil"/>
                    <w:tr2bl w:val="nil"/>
                  </w:tcBorders>
                  <w:vAlign w:val="center"/>
                </w:tcPr>
                <w:p w14:paraId="0B5E840D">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393" w:type="pct"/>
                  <w:vMerge w:val="continue"/>
                  <w:tcBorders>
                    <w:tl2br w:val="nil"/>
                    <w:tr2bl w:val="nil"/>
                  </w:tcBorders>
                  <w:vAlign w:val="center"/>
                </w:tcPr>
                <w:p w14:paraId="50F531FC">
                  <w:pPr>
                    <w:jc w:val="center"/>
                    <w:rPr>
                      <w:rFonts w:hint="default" w:ascii="Times New Roman" w:hAnsi="Times New Roman" w:eastAsia="宋体" w:cs="Times New Roman"/>
                      <w:color w:val="auto"/>
                      <w:kern w:val="2"/>
                      <w:sz w:val="18"/>
                      <w:szCs w:val="18"/>
                      <w:highlight w:val="none"/>
                      <w:u w:val="none" w:color="auto"/>
                      <w:lang w:val="en-US" w:eastAsia="zh-CN" w:bidi="ar-SA"/>
                    </w:rPr>
                  </w:pPr>
                </w:p>
              </w:tc>
              <w:tc>
                <w:tcPr>
                  <w:tcW w:w="259" w:type="pct"/>
                  <w:vMerge w:val="continue"/>
                  <w:tcBorders>
                    <w:tl2br w:val="nil"/>
                    <w:tr2bl w:val="nil"/>
                  </w:tcBorders>
                  <w:vAlign w:val="center"/>
                </w:tcPr>
                <w:p w14:paraId="471A7519">
                  <w:pPr>
                    <w:pStyle w:val="94"/>
                    <w:spacing w:beforeLines="0" w:afterLines="0" w:line="240" w:lineRule="auto"/>
                    <w:jc w:val="center"/>
                    <w:rPr>
                      <w:rFonts w:hint="default" w:ascii="Times New Roman" w:hAnsi="Times New Roman" w:eastAsia="宋体" w:cs="Times New Roman"/>
                      <w:color w:val="auto"/>
                      <w:kern w:val="0"/>
                      <w:sz w:val="18"/>
                      <w:szCs w:val="18"/>
                      <w:highlight w:val="none"/>
                      <w:u w:val="none" w:color="auto"/>
                      <w:lang w:val="en-US" w:eastAsia="zh-CN" w:bidi="ar-SA"/>
                    </w:rPr>
                  </w:pPr>
                </w:p>
              </w:tc>
              <w:tc>
                <w:tcPr>
                  <w:tcW w:w="477" w:type="pct"/>
                  <w:vMerge w:val="continue"/>
                  <w:tcBorders>
                    <w:tl2br w:val="nil"/>
                    <w:tr2bl w:val="nil"/>
                  </w:tcBorders>
                  <w:vAlign w:val="center"/>
                </w:tcPr>
                <w:p w14:paraId="5EAFAB44">
                  <w:pPr>
                    <w:pStyle w:val="94"/>
                    <w:spacing w:before="24" w:after="24"/>
                    <w:jc w:val="center"/>
                    <w:rPr>
                      <w:rFonts w:hint="default" w:ascii="Times New Roman" w:hAnsi="Times New Roman" w:eastAsia="宋体" w:cs="Times New Roman"/>
                      <w:b w:val="0"/>
                      <w:bCs w:val="0"/>
                      <w:color w:val="auto"/>
                      <w:kern w:val="2"/>
                      <w:sz w:val="18"/>
                      <w:szCs w:val="18"/>
                      <w:highlight w:val="none"/>
                      <w:u w:val="none" w:color="auto"/>
                      <w:lang w:val="en-US" w:eastAsia="zh-CN" w:bidi="ar-SA"/>
                    </w:rPr>
                  </w:pPr>
                </w:p>
              </w:tc>
              <w:tc>
                <w:tcPr>
                  <w:tcW w:w="451" w:type="pct"/>
                  <w:vMerge w:val="continue"/>
                  <w:tcBorders>
                    <w:tl2br w:val="nil"/>
                    <w:tr2bl w:val="nil"/>
                  </w:tcBorders>
                  <w:vAlign w:val="center"/>
                </w:tcPr>
                <w:p w14:paraId="52EC129D">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765" w:type="pct"/>
                  <w:vMerge w:val="continue"/>
                  <w:tcBorders>
                    <w:tl2br w:val="nil"/>
                    <w:tr2bl w:val="nil"/>
                  </w:tcBorders>
                  <w:vAlign w:val="center"/>
                </w:tcPr>
                <w:p w14:paraId="4CD11632">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lang w:val="en-US" w:eastAsia="zh-CN"/>
                    </w:rPr>
                  </w:pPr>
                </w:p>
              </w:tc>
              <w:tc>
                <w:tcPr>
                  <w:tcW w:w="368" w:type="pct"/>
                  <w:tcBorders>
                    <w:tl2br w:val="nil"/>
                    <w:tr2bl w:val="nil"/>
                  </w:tcBorders>
                  <w:vAlign w:val="center"/>
                </w:tcPr>
                <w:p w14:paraId="24565D2E">
                  <w:pPr>
                    <w:keepNext w:val="0"/>
                    <w:keepLines w:val="0"/>
                    <w:widowControl/>
                    <w:suppressLineNumbers w:val="0"/>
                    <w:jc w:val="center"/>
                    <w:textAlignment w:val="center"/>
                    <w:rPr>
                      <w:rFonts w:hint="default"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15</w:t>
                  </w:r>
                </w:p>
              </w:tc>
              <w:tc>
                <w:tcPr>
                  <w:tcW w:w="400" w:type="pct"/>
                  <w:tcBorders>
                    <w:tl2br w:val="nil"/>
                    <w:tr2bl w:val="nil"/>
                  </w:tcBorders>
                  <w:vAlign w:val="center"/>
                </w:tcPr>
                <w:p w14:paraId="33F56761">
                  <w:pPr>
                    <w:keepNext w:val="0"/>
                    <w:keepLines w:val="0"/>
                    <w:widowControl/>
                    <w:suppressLineNumbers w:val="0"/>
                    <w:jc w:val="center"/>
                    <w:textAlignment w:val="center"/>
                    <w:rPr>
                      <w:rFonts w:hint="default"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83.0</w:t>
                  </w:r>
                </w:p>
              </w:tc>
              <w:tc>
                <w:tcPr>
                  <w:tcW w:w="342" w:type="pct"/>
                  <w:vMerge w:val="continue"/>
                  <w:tcBorders>
                    <w:tl2br w:val="nil"/>
                    <w:tr2bl w:val="nil"/>
                  </w:tcBorders>
                  <w:vAlign w:val="center"/>
                </w:tcPr>
                <w:p w14:paraId="6DA306B3">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c>
                <w:tcPr>
                  <w:tcW w:w="419" w:type="pct"/>
                  <w:tcBorders>
                    <w:tl2br w:val="nil"/>
                    <w:tr2bl w:val="nil"/>
                  </w:tcBorders>
                  <w:vAlign w:val="center"/>
                </w:tcPr>
                <w:p w14:paraId="20A94EB1">
                  <w:pPr>
                    <w:keepNext w:val="0"/>
                    <w:keepLines w:val="0"/>
                    <w:widowControl/>
                    <w:suppressLineNumbers w:val="0"/>
                    <w:jc w:val="center"/>
                    <w:textAlignment w:val="center"/>
                    <w:rPr>
                      <w:rFonts w:hint="default"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26</w:t>
                  </w:r>
                </w:p>
              </w:tc>
              <w:tc>
                <w:tcPr>
                  <w:tcW w:w="419" w:type="pct"/>
                  <w:tcBorders>
                    <w:tl2br w:val="nil"/>
                    <w:tr2bl w:val="nil"/>
                  </w:tcBorders>
                  <w:vAlign w:val="center"/>
                </w:tcPr>
                <w:p w14:paraId="55513A08">
                  <w:pPr>
                    <w:keepNext w:val="0"/>
                    <w:keepLines w:val="0"/>
                    <w:widowControl/>
                    <w:suppressLineNumbers w:val="0"/>
                    <w:jc w:val="center"/>
                    <w:textAlignment w:val="center"/>
                    <w:rPr>
                      <w:rFonts w:hint="default" w:cs="Times New Roman"/>
                      <w:color w:val="auto"/>
                      <w:sz w:val="18"/>
                      <w:szCs w:val="18"/>
                      <w:highlight w:val="none"/>
                      <w:u w:val="none" w:color="auto"/>
                      <w:lang w:val="en-US" w:eastAsia="zh-CN"/>
                    </w:rPr>
                  </w:pPr>
                  <w:r>
                    <w:rPr>
                      <w:rFonts w:hint="eastAsia" w:cs="Times New Roman"/>
                      <w:color w:val="auto"/>
                      <w:sz w:val="18"/>
                      <w:szCs w:val="18"/>
                      <w:highlight w:val="none"/>
                      <w:u w:val="none" w:color="auto"/>
                      <w:lang w:val="en-US" w:eastAsia="zh-CN"/>
                    </w:rPr>
                    <w:t>57.0</w:t>
                  </w:r>
                </w:p>
              </w:tc>
              <w:tc>
                <w:tcPr>
                  <w:tcW w:w="235" w:type="pct"/>
                  <w:tcBorders>
                    <w:tl2br w:val="nil"/>
                    <w:tr2bl w:val="nil"/>
                  </w:tcBorders>
                  <w:vAlign w:val="center"/>
                </w:tcPr>
                <w:p w14:paraId="5B93C321">
                  <w:pPr>
                    <w:pStyle w:val="26"/>
                    <w:spacing w:line="240" w:lineRule="auto"/>
                    <w:ind w:firstLine="0" w:firstLineChars="0"/>
                    <w:jc w:val="center"/>
                    <w:rPr>
                      <w:rFonts w:hint="default" w:ascii="Times New Roman" w:hAnsi="Times New Roman" w:eastAsia="宋体" w:cs="Times New Roman"/>
                      <w:color w:val="auto"/>
                      <w:sz w:val="18"/>
                      <w:szCs w:val="18"/>
                      <w:highlight w:val="none"/>
                      <w:u w:val="none" w:color="auto"/>
                    </w:rPr>
                  </w:pPr>
                </w:p>
              </w:tc>
            </w:tr>
          </w:tbl>
          <w:p w14:paraId="56B6C211">
            <w:pPr>
              <w:pStyle w:val="30"/>
              <w:keepNext w:val="0"/>
              <w:keepLines w:val="0"/>
              <w:pageBreakBefore w:val="0"/>
              <w:widowControl w:val="0"/>
              <w:kinsoku/>
              <w:wordWrap/>
              <w:overflowPunct/>
              <w:topLinePunct w:val="0"/>
              <w:autoSpaceDE/>
              <w:autoSpaceDN/>
              <w:bidi w:val="0"/>
              <w:adjustRightInd/>
              <w:snapToGrid/>
              <w:ind w:firstLine="0" w:firstLineChars="0"/>
              <w:jc w:val="center"/>
              <w:textAlignment w:val="auto"/>
              <w:rPr>
                <w:rStyle w:val="70"/>
                <w:rFonts w:hint="default" w:ascii="Times New Roman" w:hAnsi="Times New Roman" w:eastAsia="宋体" w:cs="Times New Roman"/>
                <w:color w:val="auto"/>
                <w:sz w:val="21"/>
                <w:szCs w:val="21"/>
                <w:highlight w:val="none"/>
                <w:u w:val="none" w:color="auto"/>
              </w:rPr>
            </w:pPr>
            <w:r>
              <w:rPr>
                <w:rStyle w:val="70"/>
                <w:rFonts w:hint="default" w:ascii="Times New Roman" w:hAnsi="Times New Roman" w:eastAsia="宋体" w:cs="Times New Roman"/>
                <w:color w:val="auto"/>
                <w:sz w:val="21"/>
                <w:szCs w:val="21"/>
                <w:highlight w:val="none"/>
                <w:u w:val="none" w:color="auto"/>
              </w:rPr>
              <w:t>表4-</w:t>
            </w:r>
            <w:r>
              <w:rPr>
                <w:rStyle w:val="70"/>
                <w:rFonts w:hint="default" w:ascii="Times New Roman" w:hAnsi="Times New Roman" w:eastAsia="宋体" w:cs="Times New Roman"/>
                <w:color w:val="auto"/>
                <w:sz w:val="21"/>
                <w:szCs w:val="21"/>
                <w:highlight w:val="none"/>
                <w:u w:val="none" w:color="auto"/>
                <w:lang w:val="en-US" w:eastAsia="zh-CN"/>
              </w:rPr>
              <w:t>1</w:t>
            </w:r>
            <w:r>
              <w:rPr>
                <w:rStyle w:val="70"/>
                <w:rFonts w:hint="default" w:ascii="Times New Roman" w:hAnsi="Times New Roman" w:cs="Times New Roman"/>
                <w:color w:val="auto"/>
                <w:sz w:val="21"/>
                <w:szCs w:val="21"/>
                <w:highlight w:val="none"/>
                <w:u w:val="none" w:color="auto"/>
                <w:lang w:val="en-US" w:eastAsia="zh-CN"/>
              </w:rPr>
              <w:t>6</w:t>
            </w:r>
            <w:r>
              <w:rPr>
                <w:rStyle w:val="70"/>
                <w:rFonts w:hint="default" w:ascii="Times New Roman" w:hAnsi="Times New Roman" w:eastAsia="宋体" w:cs="Times New Roman"/>
                <w:color w:val="auto"/>
                <w:sz w:val="21"/>
                <w:szCs w:val="21"/>
                <w:highlight w:val="none"/>
                <w:u w:val="none" w:color="auto"/>
              </w:rPr>
              <w:t xml:space="preserve"> </w:t>
            </w:r>
            <w:r>
              <w:rPr>
                <w:rStyle w:val="70"/>
                <w:rFonts w:hint="default" w:ascii="Times New Roman" w:hAnsi="Times New Roman" w:eastAsia="宋体" w:cs="Times New Roman"/>
                <w:color w:val="auto"/>
                <w:sz w:val="21"/>
                <w:szCs w:val="21"/>
                <w:highlight w:val="none"/>
                <w:u w:val="none" w:color="auto"/>
                <w:lang w:eastAsia="zh-CN"/>
              </w:rPr>
              <w:t>工业企业噪声源强调查清单（室外声源）</w:t>
            </w:r>
          </w:p>
          <w:tbl>
            <w:tblPr>
              <w:tblStyle w:val="43"/>
              <w:tblW w:w="8006" w:type="dxa"/>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83"/>
              <w:gridCol w:w="1317"/>
              <w:gridCol w:w="1001"/>
              <w:gridCol w:w="1001"/>
              <w:gridCol w:w="1001"/>
              <w:gridCol w:w="1245"/>
              <w:gridCol w:w="930"/>
              <w:gridCol w:w="828"/>
            </w:tblGrid>
            <w:tr w14:paraId="412FF5B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83" w:type="dxa"/>
                  <w:vMerge w:val="restart"/>
                  <w:tcBorders>
                    <w:tl2br w:val="nil"/>
                    <w:tr2bl w:val="nil"/>
                  </w:tcBorders>
                  <w:vAlign w:val="center"/>
                </w:tcPr>
                <w:p w14:paraId="5834D99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70"/>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70"/>
                      <w:rFonts w:hint="default" w:ascii="Times New Roman" w:hAnsi="Times New Roman" w:eastAsia="宋体" w:cs="Times New Roman"/>
                      <w:b w:val="0"/>
                      <w:bCs w:val="0"/>
                      <w:color w:val="auto"/>
                      <w:sz w:val="21"/>
                      <w:szCs w:val="21"/>
                      <w:highlight w:val="none"/>
                      <w:u w:val="none" w:color="auto"/>
                      <w:vertAlign w:val="baseline"/>
                      <w:lang w:val="en-US" w:eastAsia="zh-CN"/>
                    </w:rPr>
                    <w:t>序号</w:t>
                  </w:r>
                </w:p>
              </w:tc>
              <w:tc>
                <w:tcPr>
                  <w:tcW w:w="1317" w:type="dxa"/>
                  <w:vMerge w:val="restart"/>
                  <w:tcBorders>
                    <w:tl2br w:val="nil"/>
                    <w:tr2bl w:val="nil"/>
                  </w:tcBorders>
                  <w:vAlign w:val="center"/>
                </w:tcPr>
                <w:p w14:paraId="37A2CE1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70"/>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70"/>
                      <w:rFonts w:hint="default" w:ascii="Times New Roman" w:hAnsi="Times New Roman" w:eastAsia="宋体" w:cs="Times New Roman"/>
                      <w:b w:val="0"/>
                      <w:bCs w:val="0"/>
                      <w:color w:val="auto"/>
                      <w:sz w:val="21"/>
                      <w:szCs w:val="21"/>
                      <w:highlight w:val="none"/>
                      <w:u w:val="none" w:color="auto"/>
                      <w:vertAlign w:val="baseline"/>
                      <w:lang w:val="en-US" w:eastAsia="zh-CN"/>
                    </w:rPr>
                    <w:t>声源名称</w:t>
                  </w:r>
                </w:p>
              </w:tc>
              <w:tc>
                <w:tcPr>
                  <w:tcW w:w="3003" w:type="dxa"/>
                  <w:gridSpan w:val="3"/>
                  <w:tcBorders>
                    <w:tl2br w:val="nil"/>
                    <w:tr2bl w:val="nil"/>
                  </w:tcBorders>
                  <w:vAlign w:val="center"/>
                </w:tcPr>
                <w:p w14:paraId="044BFA6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70"/>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70"/>
                      <w:rFonts w:hint="eastAsia" w:ascii="Times New Roman" w:hAnsi="Times New Roman" w:eastAsia="宋体" w:cs="Times New Roman"/>
                      <w:b w:val="0"/>
                      <w:bCs w:val="0"/>
                      <w:color w:val="auto"/>
                      <w:sz w:val="21"/>
                      <w:szCs w:val="21"/>
                      <w:highlight w:val="none"/>
                      <w:u w:val="none" w:color="auto"/>
                      <w:vertAlign w:val="baseline"/>
                      <w:lang w:val="en-US" w:eastAsia="zh-CN"/>
                    </w:rPr>
                    <w:t>空间相对位置/m</w:t>
                  </w:r>
                </w:p>
              </w:tc>
              <w:tc>
                <w:tcPr>
                  <w:tcW w:w="1245" w:type="dxa"/>
                  <w:vMerge w:val="restart"/>
                  <w:tcBorders>
                    <w:tl2br w:val="nil"/>
                    <w:tr2bl w:val="nil"/>
                  </w:tcBorders>
                  <w:vAlign w:val="center"/>
                </w:tcPr>
                <w:p w14:paraId="31B45309">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70"/>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70"/>
                      <w:rFonts w:hint="default" w:ascii="Times New Roman" w:hAnsi="Times New Roman" w:eastAsia="宋体" w:cs="Times New Roman"/>
                      <w:b w:val="0"/>
                      <w:bCs w:val="0"/>
                      <w:color w:val="auto"/>
                      <w:sz w:val="21"/>
                      <w:szCs w:val="21"/>
                      <w:highlight w:val="none"/>
                      <w:u w:val="none" w:color="auto"/>
                      <w:vertAlign w:val="baseline"/>
                      <w:lang w:val="en-US" w:eastAsia="zh-CN"/>
                    </w:rPr>
                    <w:t>声功率级/dB(A)</w:t>
                  </w:r>
                </w:p>
              </w:tc>
              <w:tc>
                <w:tcPr>
                  <w:tcW w:w="930" w:type="dxa"/>
                  <w:vMerge w:val="restart"/>
                  <w:tcBorders>
                    <w:tl2br w:val="nil"/>
                    <w:tr2bl w:val="nil"/>
                  </w:tcBorders>
                  <w:vAlign w:val="center"/>
                </w:tcPr>
                <w:p w14:paraId="363A7E8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70"/>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70"/>
                      <w:rFonts w:hint="eastAsia" w:ascii="Times New Roman" w:hAnsi="Times New Roman" w:eastAsia="宋体" w:cs="Times New Roman"/>
                      <w:b w:val="0"/>
                      <w:bCs w:val="0"/>
                      <w:color w:val="auto"/>
                      <w:sz w:val="21"/>
                      <w:szCs w:val="21"/>
                      <w:highlight w:val="none"/>
                      <w:u w:val="none" w:color="auto"/>
                      <w:vertAlign w:val="baseline"/>
                      <w:lang w:val="en-US" w:eastAsia="zh-CN"/>
                    </w:rPr>
                    <w:t>声源控制措施</w:t>
                  </w:r>
                </w:p>
              </w:tc>
              <w:tc>
                <w:tcPr>
                  <w:tcW w:w="828" w:type="dxa"/>
                  <w:vMerge w:val="restart"/>
                  <w:tcBorders>
                    <w:tl2br w:val="nil"/>
                    <w:tr2bl w:val="nil"/>
                  </w:tcBorders>
                  <w:vAlign w:val="center"/>
                </w:tcPr>
                <w:p w14:paraId="402E5D1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70"/>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70"/>
                      <w:rFonts w:hint="eastAsia" w:ascii="Times New Roman" w:hAnsi="Times New Roman" w:eastAsia="宋体" w:cs="Times New Roman"/>
                      <w:b w:val="0"/>
                      <w:bCs w:val="0"/>
                      <w:color w:val="auto"/>
                      <w:sz w:val="21"/>
                      <w:szCs w:val="21"/>
                      <w:highlight w:val="none"/>
                      <w:u w:val="none" w:color="auto"/>
                      <w:vertAlign w:val="baseline"/>
                      <w:lang w:val="en-US" w:eastAsia="zh-CN"/>
                    </w:rPr>
                    <w:t>运行时段</w:t>
                  </w:r>
                </w:p>
              </w:tc>
            </w:tr>
            <w:tr w14:paraId="7A41BD4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83" w:type="dxa"/>
                  <w:vMerge w:val="continue"/>
                  <w:tcBorders>
                    <w:tl2br w:val="nil"/>
                    <w:tr2bl w:val="nil"/>
                  </w:tcBorders>
                  <w:vAlign w:val="center"/>
                </w:tcPr>
                <w:p w14:paraId="5B25F8D1">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70"/>
                      <w:rFonts w:hint="default" w:ascii="Times New Roman" w:hAnsi="Times New Roman" w:eastAsia="宋体" w:cs="Times New Roman"/>
                      <w:b w:val="0"/>
                      <w:bCs w:val="0"/>
                      <w:color w:val="auto"/>
                      <w:sz w:val="21"/>
                      <w:szCs w:val="21"/>
                      <w:highlight w:val="none"/>
                      <w:u w:val="none" w:color="auto"/>
                      <w:vertAlign w:val="baseline"/>
                      <w:lang w:val="en-US" w:eastAsia="zh-CN"/>
                    </w:rPr>
                  </w:pPr>
                </w:p>
              </w:tc>
              <w:tc>
                <w:tcPr>
                  <w:tcW w:w="1317" w:type="dxa"/>
                  <w:vMerge w:val="continue"/>
                  <w:tcBorders>
                    <w:tl2br w:val="nil"/>
                    <w:tr2bl w:val="nil"/>
                  </w:tcBorders>
                  <w:vAlign w:val="center"/>
                </w:tcPr>
                <w:p w14:paraId="690350BF">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70"/>
                      <w:rFonts w:hint="default" w:ascii="Times New Roman" w:hAnsi="Times New Roman" w:eastAsia="宋体" w:cs="Times New Roman"/>
                      <w:b w:val="0"/>
                      <w:bCs w:val="0"/>
                      <w:color w:val="auto"/>
                      <w:sz w:val="21"/>
                      <w:szCs w:val="21"/>
                      <w:highlight w:val="none"/>
                      <w:u w:val="none" w:color="auto"/>
                      <w:vertAlign w:val="baseline"/>
                      <w:lang w:val="en-US" w:eastAsia="zh-CN"/>
                    </w:rPr>
                  </w:pPr>
                </w:p>
              </w:tc>
              <w:tc>
                <w:tcPr>
                  <w:tcW w:w="1001" w:type="dxa"/>
                  <w:tcBorders>
                    <w:tl2br w:val="nil"/>
                    <w:tr2bl w:val="nil"/>
                  </w:tcBorders>
                  <w:vAlign w:val="center"/>
                </w:tcPr>
                <w:p w14:paraId="7FFBF33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70"/>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70"/>
                      <w:rFonts w:hint="eastAsia" w:ascii="Times New Roman" w:hAnsi="Times New Roman" w:eastAsia="宋体" w:cs="Times New Roman"/>
                      <w:b w:val="0"/>
                      <w:bCs w:val="0"/>
                      <w:color w:val="auto"/>
                      <w:sz w:val="21"/>
                      <w:szCs w:val="21"/>
                      <w:highlight w:val="none"/>
                      <w:u w:val="none" w:color="auto"/>
                      <w:vertAlign w:val="baseline"/>
                      <w:lang w:val="en-US" w:eastAsia="zh-CN"/>
                    </w:rPr>
                    <w:t>X</w:t>
                  </w:r>
                </w:p>
              </w:tc>
              <w:tc>
                <w:tcPr>
                  <w:tcW w:w="1001" w:type="dxa"/>
                  <w:tcBorders>
                    <w:tl2br w:val="nil"/>
                    <w:tr2bl w:val="nil"/>
                  </w:tcBorders>
                  <w:vAlign w:val="center"/>
                </w:tcPr>
                <w:p w14:paraId="1F7172F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70"/>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70"/>
                      <w:rFonts w:hint="eastAsia" w:ascii="Times New Roman" w:hAnsi="Times New Roman" w:eastAsia="宋体" w:cs="Times New Roman"/>
                      <w:b w:val="0"/>
                      <w:bCs w:val="0"/>
                      <w:color w:val="auto"/>
                      <w:sz w:val="21"/>
                      <w:szCs w:val="21"/>
                      <w:highlight w:val="none"/>
                      <w:u w:val="none" w:color="auto"/>
                      <w:vertAlign w:val="baseline"/>
                      <w:lang w:val="en-US" w:eastAsia="zh-CN"/>
                    </w:rPr>
                    <w:t>Y</w:t>
                  </w:r>
                </w:p>
              </w:tc>
              <w:tc>
                <w:tcPr>
                  <w:tcW w:w="1001" w:type="dxa"/>
                  <w:tcBorders>
                    <w:tl2br w:val="nil"/>
                    <w:tr2bl w:val="nil"/>
                  </w:tcBorders>
                  <w:vAlign w:val="center"/>
                </w:tcPr>
                <w:p w14:paraId="1C515713">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70"/>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70"/>
                      <w:rFonts w:hint="eastAsia" w:ascii="Times New Roman" w:hAnsi="Times New Roman" w:eastAsia="宋体" w:cs="Times New Roman"/>
                      <w:b w:val="0"/>
                      <w:bCs w:val="0"/>
                      <w:color w:val="auto"/>
                      <w:sz w:val="21"/>
                      <w:szCs w:val="21"/>
                      <w:highlight w:val="none"/>
                      <w:u w:val="none" w:color="auto"/>
                      <w:vertAlign w:val="baseline"/>
                      <w:lang w:val="en-US" w:eastAsia="zh-CN"/>
                    </w:rPr>
                    <w:t>Z</w:t>
                  </w:r>
                </w:p>
              </w:tc>
              <w:tc>
                <w:tcPr>
                  <w:tcW w:w="1245" w:type="dxa"/>
                  <w:vMerge w:val="continue"/>
                  <w:tcBorders>
                    <w:tl2br w:val="nil"/>
                    <w:tr2bl w:val="nil"/>
                  </w:tcBorders>
                  <w:vAlign w:val="center"/>
                </w:tcPr>
                <w:p w14:paraId="41E41F3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70"/>
                      <w:rFonts w:hint="default" w:ascii="Times New Roman" w:hAnsi="Times New Roman" w:eastAsia="宋体" w:cs="Times New Roman"/>
                      <w:b w:val="0"/>
                      <w:bCs w:val="0"/>
                      <w:color w:val="auto"/>
                      <w:sz w:val="21"/>
                      <w:szCs w:val="21"/>
                      <w:highlight w:val="none"/>
                      <w:u w:val="none" w:color="auto"/>
                      <w:vertAlign w:val="baseline"/>
                      <w:lang w:val="en-US" w:eastAsia="zh-CN"/>
                    </w:rPr>
                  </w:pPr>
                </w:p>
              </w:tc>
              <w:tc>
                <w:tcPr>
                  <w:tcW w:w="930" w:type="dxa"/>
                  <w:vMerge w:val="continue"/>
                  <w:tcBorders>
                    <w:tl2br w:val="nil"/>
                    <w:tr2bl w:val="nil"/>
                  </w:tcBorders>
                  <w:vAlign w:val="center"/>
                </w:tcPr>
                <w:p w14:paraId="65685AC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70"/>
                      <w:rFonts w:hint="default" w:ascii="Times New Roman" w:hAnsi="Times New Roman" w:eastAsia="宋体" w:cs="Times New Roman"/>
                      <w:b w:val="0"/>
                      <w:bCs w:val="0"/>
                      <w:color w:val="auto"/>
                      <w:sz w:val="21"/>
                      <w:szCs w:val="21"/>
                      <w:highlight w:val="none"/>
                      <w:u w:val="none" w:color="auto"/>
                      <w:vertAlign w:val="baseline"/>
                      <w:lang w:val="en-US" w:eastAsia="zh-CN"/>
                    </w:rPr>
                  </w:pPr>
                </w:p>
              </w:tc>
              <w:tc>
                <w:tcPr>
                  <w:tcW w:w="828" w:type="dxa"/>
                  <w:vMerge w:val="continue"/>
                  <w:tcBorders>
                    <w:tl2br w:val="nil"/>
                    <w:tr2bl w:val="nil"/>
                  </w:tcBorders>
                  <w:vAlign w:val="center"/>
                </w:tcPr>
                <w:p w14:paraId="79A270E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70"/>
                      <w:rFonts w:hint="default" w:ascii="Times New Roman" w:hAnsi="Times New Roman" w:eastAsia="宋体" w:cs="Times New Roman"/>
                      <w:b w:val="0"/>
                      <w:bCs w:val="0"/>
                      <w:color w:val="auto"/>
                      <w:sz w:val="21"/>
                      <w:szCs w:val="21"/>
                      <w:highlight w:val="none"/>
                      <w:u w:val="none" w:color="auto"/>
                      <w:vertAlign w:val="baseline"/>
                      <w:lang w:val="en-US" w:eastAsia="zh-CN"/>
                    </w:rPr>
                  </w:pPr>
                </w:p>
              </w:tc>
            </w:tr>
            <w:tr w14:paraId="61A51A0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83" w:type="dxa"/>
                  <w:tcBorders>
                    <w:tl2br w:val="nil"/>
                    <w:tr2bl w:val="nil"/>
                  </w:tcBorders>
                  <w:vAlign w:val="center"/>
                </w:tcPr>
                <w:p w14:paraId="192EFD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70"/>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70"/>
                      <w:rFonts w:hint="eastAsia" w:ascii="Times New Roman" w:hAnsi="Times New Roman" w:eastAsia="宋体" w:cs="Times New Roman"/>
                      <w:b w:val="0"/>
                      <w:bCs w:val="0"/>
                      <w:color w:val="auto"/>
                      <w:sz w:val="21"/>
                      <w:szCs w:val="21"/>
                      <w:highlight w:val="none"/>
                      <w:u w:val="none" w:color="auto"/>
                      <w:vertAlign w:val="baseline"/>
                      <w:lang w:val="en-US" w:eastAsia="zh-CN"/>
                    </w:rPr>
                    <w:t>1</w:t>
                  </w:r>
                </w:p>
              </w:tc>
              <w:tc>
                <w:tcPr>
                  <w:tcW w:w="1317" w:type="dxa"/>
                  <w:tcBorders>
                    <w:tl2br w:val="nil"/>
                    <w:tr2bl w:val="nil"/>
                  </w:tcBorders>
                  <w:vAlign w:val="center"/>
                </w:tcPr>
                <w:p w14:paraId="2161AC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70"/>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70"/>
                      <w:rFonts w:hint="eastAsia" w:ascii="Times New Roman" w:hAnsi="Times New Roman" w:eastAsia="宋体" w:cs="Times New Roman"/>
                      <w:b w:val="0"/>
                      <w:bCs w:val="0"/>
                      <w:color w:val="auto"/>
                      <w:sz w:val="21"/>
                      <w:szCs w:val="21"/>
                      <w:highlight w:val="none"/>
                      <w:u w:val="none" w:color="auto"/>
                      <w:vertAlign w:val="baseline"/>
                      <w:lang w:val="en-US" w:eastAsia="zh-CN"/>
                    </w:rPr>
                    <w:t>风机1</w:t>
                  </w:r>
                </w:p>
              </w:tc>
              <w:tc>
                <w:tcPr>
                  <w:tcW w:w="1001" w:type="dxa"/>
                  <w:tcBorders>
                    <w:tl2br w:val="nil"/>
                    <w:tr2bl w:val="nil"/>
                  </w:tcBorders>
                  <w:vAlign w:val="center"/>
                </w:tcPr>
                <w:p w14:paraId="4F0308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70"/>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70"/>
                      <w:rFonts w:hint="eastAsia" w:ascii="Times New Roman" w:hAnsi="Times New Roman" w:eastAsia="宋体" w:cs="Times New Roman"/>
                      <w:b w:val="0"/>
                      <w:bCs w:val="0"/>
                      <w:color w:val="auto"/>
                      <w:sz w:val="21"/>
                      <w:szCs w:val="21"/>
                      <w:highlight w:val="none"/>
                      <w:u w:val="none" w:color="auto"/>
                      <w:vertAlign w:val="baseline"/>
                      <w:lang w:val="en-US" w:eastAsia="zh-CN"/>
                    </w:rPr>
                    <w:t>-37.1</w:t>
                  </w:r>
                </w:p>
              </w:tc>
              <w:tc>
                <w:tcPr>
                  <w:tcW w:w="1001" w:type="dxa"/>
                  <w:tcBorders>
                    <w:tl2br w:val="nil"/>
                    <w:tr2bl w:val="nil"/>
                  </w:tcBorders>
                  <w:vAlign w:val="center"/>
                </w:tcPr>
                <w:p w14:paraId="65AEEF4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70"/>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70"/>
                      <w:rFonts w:hint="eastAsia" w:ascii="Times New Roman" w:hAnsi="Times New Roman" w:eastAsia="宋体" w:cs="Times New Roman"/>
                      <w:b w:val="0"/>
                      <w:bCs w:val="0"/>
                      <w:color w:val="auto"/>
                      <w:sz w:val="21"/>
                      <w:szCs w:val="21"/>
                      <w:highlight w:val="none"/>
                      <w:u w:val="none" w:color="auto"/>
                      <w:vertAlign w:val="baseline"/>
                      <w:lang w:val="en-US" w:eastAsia="zh-CN"/>
                    </w:rPr>
                    <w:t>60.6</w:t>
                  </w:r>
                </w:p>
              </w:tc>
              <w:tc>
                <w:tcPr>
                  <w:tcW w:w="1001" w:type="dxa"/>
                  <w:tcBorders>
                    <w:tl2br w:val="nil"/>
                    <w:tr2bl w:val="nil"/>
                  </w:tcBorders>
                  <w:vAlign w:val="center"/>
                </w:tcPr>
                <w:p w14:paraId="2D6DEB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70"/>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70"/>
                      <w:rFonts w:hint="eastAsia" w:ascii="Times New Roman" w:hAnsi="Times New Roman" w:eastAsia="宋体" w:cs="Times New Roman"/>
                      <w:b w:val="0"/>
                      <w:bCs w:val="0"/>
                      <w:color w:val="auto"/>
                      <w:sz w:val="21"/>
                      <w:szCs w:val="21"/>
                      <w:highlight w:val="none"/>
                      <w:u w:val="none" w:color="auto"/>
                      <w:vertAlign w:val="baseline"/>
                      <w:lang w:val="en-US" w:eastAsia="zh-CN"/>
                    </w:rPr>
                    <w:t>1.2</w:t>
                  </w:r>
                </w:p>
              </w:tc>
              <w:tc>
                <w:tcPr>
                  <w:tcW w:w="1245" w:type="dxa"/>
                  <w:tcBorders>
                    <w:tl2br w:val="nil"/>
                    <w:tr2bl w:val="nil"/>
                  </w:tcBorders>
                  <w:vAlign w:val="center"/>
                </w:tcPr>
                <w:p w14:paraId="6B733B62">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70"/>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70"/>
                      <w:rFonts w:hint="eastAsia" w:ascii="Times New Roman" w:hAnsi="Times New Roman" w:eastAsia="宋体" w:cs="Times New Roman"/>
                      <w:b w:val="0"/>
                      <w:bCs w:val="0"/>
                      <w:color w:val="auto"/>
                      <w:sz w:val="21"/>
                      <w:szCs w:val="21"/>
                      <w:highlight w:val="none"/>
                      <w:u w:val="none" w:color="auto"/>
                      <w:vertAlign w:val="baseline"/>
                      <w:lang w:val="en-US" w:eastAsia="zh-CN"/>
                    </w:rPr>
                    <w:t>90</w:t>
                  </w:r>
                </w:p>
              </w:tc>
              <w:tc>
                <w:tcPr>
                  <w:tcW w:w="930" w:type="dxa"/>
                  <w:vMerge w:val="restart"/>
                  <w:tcBorders>
                    <w:tl2br w:val="nil"/>
                    <w:tr2bl w:val="nil"/>
                  </w:tcBorders>
                  <w:vAlign w:val="center"/>
                </w:tcPr>
                <w:p w14:paraId="758F696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70"/>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70"/>
                      <w:rFonts w:hint="default" w:ascii="Times New Roman" w:hAnsi="Times New Roman" w:eastAsia="宋体" w:cs="Times New Roman"/>
                      <w:b w:val="0"/>
                      <w:bCs w:val="0"/>
                      <w:color w:val="auto"/>
                      <w:sz w:val="21"/>
                      <w:szCs w:val="21"/>
                      <w:highlight w:val="none"/>
                      <w:u w:val="none" w:color="auto"/>
                      <w:vertAlign w:val="baseline"/>
                      <w:lang w:val="en-US" w:eastAsia="zh-CN"/>
                    </w:rPr>
                    <w:t>减振、厂房隔声</w:t>
                  </w:r>
                </w:p>
              </w:tc>
              <w:tc>
                <w:tcPr>
                  <w:tcW w:w="828" w:type="dxa"/>
                  <w:vMerge w:val="restart"/>
                  <w:tcBorders>
                    <w:tl2br w:val="nil"/>
                    <w:tr2bl w:val="nil"/>
                  </w:tcBorders>
                  <w:vAlign w:val="center"/>
                </w:tcPr>
                <w:p w14:paraId="4F5B7C7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70"/>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70"/>
                      <w:rFonts w:hint="eastAsia" w:ascii="Times New Roman" w:hAnsi="Times New Roman" w:eastAsia="宋体" w:cs="Times New Roman"/>
                      <w:b w:val="0"/>
                      <w:bCs w:val="0"/>
                      <w:color w:val="auto"/>
                      <w:sz w:val="21"/>
                      <w:szCs w:val="21"/>
                      <w:highlight w:val="none"/>
                      <w:u w:val="none" w:color="auto"/>
                      <w:vertAlign w:val="baseline"/>
                      <w:lang w:val="en-US" w:eastAsia="zh-CN"/>
                    </w:rPr>
                    <w:t>9h</w:t>
                  </w:r>
                </w:p>
              </w:tc>
            </w:tr>
            <w:tr w14:paraId="28BCF7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83" w:type="dxa"/>
                  <w:tcBorders>
                    <w:tl2br w:val="nil"/>
                    <w:tr2bl w:val="nil"/>
                  </w:tcBorders>
                  <w:vAlign w:val="center"/>
                </w:tcPr>
                <w:p w14:paraId="7EDE242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70"/>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70"/>
                      <w:rFonts w:hint="eastAsia" w:ascii="Times New Roman" w:hAnsi="Times New Roman" w:eastAsia="宋体" w:cs="Times New Roman"/>
                      <w:b w:val="0"/>
                      <w:bCs w:val="0"/>
                      <w:color w:val="auto"/>
                      <w:sz w:val="21"/>
                      <w:szCs w:val="21"/>
                      <w:highlight w:val="none"/>
                      <w:u w:val="none" w:color="auto"/>
                      <w:vertAlign w:val="baseline"/>
                      <w:lang w:val="en-US" w:eastAsia="zh-CN"/>
                    </w:rPr>
                    <w:t>2</w:t>
                  </w:r>
                </w:p>
              </w:tc>
              <w:tc>
                <w:tcPr>
                  <w:tcW w:w="1317" w:type="dxa"/>
                  <w:tcBorders>
                    <w:tl2br w:val="nil"/>
                    <w:tr2bl w:val="nil"/>
                  </w:tcBorders>
                  <w:vAlign w:val="center"/>
                </w:tcPr>
                <w:p w14:paraId="6AFEF68B">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70"/>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70"/>
                      <w:rFonts w:hint="eastAsia" w:ascii="Times New Roman" w:hAnsi="Times New Roman" w:eastAsia="宋体" w:cs="Times New Roman"/>
                      <w:b w:val="0"/>
                      <w:bCs w:val="0"/>
                      <w:color w:val="auto"/>
                      <w:sz w:val="21"/>
                      <w:szCs w:val="21"/>
                      <w:highlight w:val="none"/>
                      <w:u w:val="none" w:color="auto"/>
                      <w:vertAlign w:val="baseline"/>
                      <w:lang w:val="en-US" w:eastAsia="zh-CN"/>
                    </w:rPr>
                    <w:t>风机2</w:t>
                  </w:r>
                </w:p>
              </w:tc>
              <w:tc>
                <w:tcPr>
                  <w:tcW w:w="1001" w:type="dxa"/>
                  <w:tcBorders>
                    <w:tl2br w:val="nil"/>
                    <w:tr2bl w:val="nil"/>
                  </w:tcBorders>
                  <w:vAlign w:val="center"/>
                </w:tcPr>
                <w:p w14:paraId="426CA78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70"/>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70"/>
                      <w:rFonts w:hint="eastAsia" w:ascii="Times New Roman" w:hAnsi="Times New Roman" w:eastAsia="宋体" w:cs="Times New Roman"/>
                      <w:b w:val="0"/>
                      <w:bCs w:val="0"/>
                      <w:color w:val="auto"/>
                      <w:sz w:val="21"/>
                      <w:szCs w:val="21"/>
                      <w:highlight w:val="none"/>
                      <w:u w:val="none" w:color="auto"/>
                      <w:vertAlign w:val="baseline"/>
                      <w:lang w:val="en-US" w:eastAsia="zh-CN"/>
                    </w:rPr>
                    <w:t>-29.8</w:t>
                  </w:r>
                </w:p>
              </w:tc>
              <w:tc>
                <w:tcPr>
                  <w:tcW w:w="1001" w:type="dxa"/>
                  <w:tcBorders>
                    <w:tl2br w:val="nil"/>
                    <w:tr2bl w:val="nil"/>
                  </w:tcBorders>
                  <w:vAlign w:val="center"/>
                </w:tcPr>
                <w:p w14:paraId="7CD842D8">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70"/>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70"/>
                      <w:rFonts w:hint="eastAsia" w:ascii="Times New Roman" w:hAnsi="Times New Roman" w:eastAsia="宋体" w:cs="Times New Roman"/>
                      <w:b w:val="0"/>
                      <w:bCs w:val="0"/>
                      <w:color w:val="auto"/>
                      <w:sz w:val="21"/>
                      <w:szCs w:val="21"/>
                      <w:highlight w:val="none"/>
                      <w:u w:val="none" w:color="auto"/>
                      <w:vertAlign w:val="baseline"/>
                      <w:lang w:val="en-US" w:eastAsia="zh-CN"/>
                    </w:rPr>
                    <w:t>67.9</w:t>
                  </w:r>
                </w:p>
              </w:tc>
              <w:tc>
                <w:tcPr>
                  <w:tcW w:w="1001" w:type="dxa"/>
                  <w:tcBorders>
                    <w:tl2br w:val="nil"/>
                    <w:tr2bl w:val="nil"/>
                  </w:tcBorders>
                  <w:vAlign w:val="center"/>
                </w:tcPr>
                <w:p w14:paraId="3168A3D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70"/>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70"/>
                      <w:rFonts w:hint="eastAsia" w:ascii="Times New Roman" w:hAnsi="Times New Roman" w:eastAsia="宋体" w:cs="Times New Roman"/>
                      <w:b w:val="0"/>
                      <w:bCs w:val="0"/>
                      <w:color w:val="auto"/>
                      <w:sz w:val="21"/>
                      <w:szCs w:val="21"/>
                      <w:highlight w:val="none"/>
                      <w:u w:val="none" w:color="auto"/>
                      <w:vertAlign w:val="baseline"/>
                      <w:lang w:val="en-US" w:eastAsia="zh-CN"/>
                    </w:rPr>
                    <w:t>1.2</w:t>
                  </w:r>
                </w:p>
              </w:tc>
              <w:tc>
                <w:tcPr>
                  <w:tcW w:w="1245" w:type="dxa"/>
                  <w:tcBorders>
                    <w:tl2br w:val="nil"/>
                    <w:tr2bl w:val="nil"/>
                  </w:tcBorders>
                  <w:vAlign w:val="center"/>
                </w:tcPr>
                <w:p w14:paraId="6C177A0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70"/>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70"/>
                      <w:rFonts w:hint="eastAsia" w:ascii="Times New Roman" w:hAnsi="Times New Roman" w:eastAsia="宋体" w:cs="Times New Roman"/>
                      <w:b w:val="0"/>
                      <w:bCs w:val="0"/>
                      <w:color w:val="auto"/>
                      <w:sz w:val="21"/>
                      <w:szCs w:val="21"/>
                      <w:highlight w:val="none"/>
                      <w:u w:val="none" w:color="auto"/>
                      <w:vertAlign w:val="baseline"/>
                      <w:lang w:val="en-US" w:eastAsia="zh-CN"/>
                    </w:rPr>
                    <w:t>90</w:t>
                  </w:r>
                </w:p>
              </w:tc>
              <w:tc>
                <w:tcPr>
                  <w:tcW w:w="930" w:type="dxa"/>
                  <w:vMerge w:val="continue"/>
                  <w:tcBorders>
                    <w:tl2br w:val="nil"/>
                    <w:tr2bl w:val="nil"/>
                  </w:tcBorders>
                  <w:vAlign w:val="center"/>
                </w:tcPr>
                <w:p w14:paraId="5BA0418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70"/>
                      <w:rFonts w:hint="default" w:ascii="Times New Roman" w:hAnsi="Times New Roman" w:eastAsia="宋体" w:cs="Times New Roman"/>
                      <w:b w:val="0"/>
                      <w:bCs w:val="0"/>
                      <w:color w:val="auto"/>
                      <w:sz w:val="21"/>
                      <w:szCs w:val="21"/>
                      <w:highlight w:val="none"/>
                      <w:u w:val="none" w:color="auto"/>
                      <w:vertAlign w:val="baseline"/>
                      <w:lang w:val="en-US" w:eastAsia="zh-CN"/>
                    </w:rPr>
                  </w:pPr>
                </w:p>
              </w:tc>
              <w:tc>
                <w:tcPr>
                  <w:tcW w:w="828" w:type="dxa"/>
                  <w:vMerge w:val="continue"/>
                  <w:tcBorders>
                    <w:tl2br w:val="nil"/>
                    <w:tr2bl w:val="nil"/>
                  </w:tcBorders>
                  <w:vAlign w:val="center"/>
                </w:tcPr>
                <w:p w14:paraId="4B574870">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70"/>
                      <w:rFonts w:hint="default" w:ascii="Times New Roman" w:hAnsi="Times New Roman" w:eastAsia="宋体" w:cs="Times New Roman"/>
                      <w:b w:val="0"/>
                      <w:bCs w:val="0"/>
                      <w:color w:val="auto"/>
                      <w:sz w:val="21"/>
                      <w:szCs w:val="21"/>
                      <w:highlight w:val="none"/>
                      <w:u w:val="none" w:color="auto"/>
                      <w:vertAlign w:val="baseline"/>
                      <w:lang w:val="en-US" w:eastAsia="zh-CN"/>
                    </w:rPr>
                  </w:pPr>
                </w:p>
              </w:tc>
            </w:tr>
            <w:tr w14:paraId="1C9989D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83" w:type="dxa"/>
                  <w:tcBorders>
                    <w:tl2br w:val="nil"/>
                    <w:tr2bl w:val="nil"/>
                  </w:tcBorders>
                  <w:vAlign w:val="center"/>
                </w:tcPr>
                <w:p w14:paraId="36A9A05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70"/>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70"/>
                      <w:rFonts w:hint="eastAsia" w:ascii="Times New Roman" w:hAnsi="Times New Roman" w:eastAsia="宋体" w:cs="Times New Roman"/>
                      <w:b w:val="0"/>
                      <w:bCs w:val="0"/>
                      <w:color w:val="auto"/>
                      <w:sz w:val="21"/>
                      <w:szCs w:val="21"/>
                      <w:highlight w:val="none"/>
                      <w:u w:val="none" w:color="auto"/>
                      <w:vertAlign w:val="baseline"/>
                      <w:lang w:val="en-US" w:eastAsia="zh-CN"/>
                    </w:rPr>
                    <w:t>3</w:t>
                  </w:r>
                </w:p>
              </w:tc>
              <w:tc>
                <w:tcPr>
                  <w:tcW w:w="1317" w:type="dxa"/>
                  <w:tcBorders>
                    <w:tl2br w:val="nil"/>
                    <w:tr2bl w:val="nil"/>
                  </w:tcBorders>
                  <w:vAlign w:val="center"/>
                </w:tcPr>
                <w:p w14:paraId="243E4C7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70"/>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70"/>
                      <w:rFonts w:hint="eastAsia" w:ascii="Times New Roman" w:hAnsi="Times New Roman" w:eastAsia="宋体" w:cs="Times New Roman"/>
                      <w:b w:val="0"/>
                      <w:bCs w:val="0"/>
                      <w:color w:val="auto"/>
                      <w:sz w:val="21"/>
                      <w:szCs w:val="21"/>
                      <w:highlight w:val="none"/>
                      <w:u w:val="none" w:color="auto"/>
                      <w:vertAlign w:val="baseline"/>
                      <w:lang w:val="en-US" w:eastAsia="zh-CN"/>
                    </w:rPr>
                    <w:t>风机3</w:t>
                  </w:r>
                </w:p>
              </w:tc>
              <w:tc>
                <w:tcPr>
                  <w:tcW w:w="1001" w:type="dxa"/>
                  <w:tcBorders>
                    <w:tl2br w:val="nil"/>
                    <w:tr2bl w:val="nil"/>
                  </w:tcBorders>
                  <w:vAlign w:val="center"/>
                </w:tcPr>
                <w:p w14:paraId="1D853BD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70"/>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70"/>
                      <w:rFonts w:hint="eastAsia" w:ascii="Times New Roman" w:hAnsi="Times New Roman" w:eastAsia="宋体" w:cs="Times New Roman"/>
                      <w:b w:val="0"/>
                      <w:bCs w:val="0"/>
                      <w:color w:val="auto"/>
                      <w:sz w:val="21"/>
                      <w:szCs w:val="21"/>
                      <w:highlight w:val="none"/>
                      <w:u w:val="none" w:color="auto"/>
                      <w:vertAlign w:val="baseline"/>
                      <w:lang w:val="en-US" w:eastAsia="zh-CN"/>
                    </w:rPr>
                    <w:t>6.1</w:t>
                  </w:r>
                </w:p>
              </w:tc>
              <w:tc>
                <w:tcPr>
                  <w:tcW w:w="1001" w:type="dxa"/>
                  <w:tcBorders>
                    <w:tl2br w:val="nil"/>
                    <w:tr2bl w:val="nil"/>
                  </w:tcBorders>
                  <w:vAlign w:val="center"/>
                </w:tcPr>
                <w:p w14:paraId="48DC4DD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70"/>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70"/>
                      <w:rFonts w:hint="eastAsia" w:ascii="Times New Roman" w:hAnsi="Times New Roman" w:eastAsia="宋体" w:cs="Times New Roman"/>
                      <w:b w:val="0"/>
                      <w:bCs w:val="0"/>
                      <w:color w:val="auto"/>
                      <w:sz w:val="21"/>
                      <w:szCs w:val="21"/>
                      <w:highlight w:val="none"/>
                      <w:u w:val="none" w:color="auto"/>
                      <w:vertAlign w:val="baseline"/>
                      <w:lang w:val="en-US" w:eastAsia="zh-CN"/>
                    </w:rPr>
                    <w:t>-19.3</w:t>
                  </w:r>
                </w:p>
              </w:tc>
              <w:tc>
                <w:tcPr>
                  <w:tcW w:w="1001" w:type="dxa"/>
                  <w:tcBorders>
                    <w:tl2br w:val="nil"/>
                    <w:tr2bl w:val="nil"/>
                  </w:tcBorders>
                  <w:vAlign w:val="center"/>
                </w:tcPr>
                <w:p w14:paraId="2118033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70"/>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70"/>
                      <w:rFonts w:hint="eastAsia" w:ascii="Times New Roman" w:hAnsi="Times New Roman" w:eastAsia="宋体" w:cs="Times New Roman"/>
                      <w:b w:val="0"/>
                      <w:bCs w:val="0"/>
                      <w:color w:val="auto"/>
                      <w:sz w:val="21"/>
                      <w:szCs w:val="21"/>
                      <w:highlight w:val="none"/>
                      <w:u w:val="none" w:color="auto"/>
                      <w:vertAlign w:val="baseline"/>
                      <w:lang w:val="en-US" w:eastAsia="zh-CN"/>
                    </w:rPr>
                    <w:t>1.2</w:t>
                  </w:r>
                </w:p>
              </w:tc>
              <w:tc>
                <w:tcPr>
                  <w:tcW w:w="1245" w:type="dxa"/>
                  <w:tcBorders>
                    <w:tl2br w:val="nil"/>
                    <w:tr2bl w:val="nil"/>
                  </w:tcBorders>
                  <w:vAlign w:val="center"/>
                </w:tcPr>
                <w:p w14:paraId="3B3DA5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70"/>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70"/>
                      <w:rFonts w:hint="eastAsia" w:ascii="Times New Roman" w:hAnsi="Times New Roman" w:eastAsia="宋体" w:cs="Times New Roman"/>
                      <w:b w:val="0"/>
                      <w:bCs w:val="0"/>
                      <w:color w:val="auto"/>
                      <w:sz w:val="21"/>
                      <w:szCs w:val="21"/>
                      <w:highlight w:val="none"/>
                      <w:u w:val="none" w:color="auto"/>
                      <w:vertAlign w:val="baseline"/>
                      <w:lang w:val="en-US" w:eastAsia="zh-CN"/>
                    </w:rPr>
                    <w:t>90</w:t>
                  </w:r>
                </w:p>
              </w:tc>
              <w:tc>
                <w:tcPr>
                  <w:tcW w:w="930" w:type="dxa"/>
                  <w:vMerge w:val="continue"/>
                  <w:tcBorders>
                    <w:tl2br w:val="nil"/>
                    <w:tr2bl w:val="nil"/>
                  </w:tcBorders>
                  <w:vAlign w:val="center"/>
                </w:tcPr>
                <w:p w14:paraId="424653C4">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70"/>
                      <w:rFonts w:hint="default" w:ascii="Times New Roman" w:hAnsi="Times New Roman" w:eastAsia="宋体" w:cs="Times New Roman"/>
                      <w:b w:val="0"/>
                      <w:bCs w:val="0"/>
                      <w:color w:val="auto"/>
                      <w:sz w:val="21"/>
                      <w:szCs w:val="21"/>
                      <w:highlight w:val="none"/>
                      <w:u w:val="none" w:color="auto"/>
                      <w:vertAlign w:val="baseline"/>
                      <w:lang w:val="en-US" w:eastAsia="zh-CN"/>
                    </w:rPr>
                  </w:pPr>
                </w:p>
              </w:tc>
              <w:tc>
                <w:tcPr>
                  <w:tcW w:w="828" w:type="dxa"/>
                  <w:vMerge w:val="continue"/>
                  <w:tcBorders>
                    <w:tl2br w:val="nil"/>
                    <w:tr2bl w:val="nil"/>
                  </w:tcBorders>
                  <w:vAlign w:val="center"/>
                </w:tcPr>
                <w:p w14:paraId="4D2C873C">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70"/>
                      <w:rFonts w:hint="default" w:ascii="Times New Roman" w:hAnsi="Times New Roman" w:eastAsia="宋体" w:cs="Times New Roman"/>
                      <w:b w:val="0"/>
                      <w:bCs w:val="0"/>
                      <w:color w:val="auto"/>
                      <w:sz w:val="21"/>
                      <w:szCs w:val="21"/>
                      <w:highlight w:val="none"/>
                      <w:u w:val="none" w:color="auto"/>
                      <w:vertAlign w:val="baseline"/>
                      <w:lang w:val="en-US" w:eastAsia="zh-CN"/>
                    </w:rPr>
                  </w:pPr>
                </w:p>
              </w:tc>
            </w:tr>
            <w:tr w14:paraId="43B9B5C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c>
                <w:tcPr>
                  <w:tcW w:w="683" w:type="dxa"/>
                  <w:tcBorders>
                    <w:tl2br w:val="nil"/>
                    <w:tr2bl w:val="nil"/>
                  </w:tcBorders>
                  <w:vAlign w:val="center"/>
                </w:tcPr>
                <w:p w14:paraId="1BD5240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70"/>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70"/>
                      <w:rFonts w:hint="eastAsia" w:ascii="Times New Roman" w:hAnsi="Times New Roman" w:eastAsia="宋体" w:cs="Times New Roman"/>
                      <w:b w:val="0"/>
                      <w:bCs w:val="0"/>
                      <w:color w:val="auto"/>
                      <w:sz w:val="21"/>
                      <w:szCs w:val="21"/>
                      <w:highlight w:val="none"/>
                      <w:u w:val="none" w:color="auto"/>
                      <w:vertAlign w:val="baseline"/>
                      <w:lang w:val="en-US" w:eastAsia="zh-CN"/>
                    </w:rPr>
                    <w:t>4</w:t>
                  </w:r>
                </w:p>
              </w:tc>
              <w:tc>
                <w:tcPr>
                  <w:tcW w:w="1317" w:type="dxa"/>
                  <w:tcBorders>
                    <w:tl2br w:val="nil"/>
                    <w:tr2bl w:val="nil"/>
                  </w:tcBorders>
                  <w:vAlign w:val="center"/>
                </w:tcPr>
                <w:p w14:paraId="39B52307">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70"/>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70"/>
                      <w:rFonts w:hint="eastAsia" w:ascii="Times New Roman" w:hAnsi="Times New Roman" w:eastAsia="宋体" w:cs="Times New Roman"/>
                      <w:b w:val="0"/>
                      <w:bCs w:val="0"/>
                      <w:color w:val="auto"/>
                      <w:sz w:val="21"/>
                      <w:szCs w:val="21"/>
                      <w:highlight w:val="none"/>
                      <w:u w:val="none" w:color="auto"/>
                      <w:vertAlign w:val="baseline"/>
                      <w:lang w:val="en-US" w:eastAsia="zh-CN"/>
                    </w:rPr>
                    <w:t>气浮机</w:t>
                  </w:r>
                </w:p>
              </w:tc>
              <w:tc>
                <w:tcPr>
                  <w:tcW w:w="1001" w:type="dxa"/>
                  <w:tcBorders>
                    <w:tl2br w:val="nil"/>
                    <w:tr2bl w:val="nil"/>
                  </w:tcBorders>
                  <w:vAlign w:val="center"/>
                </w:tcPr>
                <w:p w14:paraId="3BAD869A">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70"/>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70"/>
                      <w:rFonts w:hint="eastAsia" w:ascii="Times New Roman" w:hAnsi="Times New Roman" w:eastAsia="宋体" w:cs="Times New Roman"/>
                      <w:b w:val="0"/>
                      <w:bCs w:val="0"/>
                      <w:color w:val="auto"/>
                      <w:sz w:val="21"/>
                      <w:szCs w:val="21"/>
                      <w:highlight w:val="none"/>
                      <w:u w:val="none" w:color="auto"/>
                      <w:vertAlign w:val="baseline"/>
                      <w:lang w:val="en-US" w:eastAsia="zh-CN"/>
                    </w:rPr>
                    <w:t>-52.4</w:t>
                  </w:r>
                </w:p>
              </w:tc>
              <w:tc>
                <w:tcPr>
                  <w:tcW w:w="1001" w:type="dxa"/>
                  <w:tcBorders>
                    <w:tl2br w:val="nil"/>
                    <w:tr2bl w:val="nil"/>
                  </w:tcBorders>
                  <w:vAlign w:val="center"/>
                </w:tcPr>
                <w:p w14:paraId="373309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70"/>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70"/>
                      <w:rFonts w:hint="eastAsia" w:ascii="Times New Roman" w:hAnsi="Times New Roman" w:eastAsia="宋体" w:cs="Times New Roman"/>
                      <w:b w:val="0"/>
                      <w:bCs w:val="0"/>
                      <w:color w:val="auto"/>
                      <w:sz w:val="21"/>
                      <w:szCs w:val="21"/>
                      <w:highlight w:val="none"/>
                      <w:u w:val="none" w:color="auto"/>
                      <w:vertAlign w:val="baseline"/>
                      <w:lang w:val="en-US" w:eastAsia="zh-CN"/>
                    </w:rPr>
                    <w:t>43</w:t>
                  </w:r>
                </w:p>
              </w:tc>
              <w:tc>
                <w:tcPr>
                  <w:tcW w:w="1001" w:type="dxa"/>
                  <w:tcBorders>
                    <w:tl2br w:val="nil"/>
                    <w:tr2bl w:val="nil"/>
                  </w:tcBorders>
                  <w:vAlign w:val="center"/>
                </w:tcPr>
                <w:p w14:paraId="4B8C5EB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70"/>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70"/>
                      <w:rFonts w:hint="eastAsia" w:ascii="Times New Roman" w:hAnsi="Times New Roman" w:eastAsia="宋体" w:cs="Times New Roman"/>
                      <w:b w:val="0"/>
                      <w:bCs w:val="0"/>
                      <w:color w:val="auto"/>
                      <w:sz w:val="21"/>
                      <w:szCs w:val="21"/>
                      <w:highlight w:val="none"/>
                      <w:u w:val="none" w:color="auto"/>
                      <w:vertAlign w:val="baseline"/>
                      <w:lang w:val="en-US" w:eastAsia="zh-CN"/>
                    </w:rPr>
                    <w:t>1.2</w:t>
                  </w:r>
                </w:p>
              </w:tc>
              <w:tc>
                <w:tcPr>
                  <w:tcW w:w="1245" w:type="dxa"/>
                  <w:tcBorders>
                    <w:tl2br w:val="nil"/>
                    <w:tr2bl w:val="nil"/>
                  </w:tcBorders>
                  <w:vAlign w:val="center"/>
                </w:tcPr>
                <w:p w14:paraId="486D722D">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70"/>
                      <w:rFonts w:hint="default" w:ascii="Times New Roman" w:hAnsi="Times New Roman" w:eastAsia="宋体" w:cs="Times New Roman"/>
                      <w:b w:val="0"/>
                      <w:bCs w:val="0"/>
                      <w:color w:val="auto"/>
                      <w:sz w:val="21"/>
                      <w:szCs w:val="21"/>
                      <w:highlight w:val="none"/>
                      <w:u w:val="none" w:color="auto"/>
                      <w:vertAlign w:val="baseline"/>
                      <w:lang w:val="en-US" w:eastAsia="zh-CN"/>
                    </w:rPr>
                  </w:pPr>
                  <w:r>
                    <w:rPr>
                      <w:rStyle w:val="70"/>
                      <w:rFonts w:hint="eastAsia" w:ascii="Times New Roman" w:hAnsi="Times New Roman" w:eastAsia="宋体" w:cs="Times New Roman"/>
                      <w:b w:val="0"/>
                      <w:bCs w:val="0"/>
                      <w:color w:val="auto"/>
                      <w:sz w:val="21"/>
                      <w:szCs w:val="21"/>
                      <w:highlight w:val="none"/>
                      <w:u w:val="none" w:color="auto"/>
                      <w:vertAlign w:val="baseline"/>
                      <w:lang w:val="en-US" w:eastAsia="zh-CN"/>
                    </w:rPr>
                    <w:t>90</w:t>
                  </w:r>
                </w:p>
              </w:tc>
              <w:tc>
                <w:tcPr>
                  <w:tcW w:w="930" w:type="dxa"/>
                  <w:vMerge w:val="continue"/>
                  <w:tcBorders>
                    <w:tl2br w:val="nil"/>
                    <w:tr2bl w:val="nil"/>
                  </w:tcBorders>
                  <w:vAlign w:val="center"/>
                </w:tcPr>
                <w:p w14:paraId="239445E5">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70"/>
                      <w:rFonts w:hint="default" w:ascii="Times New Roman" w:hAnsi="Times New Roman" w:eastAsia="宋体" w:cs="Times New Roman"/>
                      <w:b w:val="0"/>
                      <w:bCs w:val="0"/>
                      <w:color w:val="auto"/>
                      <w:sz w:val="21"/>
                      <w:szCs w:val="21"/>
                      <w:highlight w:val="none"/>
                      <w:u w:val="none" w:color="auto"/>
                      <w:vertAlign w:val="baseline"/>
                      <w:lang w:val="en-US" w:eastAsia="zh-CN"/>
                    </w:rPr>
                  </w:pPr>
                </w:p>
              </w:tc>
              <w:tc>
                <w:tcPr>
                  <w:tcW w:w="828" w:type="dxa"/>
                  <w:vMerge w:val="continue"/>
                  <w:tcBorders>
                    <w:tl2br w:val="nil"/>
                    <w:tr2bl w:val="nil"/>
                  </w:tcBorders>
                  <w:vAlign w:val="center"/>
                </w:tcPr>
                <w:p w14:paraId="575709CE">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Style w:val="70"/>
                      <w:rFonts w:hint="default" w:ascii="Times New Roman" w:hAnsi="Times New Roman" w:eastAsia="宋体" w:cs="Times New Roman"/>
                      <w:b w:val="0"/>
                      <w:bCs w:val="0"/>
                      <w:color w:val="auto"/>
                      <w:sz w:val="21"/>
                      <w:szCs w:val="21"/>
                      <w:highlight w:val="none"/>
                      <w:u w:val="none" w:color="auto"/>
                      <w:vertAlign w:val="baseline"/>
                      <w:lang w:val="en-US" w:eastAsia="zh-CN"/>
                    </w:rPr>
                  </w:pPr>
                </w:p>
              </w:tc>
            </w:tr>
          </w:tbl>
          <w:p w14:paraId="2ACF73F1">
            <w:pPr>
              <w:spacing w:line="360" w:lineRule="auto"/>
              <w:ind w:firstLine="482" w:firstLineChars="200"/>
              <w:jc w:val="left"/>
              <w:rPr>
                <w:rStyle w:val="70"/>
                <w:rFonts w:hint="default" w:ascii="Times New Roman" w:hAnsi="Times New Roman" w:eastAsia="宋体" w:cs="Times New Roman"/>
                <w:color w:val="auto"/>
                <w:sz w:val="24"/>
                <w:szCs w:val="24"/>
                <w:highlight w:val="none"/>
                <w:u w:val="none" w:color="auto"/>
              </w:rPr>
            </w:pPr>
            <w:r>
              <w:rPr>
                <w:rStyle w:val="70"/>
                <w:rFonts w:hint="default" w:ascii="Times New Roman" w:hAnsi="Times New Roman" w:eastAsia="宋体" w:cs="Times New Roman"/>
                <w:color w:val="auto"/>
                <w:sz w:val="24"/>
                <w:szCs w:val="24"/>
                <w:highlight w:val="none"/>
                <w:u w:val="none" w:color="auto"/>
                <w:lang w:val="en-US" w:eastAsia="zh-CN"/>
              </w:rPr>
              <w:t>2</w:t>
            </w:r>
            <w:r>
              <w:rPr>
                <w:rStyle w:val="70"/>
                <w:rFonts w:hint="default" w:ascii="Times New Roman" w:hAnsi="Times New Roman" w:eastAsia="宋体" w:cs="Times New Roman"/>
                <w:color w:val="auto"/>
                <w:sz w:val="24"/>
                <w:szCs w:val="24"/>
                <w:highlight w:val="none"/>
                <w:u w:val="none" w:color="auto"/>
              </w:rPr>
              <w:t>、噪声污染防治措施</w:t>
            </w:r>
          </w:p>
          <w:p w14:paraId="470759EC">
            <w:pPr>
              <w:spacing w:line="360" w:lineRule="auto"/>
              <w:ind w:firstLine="480" w:firstLineChars="200"/>
              <w:jc w:val="left"/>
              <w:rPr>
                <w:rStyle w:val="70"/>
                <w:rFonts w:hint="default" w:ascii="Times New Roman" w:hAnsi="Times New Roman" w:eastAsia="宋体" w:cs="Times New Roman"/>
                <w:b w:val="0"/>
                <w:bCs w:val="0"/>
                <w:color w:val="auto"/>
                <w:sz w:val="24"/>
                <w:szCs w:val="24"/>
                <w:highlight w:val="none"/>
                <w:u w:val="none" w:color="auto"/>
              </w:rPr>
            </w:pPr>
            <w:r>
              <w:rPr>
                <w:rStyle w:val="70"/>
                <w:rFonts w:hint="default" w:ascii="Times New Roman" w:hAnsi="Times New Roman" w:eastAsia="宋体" w:cs="Times New Roman"/>
                <w:b w:val="0"/>
                <w:bCs w:val="0"/>
                <w:color w:val="auto"/>
                <w:sz w:val="24"/>
                <w:szCs w:val="24"/>
                <w:highlight w:val="none"/>
                <w:u w:val="none" w:color="auto"/>
              </w:rPr>
              <w:t>（1）企业在选购设备时购置符合国家颁布的各类机械噪声标准的低噪声设备，保证运行时能符合工业企业车间噪声卫生标准，同时能保证达到厂界噪声控制值。</w:t>
            </w:r>
          </w:p>
          <w:p w14:paraId="31FF8B02">
            <w:pPr>
              <w:spacing w:line="360" w:lineRule="auto"/>
              <w:ind w:firstLine="480" w:firstLineChars="200"/>
              <w:jc w:val="left"/>
              <w:rPr>
                <w:rStyle w:val="70"/>
                <w:rFonts w:hint="default" w:ascii="Times New Roman" w:hAnsi="Times New Roman" w:eastAsia="宋体" w:cs="Times New Roman"/>
                <w:b w:val="0"/>
                <w:bCs w:val="0"/>
                <w:color w:val="auto"/>
                <w:sz w:val="24"/>
                <w:szCs w:val="24"/>
                <w:highlight w:val="none"/>
                <w:u w:val="none" w:color="auto"/>
              </w:rPr>
            </w:pPr>
            <w:r>
              <w:rPr>
                <w:rStyle w:val="70"/>
                <w:rFonts w:hint="default" w:ascii="Times New Roman" w:hAnsi="Times New Roman" w:eastAsia="宋体" w:cs="Times New Roman"/>
                <w:b w:val="0"/>
                <w:bCs w:val="0"/>
                <w:color w:val="auto"/>
                <w:sz w:val="24"/>
                <w:szCs w:val="24"/>
                <w:highlight w:val="none"/>
                <w:u w:val="none" w:color="auto"/>
              </w:rPr>
              <w:t>（2）对噪声污染大的设备，</w:t>
            </w:r>
            <w:r>
              <w:rPr>
                <w:rStyle w:val="70"/>
                <w:rFonts w:hint="default" w:ascii="Times New Roman" w:hAnsi="Times New Roman" w:eastAsia="宋体" w:cs="Times New Roman"/>
                <w:b w:val="0"/>
                <w:bCs w:val="0"/>
                <w:color w:val="auto"/>
                <w:sz w:val="24"/>
                <w:szCs w:val="24"/>
                <w:highlight w:val="none"/>
                <w:u w:val="none" w:color="auto"/>
                <w:lang w:val="en-US" w:eastAsia="zh-CN"/>
              </w:rPr>
              <w:t>设置基础</w:t>
            </w:r>
            <w:r>
              <w:rPr>
                <w:rStyle w:val="70"/>
                <w:rFonts w:hint="default" w:ascii="Times New Roman" w:hAnsi="Times New Roman" w:eastAsia="宋体" w:cs="Times New Roman"/>
                <w:b w:val="0"/>
                <w:bCs w:val="0"/>
                <w:color w:val="auto"/>
                <w:sz w:val="24"/>
                <w:szCs w:val="24"/>
                <w:highlight w:val="none"/>
                <w:u w:val="none" w:color="auto"/>
              </w:rPr>
              <w:t>减振装置</w:t>
            </w:r>
            <w:r>
              <w:rPr>
                <w:rStyle w:val="70"/>
                <w:rFonts w:hint="default" w:ascii="Times New Roman" w:hAnsi="Times New Roman" w:eastAsia="宋体" w:cs="Times New Roman"/>
                <w:b w:val="0"/>
                <w:bCs w:val="0"/>
                <w:color w:val="auto"/>
                <w:sz w:val="24"/>
                <w:szCs w:val="24"/>
                <w:highlight w:val="none"/>
                <w:u w:val="none" w:color="auto"/>
                <w:lang w:eastAsia="zh-CN"/>
              </w:rPr>
              <w:t>，</w:t>
            </w:r>
            <w:r>
              <w:rPr>
                <w:rStyle w:val="70"/>
                <w:rFonts w:hint="default" w:ascii="Times New Roman" w:hAnsi="Times New Roman" w:eastAsia="宋体" w:cs="Times New Roman"/>
                <w:b w:val="0"/>
                <w:bCs w:val="0"/>
                <w:color w:val="auto"/>
                <w:sz w:val="24"/>
                <w:szCs w:val="24"/>
                <w:highlight w:val="none"/>
                <w:u w:val="none" w:color="auto"/>
                <w:lang w:val="en-US" w:eastAsia="zh-CN"/>
              </w:rPr>
              <w:t>风机设置隔音罩和吸音材料吸音，出风口设置消声器，风机与风管处采用软连接等措施</w:t>
            </w:r>
            <w:r>
              <w:rPr>
                <w:rStyle w:val="70"/>
                <w:rFonts w:hint="default" w:ascii="Times New Roman" w:hAnsi="Times New Roman" w:eastAsia="宋体" w:cs="Times New Roman"/>
                <w:b w:val="0"/>
                <w:bCs w:val="0"/>
                <w:color w:val="auto"/>
                <w:sz w:val="24"/>
                <w:szCs w:val="24"/>
                <w:highlight w:val="none"/>
                <w:u w:val="none" w:color="auto"/>
              </w:rPr>
              <w:t>。</w:t>
            </w:r>
          </w:p>
          <w:p w14:paraId="6C7EB364">
            <w:pPr>
              <w:spacing w:line="360" w:lineRule="auto"/>
              <w:ind w:firstLine="480" w:firstLineChars="200"/>
              <w:jc w:val="left"/>
              <w:rPr>
                <w:rStyle w:val="70"/>
                <w:rFonts w:hint="default" w:ascii="Times New Roman" w:hAnsi="Times New Roman" w:eastAsia="宋体" w:cs="Times New Roman"/>
                <w:b w:val="0"/>
                <w:bCs w:val="0"/>
                <w:color w:val="auto"/>
                <w:sz w:val="24"/>
                <w:szCs w:val="24"/>
                <w:highlight w:val="none"/>
                <w:u w:val="none" w:color="auto"/>
              </w:rPr>
            </w:pPr>
            <w:r>
              <w:rPr>
                <w:rStyle w:val="70"/>
                <w:rFonts w:hint="default" w:ascii="Times New Roman" w:hAnsi="Times New Roman" w:eastAsia="宋体" w:cs="Times New Roman"/>
                <w:b w:val="0"/>
                <w:bCs w:val="0"/>
                <w:color w:val="auto"/>
                <w:sz w:val="24"/>
                <w:szCs w:val="24"/>
                <w:highlight w:val="none"/>
                <w:u w:val="none" w:color="auto"/>
              </w:rPr>
              <w:t>（3）对产生的机械撞击性噪声采用性能好的隔声门窗将噪声封隔起来，以减少噪声的传播，设置隔声控制室，将操作人员与噪声源分离开来。</w:t>
            </w:r>
          </w:p>
          <w:p w14:paraId="48D81CD7">
            <w:pPr>
              <w:spacing w:line="360" w:lineRule="auto"/>
              <w:ind w:firstLine="480" w:firstLineChars="200"/>
              <w:jc w:val="left"/>
              <w:rPr>
                <w:rStyle w:val="70"/>
                <w:rFonts w:hint="default" w:ascii="Times New Roman" w:hAnsi="Times New Roman" w:eastAsia="宋体" w:cs="Times New Roman"/>
                <w:b w:val="0"/>
                <w:bCs w:val="0"/>
                <w:color w:val="auto"/>
                <w:sz w:val="24"/>
                <w:szCs w:val="24"/>
                <w:highlight w:val="none"/>
                <w:u w:val="none" w:color="auto"/>
              </w:rPr>
            </w:pPr>
            <w:r>
              <w:rPr>
                <w:rStyle w:val="70"/>
                <w:rFonts w:hint="default" w:ascii="Times New Roman" w:hAnsi="Times New Roman" w:eastAsia="宋体" w:cs="Times New Roman"/>
                <w:b w:val="0"/>
                <w:bCs w:val="0"/>
                <w:color w:val="auto"/>
                <w:sz w:val="24"/>
                <w:szCs w:val="24"/>
                <w:highlight w:val="none"/>
                <w:u w:val="none" w:color="auto"/>
              </w:rPr>
              <w:t>（4）在噪声传播途径上采取措施加以控制，如强噪声源车间的建筑围护结构均以封闭为主，同时采取车间外及厂界的绿化，利用建筑物与树木阻隔声音的传播。</w:t>
            </w:r>
          </w:p>
          <w:p w14:paraId="61487FD6">
            <w:pPr>
              <w:spacing w:line="360" w:lineRule="auto"/>
              <w:ind w:firstLine="480" w:firstLineChars="200"/>
              <w:jc w:val="left"/>
              <w:rPr>
                <w:rStyle w:val="70"/>
                <w:rFonts w:hint="default" w:ascii="Times New Roman" w:hAnsi="Times New Roman" w:eastAsia="宋体" w:cs="Times New Roman"/>
                <w:b w:val="0"/>
                <w:bCs w:val="0"/>
                <w:color w:val="auto"/>
                <w:sz w:val="24"/>
                <w:szCs w:val="24"/>
                <w:highlight w:val="none"/>
                <w:u w:val="none" w:color="auto"/>
              </w:rPr>
            </w:pPr>
            <w:r>
              <w:rPr>
                <w:rStyle w:val="70"/>
                <w:rFonts w:hint="default" w:ascii="Times New Roman" w:hAnsi="Times New Roman" w:eastAsia="宋体" w:cs="Times New Roman"/>
                <w:b w:val="0"/>
                <w:bCs w:val="0"/>
                <w:color w:val="auto"/>
                <w:sz w:val="24"/>
                <w:szCs w:val="24"/>
                <w:highlight w:val="none"/>
                <w:u w:val="none" w:color="auto"/>
              </w:rPr>
              <w:t>（5）项目噪声污染防治工作执行建设项目竣工环境保护制度。对防振垫、隔声、吸声、消声器等降噪设备应进行定期检查、维修，对不符合要求的及时更换，防止机械噪声的升高。</w:t>
            </w:r>
          </w:p>
          <w:p w14:paraId="27AC4F87">
            <w:pPr>
              <w:spacing w:line="360" w:lineRule="auto"/>
              <w:ind w:firstLine="480" w:firstLineChars="200"/>
              <w:jc w:val="left"/>
              <w:rPr>
                <w:rStyle w:val="70"/>
                <w:rFonts w:hint="default" w:ascii="Times New Roman" w:hAnsi="Times New Roman" w:eastAsia="宋体" w:cs="Times New Roman"/>
                <w:b w:val="0"/>
                <w:bCs w:val="0"/>
                <w:color w:val="auto"/>
                <w:sz w:val="24"/>
                <w:szCs w:val="24"/>
                <w:highlight w:val="none"/>
                <w:u w:val="none" w:color="auto"/>
              </w:rPr>
            </w:pPr>
            <w:r>
              <w:rPr>
                <w:rStyle w:val="70"/>
                <w:rFonts w:hint="default" w:ascii="Times New Roman" w:hAnsi="Times New Roman" w:eastAsia="宋体" w:cs="Times New Roman"/>
                <w:b w:val="0"/>
                <w:bCs w:val="0"/>
                <w:color w:val="auto"/>
                <w:sz w:val="24"/>
                <w:szCs w:val="24"/>
                <w:highlight w:val="none"/>
                <w:u w:val="none" w:color="auto"/>
              </w:rPr>
              <w:t>（6）加强设备的维修保养，使设备处于最佳工作状态。</w:t>
            </w:r>
          </w:p>
          <w:p w14:paraId="0A36C68A">
            <w:pPr>
              <w:spacing w:line="360" w:lineRule="auto"/>
              <w:ind w:firstLine="482" w:firstLineChars="200"/>
              <w:jc w:val="left"/>
              <w:rPr>
                <w:rStyle w:val="70"/>
                <w:rFonts w:hint="default" w:ascii="Times New Roman" w:hAnsi="Times New Roman" w:eastAsia="宋体" w:cs="Times New Roman"/>
                <w:color w:val="auto"/>
                <w:sz w:val="24"/>
                <w:szCs w:val="24"/>
                <w:highlight w:val="none"/>
                <w:u w:val="none" w:color="auto"/>
              </w:rPr>
            </w:pPr>
            <w:r>
              <w:rPr>
                <w:rStyle w:val="70"/>
                <w:rFonts w:hint="default" w:ascii="Times New Roman" w:hAnsi="Times New Roman" w:eastAsia="宋体" w:cs="Times New Roman"/>
                <w:color w:val="auto"/>
                <w:sz w:val="24"/>
                <w:szCs w:val="24"/>
                <w:highlight w:val="none"/>
                <w:u w:val="none" w:color="auto"/>
                <w:lang w:val="en-US" w:eastAsia="zh-CN"/>
              </w:rPr>
              <w:t>3</w:t>
            </w:r>
            <w:r>
              <w:rPr>
                <w:rStyle w:val="70"/>
                <w:rFonts w:hint="default" w:ascii="Times New Roman" w:hAnsi="Times New Roman" w:eastAsia="宋体" w:cs="Times New Roman"/>
                <w:color w:val="auto"/>
                <w:sz w:val="24"/>
                <w:szCs w:val="24"/>
                <w:highlight w:val="none"/>
                <w:u w:val="none" w:color="auto"/>
              </w:rPr>
              <w:t>、厂界和环境保护目标达标情况分析</w:t>
            </w:r>
          </w:p>
          <w:p w14:paraId="1B196CC0">
            <w:pPr>
              <w:spacing w:line="360" w:lineRule="auto"/>
              <w:ind w:firstLine="480" w:firstLineChars="200"/>
              <w:jc w:val="left"/>
              <w:rPr>
                <w:rStyle w:val="70"/>
                <w:rFonts w:hint="default" w:ascii="Times New Roman" w:hAnsi="Times New Roman" w:eastAsia="宋体" w:cs="Times New Roman"/>
                <w:b w:val="0"/>
                <w:bCs w:val="0"/>
                <w:color w:val="auto"/>
                <w:sz w:val="24"/>
                <w:szCs w:val="24"/>
                <w:highlight w:val="none"/>
                <w:u w:val="none" w:color="auto"/>
              </w:rPr>
            </w:pPr>
            <w:r>
              <w:rPr>
                <w:rFonts w:hint="default" w:ascii="Times New Roman" w:hAnsi="Times New Roman" w:eastAsia="宋体" w:cs="Times New Roman"/>
                <w:color w:val="auto"/>
                <w:highlight w:val="none"/>
                <w:u w:val="none" w:color="auto"/>
              </w:rPr>
              <w:t>项目噪声主要为各设备运转时产生的噪声，噪声源强主要在75-85dB(A)；项目在采取设备减震基础、厂房隔音措施后，可降噪15~20dB(A)。</w:t>
            </w:r>
            <w:r>
              <w:rPr>
                <w:rStyle w:val="70"/>
                <w:rFonts w:hint="default" w:ascii="Times New Roman" w:hAnsi="Times New Roman" w:eastAsia="宋体" w:cs="Times New Roman"/>
                <w:b w:val="0"/>
                <w:bCs w:val="0"/>
                <w:color w:val="auto"/>
                <w:sz w:val="24"/>
                <w:szCs w:val="24"/>
                <w:highlight w:val="none"/>
                <w:u w:val="none" w:color="auto"/>
              </w:rPr>
              <w:t xml:space="preserve"> </w:t>
            </w:r>
          </w:p>
          <w:p w14:paraId="510A830E">
            <w:pPr>
              <w:spacing w:line="360" w:lineRule="auto"/>
              <w:ind w:firstLine="480"/>
              <w:rPr>
                <w:rFonts w:hint="default" w:ascii="Times New Roman" w:hAnsi="Times New Roman" w:eastAsia="宋体" w:cs="Times New Roman"/>
                <w:bCs/>
                <w:color w:val="auto"/>
                <w:highlight w:val="none"/>
                <w:u w:val="none" w:color="auto"/>
              </w:rPr>
            </w:pPr>
            <w:r>
              <w:rPr>
                <w:rFonts w:hint="default" w:ascii="Times New Roman" w:hAnsi="Times New Roman" w:eastAsia="宋体" w:cs="Times New Roman"/>
                <w:bCs/>
                <w:color w:val="auto"/>
                <w:highlight w:val="none"/>
                <w:u w:val="none" w:color="auto"/>
              </w:rPr>
              <w:fldChar w:fldCharType="begin"/>
            </w:r>
            <w:r>
              <w:rPr>
                <w:rFonts w:hint="default" w:ascii="Times New Roman" w:hAnsi="Times New Roman" w:eastAsia="宋体" w:cs="Times New Roman"/>
                <w:bCs/>
                <w:color w:val="auto"/>
                <w:highlight w:val="none"/>
                <w:u w:val="none" w:color="auto"/>
              </w:rPr>
              <w:instrText xml:space="preserve"> = 1 \* GB3 </w:instrText>
            </w:r>
            <w:r>
              <w:rPr>
                <w:rFonts w:hint="default" w:ascii="Times New Roman" w:hAnsi="Times New Roman" w:eastAsia="宋体" w:cs="Times New Roman"/>
                <w:bCs/>
                <w:color w:val="auto"/>
                <w:highlight w:val="none"/>
                <w:u w:val="none" w:color="auto"/>
              </w:rPr>
              <w:fldChar w:fldCharType="separate"/>
            </w:r>
            <w:r>
              <w:rPr>
                <w:rFonts w:hint="default" w:ascii="Times New Roman" w:hAnsi="Times New Roman" w:eastAsia="宋体" w:cs="Times New Roman"/>
                <w:bCs/>
                <w:color w:val="auto"/>
                <w:highlight w:val="none"/>
                <w:u w:val="none" w:color="auto"/>
              </w:rPr>
              <w:t>①</w:t>
            </w:r>
            <w:r>
              <w:rPr>
                <w:rFonts w:hint="default" w:ascii="Times New Roman" w:hAnsi="Times New Roman" w:eastAsia="宋体" w:cs="Times New Roman"/>
                <w:bCs/>
                <w:color w:val="auto"/>
                <w:highlight w:val="none"/>
                <w:u w:val="none" w:color="auto"/>
              </w:rPr>
              <w:fldChar w:fldCharType="end"/>
            </w:r>
            <w:r>
              <w:rPr>
                <w:rFonts w:hint="default" w:ascii="Times New Roman" w:hAnsi="Times New Roman" w:eastAsia="宋体" w:cs="Times New Roman"/>
                <w:bCs/>
                <w:color w:val="auto"/>
                <w:kern w:val="0"/>
                <w:highlight w:val="none"/>
                <w:u w:val="none" w:color="auto"/>
              </w:rPr>
              <w:t>室内声源靠近维护结构处的倍频带声压级计算方法</w:t>
            </w:r>
          </w:p>
          <w:p w14:paraId="6DAE8950">
            <w:pPr>
              <w:spacing w:line="360" w:lineRule="auto"/>
              <w:ind w:firstLine="480"/>
              <w:jc w:val="center"/>
              <w:rPr>
                <w:rFonts w:hint="default" w:ascii="Times New Roman" w:hAnsi="Times New Roman" w:eastAsia="宋体" w:cs="Times New Roman"/>
                <w:bCs/>
                <w:color w:val="auto"/>
                <w:kern w:val="0"/>
                <w:highlight w:val="none"/>
                <w:u w:val="none" w:color="auto"/>
              </w:rPr>
            </w:pPr>
            <m:oMathPara>
              <m:oMath>
                <m:sSub>
                  <m:sSubPr>
                    <m:ctrlPr>
                      <w:rPr>
                        <w:rFonts w:hint="default" w:ascii="Cambria Math" w:hAnsi="Cambria Math" w:eastAsia="宋体" w:cs="Times New Roman"/>
                        <w:color w:val="auto"/>
                        <w:kern w:val="0"/>
                        <w:highlight w:val="none"/>
                        <w:u w:val="none" w:color="auto"/>
                      </w:rPr>
                    </m:ctrlPr>
                  </m:sSubPr>
                  <m:e>
                    <m:r>
                      <m:rPr>
                        <m:nor/>
                        <m:sty m:val="p"/>
                      </m:rPr>
                      <w:rPr>
                        <w:rFonts w:hint="default" w:ascii="Times New Roman" w:hAnsi="Times New Roman" w:eastAsia="宋体" w:cs="Times New Roman"/>
                        <w:b w:val="0"/>
                        <w:i w:val="0"/>
                        <w:color w:val="auto"/>
                        <w:kern w:val="0"/>
                        <w:highlight w:val="none"/>
                        <w:u w:val="none" w:color="auto"/>
                      </w:rPr>
                      <m:t>L</m:t>
                    </m:r>
                    <m:ctrlPr>
                      <w:rPr>
                        <w:rFonts w:hint="default" w:ascii="Cambria Math" w:hAnsi="Cambria Math" w:eastAsia="宋体" w:cs="Times New Roman"/>
                        <w:color w:val="auto"/>
                        <w:kern w:val="0"/>
                        <w:highlight w:val="none"/>
                        <w:u w:val="none" w:color="auto"/>
                      </w:rPr>
                    </m:ctrlPr>
                  </m:e>
                  <m:sub>
                    <m:r>
                      <m:rPr>
                        <m:nor/>
                        <m:sty m:val="p"/>
                      </m:rPr>
                      <w:rPr>
                        <w:rFonts w:hint="default" w:ascii="Times New Roman" w:hAnsi="Times New Roman" w:eastAsia="宋体" w:cs="Times New Roman"/>
                        <w:b w:val="0"/>
                        <w:i w:val="0"/>
                        <w:color w:val="auto"/>
                        <w:kern w:val="0"/>
                        <w:highlight w:val="none"/>
                        <w:u w:val="none" w:color="auto"/>
                      </w:rPr>
                      <m:t>1</m:t>
                    </m:r>
                    <m:ctrlPr>
                      <w:rPr>
                        <w:rFonts w:hint="default" w:ascii="Cambria Math" w:hAnsi="Cambria Math" w:eastAsia="宋体" w:cs="Times New Roman"/>
                        <w:color w:val="auto"/>
                        <w:kern w:val="0"/>
                        <w:highlight w:val="none"/>
                        <w:u w:val="none" w:color="auto"/>
                      </w:rPr>
                    </m:ctrlPr>
                  </m:sub>
                </m:sSub>
                <m:r>
                  <m:rPr>
                    <m:nor/>
                    <m:sty m:val="p"/>
                  </m:rPr>
                  <w:rPr>
                    <w:rFonts w:hint="default" w:ascii="Times New Roman" w:hAnsi="Times New Roman" w:eastAsia="宋体" w:cs="Times New Roman"/>
                    <w:b w:val="0"/>
                    <w:i w:val="0"/>
                    <w:color w:val="auto"/>
                    <w:kern w:val="0"/>
                    <w:highlight w:val="none"/>
                    <w:u w:val="none" w:color="auto"/>
                  </w:rPr>
                  <m:t>=</m:t>
                </m:r>
                <m:sSub>
                  <m:sSubPr>
                    <m:ctrlPr>
                      <w:rPr>
                        <w:rFonts w:hint="default" w:ascii="Cambria Math" w:hAnsi="Cambria Math" w:eastAsia="宋体" w:cs="Times New Roman"/>
                        <w:color w:val="auto"/>
                        <w:kern w:val="0"/>
                        <w:highlight w:val="none"/>
                        <w:u w:val="none" w:color="auto"/>
                      </w:rPr>
                    </m:ctrlPr>
                  </m:sSubPr>
                  <m:e>
                    <m:r>
                      <m:rPr>
                        <m:nor/>
                        <m:sty m:val="p"/>
                      </m:rPr>
                      <w:rPr>
                        <w:rFonts w:hint="default" w:ascii="Times New Roman" w:hAnsi="Times New Roman" w:eastAsia="宋体" w:cs="Times New Roman"/>
                        <w:b w:val="0"/>
                        <w:i w:val="0"/>
                        <w:color w:val="auto"/>
                        <w:kern w:val="0"/>
                        <w:highlight w:val="none"/>
                        <w:u w:val="none" w:color="auto"/>
                      </w:rPr>
                      <m:t>L</m:t>
                    </m:r>
                    <m:ctrlPr>
                      <w:rPr>
                        <w:rFonts w:hint="default" w:ascii="Cambria Math" w:hAnsi="Cambria Math" w:eastAsia="宋体" w:cs="Times New Roman"/>
                        <w:color w:val="auto"/>
                        <w:kern w:val="0"/>
                        <w:highlight w:val="none"/>
                        <w:u w:val="none" w:color="auto"/>
                      </w:rPr>
                    </m:ctrlPr>
                  </m:e>
                  <m:sub>
                    <m:r>
                      <m:rPr>
                        <m:nor/>
                        <m:sty m:val="p"/>
                      </m:rPr>
                      <w:rPr>
                        <w:rFonts w:hint="default" w:ascii="Times New Roman" w:hAnsi="Times New Roman" w:eastAsia="宋体" w:cs="Times New Roman"/>
                        <w:b w:val="0"/>
                        <w:i w:val="0"/>
                        <w:color w:val="auto"/>
                        <w:kern w:val="0"/>
                        <w:highlight w:val="none"/>
                        <w:u w:val="none" w:color="auto"/>
                      </w:rPr>
                      <m:t>W1</m:t>
                    </m:r>
                    <m:ctrlPr>
                      <w:rPr>
                        <w:rFonts w:hint="default" w:ascii="Cambria Math" w:hAnsi="Cambria Math" w:eastAsia="宋体" w:cs="Times New Roman"/>
                        <w:color w:val="auto"/>
                        <w:kern w:val="0"/>
                        <w:highlight w:val="none"/>
                        <w:u w:val="none" w:color="auto"/>
                      </w:rPr>
                    </m:ctrlPr>
                  </m:sub>
                </m:sSub>
                <m:r>
                  <m:rPr>
                    <m:nor/>
                    <m:sty m:val="p"/>
                  </m:rPr>
                  <w:rPr>
                    <w:rFonts w:hint="default" w:ascii="Times New Roman" w:hAnsi="Times New Roman" w:eastAsia="宋体" w:cs="Times New Roman"/>
                    <w:b w:val="0"/>
                    <w:i w:val="0"/>
                    <w:color w:val="auto"/>
                    <w:kern w:val="0"/>
                    <w:highlight w:val="none"/>
                    <w:u w:val="none" w:color="auto"/>
                  </w:rPr>
                  <m:t>+10lg⁡(</m:t>
                </m:r>
                <m:f>
                  <m:fPr>
                    <m:ctrlPr>
                      <w:rPr>
                        <w:rFonts w:hint="default" w:ascii="Cambria Math" w:hAnsi="Cambria Math" w:eastAsia="宋体" w:cs="Times New Roman"/>
                        <w:color w:val="auto"/>
                        <w:kern w:val="0"/>
                        <w:highlight w:val="none"/>
                        <w:u w:val="none" w:color="auto"/>
                      </w:rPr>
                    </m:ctrlPr>
                  </m:fPr>
                  <m:num>
                    <m:r>
                      <m:rPr>
                        <m:nor/>
                        <m:sty m:val="p"/>
                      </m:rPr>
                      <w:rPr>
                        <w:rFonts w:hint="default" w:ascii="Times New Roman" w:hAnsi="Times New Roman" w:eastAsia="宋体" w:cs="Times New Roman"/>
                        <w:b w:val="0"/>
                        <w:i w:val="0"/>
                        <w:color w:val="auto"/>
                        <w:kern w:val="0"/>
                        <w:highlight w:val="none"/>
                        <w:u w:val="none" w:color="auto"/>
                      </w:rPr>
                      <m:t>Q</m:t>
                    </m:r>
                    <m:ctrlPr>
                      <w:rPr>
                        <w:rFonts w:hint="default" w:ascii="Cambria Math" w:hAnsi="Cambria Math" w:eastAsia="宋体" w:cs="Times New Roman"/>
                        <w:color w:val="auto"/>
                        <w:kern w:val="0"/>
                        <w:highlight w:val="none"/>
                        <w:u w:val="none" w:color="auto"/>
                      </w:rPr>
                    </m:ctrlPr>
                  </m:num>
                  <m:den>
                    <m:r>
                      <m:rPr>
                        <m:nor/>
                        <m:sty m:val="p"/>
                      </m:rPr>
                      <w:rPr>
                        <w:rFonts w:hint="default" w:ascii="Times New Roman" w:hAnsi="Times New Roman" w:eastAsia="宋体" w:cs="Times New Roman"/>
                        <w:b w:val="0"/>
                        <w:i w:val="0"/>
                        <w:color w:val="auto"/>
                        <w:kern w:val="0"/>
                        <w:highlight w:val="none"/>
                        <w:u w:val="none" w:color="auto"/>
                      </w:rPr>
                      <m:t>4π</m:t>
                    </m:r>
                    <m:sSup>
                      <m:sSupPr>
                        <m:ctrlPr>
                          <w:rPr>
                            <w:rFonts w:hint="default" w:ascii="Cambria Math" w:hAnsi="Cambria Math" w:eastAsia="宋体" w:cs="Times New Roman"/>
                            <w:color w:val="auto"/>
                            <w:kern w:val="0"/>
                            <w:highlight w:val="none"/>
                            <w:u w:val="none" w:color="auto"/>
                          </w:rPr>
                        </m:ctrlPr>
                      </m:sSupPr>
                      <m:e>
                        <m:r>
                          <m:rPr>
                            <m:nor/>
                            <m:sty m:val="p"/>
                          </m:rPr>
                          <w:rPr>
                            <w:rFonts w:hint="default" w:ascii="Times New Roman" w:hAnsi="Times New Roman" w:eastAsia="宋体" w:cs="Times New Roman"/>
                            <w:b w:val="0"/>
                            <w:i w:val="0"/>
                            <w:color w:val="auto"/>
                            <w:kern w:val="0"/>
                            <w:highlight w:val="none"/>
                            <w:u w:val="none" w:color="auto"/>
                          </w:rPr>
                          <m:t>r</m:t>
                        </m:r>
                        <m:ctrlPr>
                          <w:rPr>
                            <w:rFonts w:hint="default" w:ascii="Cambria Math" w:hAnsi="Cambria Math" w:eastAsia="宋体" w:cs="Times New Roman"/>
                            <w:color w:val="auto"/>
                            <w:kern w:val="0"/>
                            <w:highlight w:val="none"/>
                            <w:u w:val="none" w:color="auto"/>
                          </w:rPr>
                        </m:ctrlPr>
                      </m:e>
                      <m:sup>
                        <m:r>
                          <m:rPr>
                            <m:nor/>
                            <m:sty m:val="p"/>
                          </m:rPr>
                          <w:rPr>
                            <w:rFonts w:hint="default" w:ascii="Times New Roman" w:hAnsi="Times New Roman" w:eastAsia="宋体" w:cs="Times New Roman"/>
                            <w:b w:val="0"/>
                            <w:i w:val="0"/>
                            <w:color w:val="auto"/>
                            <w:kern w:val="0"/>
                            <w:highlight w:val="none"/>
                            <w:u w:val="none" w:color="auto"/>
                          </w:rPr>
                          <m:t>2</m:t>
                        </m:r>
                        <m:ctrlPr>
                          <w:rPr>
                            <w:rFonts w:hint="default" w:ascii="Cambria Math" w:hAnsi="Cambria Math" w:eastAsia="宋体" w:cs="Times New Roman"/>
                            <w:color w:val="auto"/>
                            <w:kern w:val="0"/>
                            <w:highlight w:val="none"/>
                            <w:u w:val="none" w:color="auto"/>
                          </w:rPr>
                        </m:ctrlPr>
                      </m:sup>
                    </m:sSup>
                    <m:ctrlPr>
                      <w:rPr>
                        <w:rFonts w:hint="default" w:ascii="Cambria Math" w:hAnsi="Cambria Math" w:eastAsia="宋体" w:cs="Times New Roman"/>
                        <w:color w:val="auto"/>
                        <w:kern w:val="0"/>
                        <w:highlight w:val="none"/>
                        <w:u w:val="none" w:color="auto"/>
                      </w:rPr>
                    </m:ctrlPr>
                  </m:den>
                </m:f>
                <m:r>
                  <m:rPr>
                    <m:nor/>
                    <m:sty m:val="p"/>
                  </m:rPr>
                  <w:rPr>
                    <w:rFonts w:hint="default" w:ascii="Times New Roman" w:hAnsi="Times New Roman" w:eastAsia="宋体" w:cs="Times New Roman"/>
                    <w:b w:val="0"/>
                    <w:i w:val="0"/>
                    <w:color w:val="auto"/>
                    <w:kern w:val="0"/>
                    <w:highlight w:val="none"/>
                    <w:u w:val="none" w:color="auto"/>
                  </w:rPr>
                  <m:t>+</m:t>
                </m:r>
                <m:f>
                  <m:fPr>
                    <m:ctrlPr>
                      <w:rPr>
                        <w:rFonts w:hint="default" w:ascii="Cambria Math" w:hAnsi="Cambria Math" w:eastAsia="宋体" w:cs="Times New Roman"/>
                        <w:color w:val="auto"/>
                        <w:kern w:val="0"/>
                        <w:highlight w:val="none"/>
                        <w:u w:val="none" w:color="auto"/>
                      </w:rPr>
                    </m:ctrlPr>
                  </m:fPr>
                  <m:num>
                    <m:r>
                      <m:rPr>
                        <m:nor/>
                        <m:sty m:val="p"/>
                      </m:rPr>
                      <w:rPr>
                        <w:rFonts w:hint="default" w:ascii="Times New Roman" w:hAnsi="Times New Roman" w:eastAsia="宋体" w:cs="Times New Roman"/>
                        <w:b w:val="0"/>
                        <w:i w:val="0"/>
                        <w:color w:val="auto"/>
                        <w:kern w:val="0"/>
                        <w:highlight w:val="none"/>
                        <w:u w:val="none" w:color="auto"/>
                      </w:rPr>
                      <m:t>4</m:t>
                    </m:r>
                    <m:ctrlPr>
                      <w:rPr>
                        <w:rFonts w:hint="default" w:ascii="Cambria Math" w:hAnsi="Cambria Math" w:eastAsia="宋体" w:cs="Times New Roman"/>
                        <w:color w:val="auto"/>
                        <w:kern w:val="0"/>
                        <w:highlight w:val="none"/>
                        <w:u w:val="none" w:color="auto"/>
                      </w:rPr>
                    </m:ctrlPr>
                  </m:num>
                  <m:den>
                    <m:r>
                      <m:rPr>
                        <m:nor/>
                        <m:sty m:val="p"/>
                      </m:rPr>
                      <w:rPr>
                        <w:rFonts w:hint="default" w:ascii="Times New Roman" w:hAnsi="Times New Roman" w:eastAsia="宋体" w:cs="Times New Roman"/>
                        <w:b w:val="0"/>
                        <w:i w:val="0"/>
                        <w:color w:val="auto"/>
                        <w:kern w:val="0"/>
                        <w:highlight w:val="none"/>
                        <w:u w:val="none" w:color="auto"/>
                      </w:rPr>
                      <m:t>R</m:t>
                    </m:r>
                    <m:ctrlPr>
                      <w:rPr>
                        <w:rFonts w:hint="default" w:ascii="Cambria Math" w:hAnsi="Cambria Math" w:eastAsia="宋体" w:cs="Times New Roman"/>
                        <w:color w:val="auto"/>
                        <w:kern w:val="0"/>
                        <w:highlight w:val="none"/>
                        <w:u w:val="none" w:color="auto"/>
                      </w:rPr>
                    </m:ctrlPr>
                  </m:den>
                </m:f>
                <m:r>
                  <m:rPr>
                    <m:nor/>
                    <m:sty m:val="p"/>
                  </m:rPr>
                  <w:rPr>
                    <w:rFonts w:hint="default" w:ascii="Times New Roman" w:hAnsi="Times New Roman" w:eastAsia="宋体" w:cs="Times New Roman"/>
                    <w:b w:val="0"/>
                    <w:i w:val="0"/>
                    <w:color w:val="auto"/>
                    <w:kern w:val="0"/>
                    <w:highlight w:val="none"/>
                    <w:u w:val="none" w:color="auto"/>
                  </w:rPr>
                  <m:t>)</m:t>
                </m:r>
              </m:oMath>
            </m:oMathPara>
          </w:p>
          <w:p w14:paraId="0B36966B">
            <w:pPr>
              <w:spacing w:line="360" w:lineRule="auto"/>
              <w:ind w:firstLine="480"/>
              <w:jc w:val="left"/>
              <w:rPr>
                <w:rFonts w:hint="default" w:ascii="Times New Roman" w:hAnsi="Times New Roman" w:eastAsia="宋体" w:cs="Times New Roman"/>
                <w:bCs/>
                <w:color w:val="auto"/>
                <w:kern w:val="0"/>
                <w:highlight w:val="none"/>
                <w:u w:val="none" w:color="auto"/>
              </w:rPr>
            </w:pPr>
            <w:r>
              <w:rPr>
                <w:rFonts w:hint="default" w:ascii="Times New Roman" w:hAnsi="Times New Roman" w:eastAsia="宋体" w:cs="Times New Roman"/>
                <w:bCs/>
                <w:color w:val="auto"/>
                <w:kern w:val="0"/>
                <w:highlight w:val="none"/>
                <w:u w:val="none" w:color="auto"/>
              </w:rPr>
              <w:t>式中：</w:t>
            </w:r>
          </w:p>
          <w:p w14:paraId="0C5F6761">
            <w:pPr>
              <w:spacing w:line="360" w:lineRule="auto"/>
              <w:ind w:firstLine="480"/>
              <w:jc w:val="left"/>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bCs/>
                <w:color w:val="auto"/>
                <w:kern w:val="0"/>
                <w:highlight w:val="none"/>
                <w:u w:val="none" w:color="auto"/>
              </w:rPr>
              <w:t>L</w:t>
            </w:r>
            <w:r>
              <w:rPr>
                <w:rFonts w:hint="default" w:ascii="Times New Roman" w:hAnsi="Times New Roman" w:eastAsia="宋体" w:cs="Times New Roman"/>
                <w:bCs/>
                <w:color w:val="auto"/>
                <w:kern w:val="0"/>
                <w:highlight w:val="none"/>
                <w:u w:val="none" w:color="auto"/>
                <w:vertAlign w:val="subscript"/>
              </w:rPr>
              <w:t>W1</w:t>
            </w:r>
            <w:r>
              <w:rPr>
                <w:rFonts w:hint="default" w:ascii="Times New Roman" w:hAnsi="Times New Roman" w:eastAsia="宋体" w:cs="Times New Roman"/>
                <w:color w:val="auto"/>
                <w:highlight w:val="none"/>
                <w:u w:val="none" w:color="auto"/>
              </w:rPr>
              <w:t>—某个室内声源在靠近围护结构处产生的倍频带声功率级，dB；</w:t>
            </w:r>
          </w:p>
          <w:p w14:paraId="6A7509B1">
            <w:pPr>
              <w:spacing w:line="360" w:lineRule="auto"/>
              <w:ind w:firstLine="480"/>
              <w:jc w:val="left"/>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r—某个室内声源与靠近围护结构处的距离，m;</w:t>
            </w:r>
          </w:p>
          <w:p w14:paraId="3E4D4668">
            <w:pPr>
              <w:spacing w:line="360" w:lineRule="auto"/>
              <w:ind w:firstLine="480"/>
              <w:jc w:val="left"/>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bCs/>
                <w:color w:val="auto"/>
                <w:kern w:val="0"/>
                <w:highlight w:val="none"/>
                <w:u w:val="none" w:color="auto"/>
              </w:rPr>
              <w:t>Q</w:t>
            </w:r>
            <w:r>
              <w:rPr>
                <w:rFonts w:hint="default" w:ascii="Times New Roman" w:hAnsi="Times New Roman" w:eastAsia="宋体" w:cs="Times New Roman"/>
                <w:color w:val="auto"/>
                <w:highlight w:val="none"/>
                <w:u w:val="none" w:color="auto"/>
              </w:rPr>
              <w:t>—指向性因素；通常对无指向性声源，当声源放在房间中心时，Q=1；当放在一面墙的中心时，Q=2；当放在两面墙夹角处时，Q=4；当放在三面墙夹角处时，Q=8；</w:t>
            </w:r>
          </w:p>
          <w:p w14:paraId="0106B127">
            <w:pPr>
              <w:spacing w:line="360" w:lineRule="auto"/>
              <w:ind w:firstLine="480"/>
              <w:jc w:val="left"/>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L</w:t>
            </w:r>
            <w:r>
              <w:rPr>
                <w:rFonts w:hint="default" w:ascii="Times New Roman" w:hAnsi="Times New Roman" w:eastAsia="宋体" w:cs="Times New Roman"/>
                <w:color w:val="auto"/>
                <w:highlight w:val="none"/>
                <w:u w:val="none" w:color="auto"/>
                <w:vertAlign w:val="subscript"/>
              </w:rPr>
              <w:t>1</w:t>
            </w:r>
            <w:r>
              <w:rPr>
                <w:rFonts w:hint="default" w:ascii="Times New Roman" w:hAnsi="Times New Roman" w:eastAsia="宋体" w:cs="Times New Roman"/>
                <w:color w:val="auto"/>
                <w:highlight w:val="none"/>
                <w:u w:val="none" w:color="auto"/>
              </w:rPr>
              <w:t>—靠近围护结构处的倍频声压级，dB；</w:t>
            </w:r>
          </w:p>
          <w:p w14:paraId="4501AB07">
            <w:pPr>
              <w:spacing w:line="360" w:lineRule="auto"/>
              <w:ind w:firstLine="480"/>
              <w:jc w:val="left"/>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R—车间常数，R=Sα/(1-α)，α-平均吸声系数；</w:t>
            </w:r>
          </w:p>
          <w:p w14:paraId="735C62A8">
            <w:pPr>
              <w:spacing w:line="360" w:lineRule="auto"/>
              <w:ind w:firstLine="480"/>
              <w:rPr>
                <w:rFonts w:hint="default" w:ascii="Times New Roman" w:hAnsi="Times New Roman" w:eastAsia="宋体" w:cs="Times New Roman"/>
                <w:bCs/>
                <w:snapToGrid w:val="0"/>
                <w:color w:val="auto"/>
                <w:highlight w:val="none"/>
                <w:u w:val="none" w:color="auto"/>
              </w:rPr>
            </w:pPr>
            <w:r>
              <w:rPr>
                <w:rFonts w:hint="default" w:ascii="Times New Roman" w:hAnsi="Times New Roman" w:eastAsia="宋体" w:cs="Times New Roman"/>
                <w:bCs/>
                <w:snapToGrid w:val="0"/>
                <w:color w:val="auto"/>
                <w:highlight w:val="none"/>
                <w:u w:val="none" w:color="auto"/>
              </w:rPr>
              <w:fldChar w:fldCharType="begin"/>
            </w:r>
            <w:r>
              <w:rPr>
                <w:rFonts w:hint="default" w:ascii="Times New Roman" w:hAnsi="Times New Roman" w:eastAsia="宋体" w:cs="Times New Roman"/>
                <w:bCs/>
                <w:snapToGrid w:val="0"/>
                <w:color w:val="auto"/>
                <w:highlight w:val="none"/>
                <w:u w:val="none" w:color="auto"/>
              </w:rPr>
              <w:instrText xml:space="preserve"> = 2 \* GB3 </w:instrText>
            </w:r>
            <w:r>
              <w:rPr>
                <w:rFonts w:hint="default" w:ascii="Times New Roman" w:hAnsi="Times New Roman" w:eastAsia="宋体" w:cs="Times New Roman"/>
                <w:bCs/>
                <w:snapToGrid w:val="0"/>
                <w:color w:val="auto"/>
                <w:highlight w:val="none"/>
                <w:u w:val="none" w:color="auto"/>
              </w:rPr>
              <w:fldChar w:fldCharType="separate"/>
            </w:r>
            <w:r>
              <w:rPr>
                <w:rFonts w:hint="default" w:ascii="Times New Roman" w:hAnsi="Times New Roman" w:eastAsia="宋体" w:cs="Times New Roman"/>
                <w:bCs/>
                <w:snapToGrid w:val="0"/>
                <w:color w:val="auto"/>
                <w:highlight w:val="none"/>
                <w:u w:val="none" w:color="auto"/>
              </w:rPr>
              <w:t>②</w:t>
            </w:r>
            <w:r>
              <w:rPr>
                <w:rFonts w:hint="default" w:ascii="Times New Roman" w:hAnsi="Times New Roman" w:eastAsia="宋体" w:cs="Times New Roman"/>
                <w:bCs/>
                <w:snapToGrid w:val="0"/>
                <w:color w:val="auto"/>
                <w:highlight w:val="none"/>
                <w:u w:val="none" w:color="auto"/>
              </w:rPr>
              <w:fldChar w:fldCharType="end"/>
            </w:r>
            <w:r>
              <w:rPr>
                <w:rFonts w:hint="default" w:ascii="Times New Roman" w:hAnsi="Times New Roman" w:eastAsia="宋体" w:cs="Times New Roman"/>
                <w:bCs/>
                <w:snapToGrid w:val="0"/>
                <w:color w:val="auto"/>
                <w:highlight w:val="none"/>
                <w:u w:val="none" w:color="auto"/>
              </w:rPr>
              <w:t>室内声源等效室外声源声功率级计算方法</w:t>
            </w:r>
          </w:p>
          <w:p w14:paraId="038AAE22">
            <w:pPr>
              <w:pStyle w:val="290"/>
              <w:spacing w:after="0" w:line="360" w:lineRule="auto"/>
              <w:rPr>
                <w:rFonts w:hint="default" w:ascii="Times New Roman" w:hAnsi="Times New Roman" w:eastAsia="宋体" w:cs="Times New Roman"/>
                <w:color w:val="auto"/>
                <w:szCs w:val="24"/>
                <w:highlight w:val="none"/>
                <w:u w:val="none" w:color="auto"/>
              </w:rPr>
            </w:pPr>
            <w:r>
              <w:rPr>
                <w:rFonts w:hint="default" w:ascii="Times New Roman" w:hAnsi="Times New Roman" w:eastAsia="宋体" w:cs="Times New Roman"/>
                <w:color w:val="auto"/>
                <w:szCs w:val="24"/>
                <w:highlight w:val="none"/>
                <w:u w:val="none" w:color="auto"/>
              </w:rPr>
              <w:t>声源位于室内，室内声源可采用等效室外声源声功率级法进行计算。设靠近开口处（或窗户）室内、室外某倍频带的声压级分别为</w:t>
            </w:r>
            <w:r>
              <w:rPr>
                <w:rFonts w:hint="default" w:ascii="Times New Roman" w:hAnsi="Times New Roman" w:eastAsia="宋体" w:cs="Times New Roman"/>
                <w:i/>
                <w:iCs/>
                <w:color w:val="auto"/>
                <w:szCs w:val="24"/>
                <w:highlight w:val="none"/>
                <w:u w:val="none" w:color="auto"/>
              </w:rPr>
              <w:t>Lp</w:t>
            </w:r>
            <w:r>
              <w:rPr>
                <w:rFonts w:hint="default" w:ascii="Times New Roman" w:hAnsi="Times New Roman" w:eastAsia="宋体" w:cs="Times New Roman"/>
                <w:color w:val="auto"/>
                <w:szCs w:val="24"/>
                <w:highlight w:val="none"/>
                <w:u w:val="none" w:color="auto"/>
              </w:rPr>
              <w:t>1和</w:t>
            </w:r>
            <w:r>
              <w:rPr>
                <w:rFonts w:hint="default" w:ascii="Times New Roman" w:hAnsi="Times New Roman" w:eastAsia="宋体" w:cs="Times New Roman"/>
                <w:i/>
                <w:iCs/>
                <w:color w:val="auto"/>
                <w:szCs w:val="24"/>
                <w:highlight w:val="none"/>
                <w:u w:val="none" w:color="auto"/>
              </w:rPr>
              <w:t>Lp</w:t>
            </w:r>
            <w:r>
              <w:rPr>
                <w:rFonts w:hint="default" w:ascii="Times New Roman" w:hAnsi="Times New Roman" w:eastAsia="宋体" w:cs="Times New Roman"/>
                <w:color w:val="auto"/>
                <w:szCs w:val="24"/>
                <w:highlight w:val="none"/>
                <w:u w:val="none" w:color="auto"/>
              </w:rPr>
              <w:t>2。若声源所在室内声场为近似扩散声场，按下列公式计算出靠近室外围护结构处的声压级：</w:t>
            </w:r>
          </w:p>
          <w:p w14:paraId="304CB7DD">
            <w:pPr>
              <w:autoSpaceDE w:val="0"/>
              <w:autoSpaceDN w:val="0"/>
              <w:spacing w:line="360" w:lineRule="auto"/>
              <w:ind w:firstLine="480"/>
              <w:jc w:val="center"/>
              <w:rPr>
                <w:rFonts w:hint="default" w:ascii="Times New Roman" w:hAnsi="Times New Roman" w:eastAsia="宋体" w:cs="Times New Roman"/>
                <w:color w:val="auto"/>
                <w:kern w:val="0"/>
                <w:highlight w:val="none"/>
                <w:u w:val="none" w:color="auto"/>
              </w:rPr>
            </w:pPr>
            <w:r>
              <w:rPr>
                <w:rFonts w:hint="default" w:ascii="Times New Roman" w:hAnsi="Times New Roman" w:eastAsia="宋体" w:cs="Times New Roman"/>
                <w:color w:val="auto"/>
                <w:kern w:val="0"/>
                <w:highlight w:val="none"/>
                <w:u w:val="none" w:color="auto"/>
              </w:rPr>
              <w:drawing>
                <wp:inline distT="0" distB="0" distL="114300" distR="114300">
                  <wp:extent cx="1595120" cy="223520"/>
                  <wp:effectExtent l="0" t="0" r="5080" b="5080"/>
                  <wp:docPr id="149" name="图片 1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1023"/>
                          <pic:cNvPicPr>
                            <a:picLocks noChangeAspect="1"/>
                          </pic:cNvPicPr>
                        </pic:nvPicPr>
                        <pic:blipFill>
                          <a:blip r:embed="rId21"/>
                          <a:stretch>
                            <a:fillRect/>
                          </a:stretch>
                        </pic:blipFill>
                        <pic:spPr>
                          <a:xfrm>
                            <a:off x="0" y="0"/>
                            <a:ext cx="1595120" cy="223520"/>
                          </a:xfrm>
                          <a:prstGeom prst="rect">
                            <a:avLst/>
                          </a:prstGeom>
                          <a:noFill/>
                          <a:ln>
                            <a:noFill/>
                          </a:ln>
                        </pic:spPr>
                      </pic:pic>
                    </a:graphicData>
                  </a:graphic>
                </wp:inline>
              </w:drawing>
            </w:r>
          </w:p>
          <w:p w14:paraId="708F3620">
            <w:pPr>
              <w:pStyle w:val="290"/>
              <w:spacing w:after="0" w:line="360" w:lineRule="auto"/>
              <w:rPr>
                <w:rFonts w:hint="default" w:ascii="Times New Roman" w:hAnsi="Times New Roman" w:eastAsia="宋体" w:cs="Times New Roman"/>
                <w:color w:val="auto"/>
                <w:szCs w:val="24"/>
                <w:highlight w:val="none"/>
                <w:u w:val="none" w:color="auto"/>
              </w:rPr>
            </w:pPr>
            <w:r>
              <w:rPr>
                <w:rFonts w:hint="default" w:ascii="Times New Roman" w:hAnsi="Times New Roman" w:eastAsia="宋体" w:cs="Times New Roman"/>
                <w:color w:val="auto"/>
                <w:szCs w:val="24"/>
                <w:highlight w:val="none"/>
                <w:u w:val="none" w:color="auto"/>
              </w:rPr>
              <w:t>式中：</w:t>
            </w:r>
          </w:p>
          <w:p w14:paraId="79099ABE">
            <w:pPr>
              <w:pStyle w:val="290"/>
              <w:spacing w:after="0" w:line="360" w:lineRule="auto"/>
              <w:rPr>
                <w:rFonts w:hint="default" w:ascii="Times New Roman" w:hAnsi="Times New Roman" w:eastAsia="宋体" w:cs="Times New Roman"/>
                <w:color w:val="auto"/>
                <w:szCs w:val="24"/>
                <w:highlight w:val="none"/>
                <w:u w:val="none" w:color="auto"/>
              </w:rPr>
            </w:pPr>
            <w:r>
              <w:rPr>
                <w:rFonts w:hint="default" w:ascii="Times New Roman" w:hAnsi="Times New Roman" w:eastAsia="宋体" w:cs="Times New Roman"/>
                <w:i/>
                <w:iCs/>
                <w:color w:val="auto"/>
                <w:szCs w:val="24"/>
                <w:highlight w:val="none"/>
                <w:u w:val="none" w:color="auto"/>
              </w:rPr>
              <w:t>L</w:t>
            </w:r>
            <w:r>
              <w:rPr>
                <w:rFonts w:hint="default" w:ascii="Times New Roman" w:hAnsi="Times New Roman" w:eastAsia="宋体" w:cs="Times New Roman"/>
                <w:i/>
                <w:iCs/>
                <w:color w:val="auto"/>
                <w:szCs w:val="24"/>
                <w:highlight w:val="none"/>
                <w:u w:val="none" w:color="auto"/>
                <w:vertAlign w:val="subscript"/>
              </w:rPr>
              <w:t xml:space="preserve">P </w:t>
            </w:r>
            <w:r>
              <w:rPr>
                <w:rFonts w:hint="default" w:ascii="Times New Roman" w:hAnsi="Times New Roman" w:eastAsia="宋体" w:cs="Times New Roman"/>
                <w:color w:val="auto"/>
                <w:szCs w:val="24"/>
                <w:highlight w:val="none"/>
                <w:u w:val="none" w:color="auto"/>
                <w:vertAlign w:val="subscript"/>
              </w:rPr>
              <w:t>2</w:t>
            </w:r>
            <w:r>
              <w:rPr>
                <w:rFonts w:hint="default" w:ascii="Times New Roman" w:hAnsi="Times New Roman" w:eastAsia="宋体" w:cs="Times New Roman"/>
                <w:i/>
                <w:iCs/>
                <w:color w:val="auto"/>
                <w:szCs w:val="24"/>
                <w:highlight w:val="none"/>
                <w:u w:val="none" w:color="auto"/>
                <w:vertAlign w:val="subscript"/>
              </w:rPr>
              <w:t>i</w:t>
            </w:r>
            <w:r>
              <w:rPr>
                <w:rFonts w:hint="default" w:ascii="Times New Roman" w:hAnsi="Times New Roman" w:eastAsia="宋体" w:cs="Times New Roman"/>
                <w:color w:val="auto"/>
                <w:szCs w:val="24"/>
                <w:highlight w:val="none"/>
                <w:u w:val="none" w:color="auto"/>
              </w:rPr>
              <w:t>(</w:t>
            </w:r>
            <w:r>
              <w:rPr>
                <w:rFonts w:hint="default" w:ascii="Times New Roman" w:hAnsi="Times New Roman" w:eastAsia="宋体" w:cs="Times New Roman"/>
                <w:i/>
                <w:iCs/>
                <w:color w:val="auto"/>
                <w:szCs w:val="24"/>
                <w:highlight w:val="none"/>
                <w:u w:val="none" w:color="auto"/>
              </w:rPr>
              <w:t>T</w:t>
            </w:r>
            <w:r>
              <w:rPr>
                <w:rFonts w:hint="default" w:ascii="Times New Roman" w:hAnsi="Times New Roman" w:eastAsia="宋体" w:cs="Times New Roman"/>
                <w:color w:val="auto"/>
                <w:szCs w:val="24"/>
                <w:highlight w:val="none"/>
                <w:u w:val="none" w:color="auto"/>
              </w:rPr>
              <w:t>)</w:t>
            </w:r>
            <w:r>
              <w:rPr>
                <w:rFonts w:hint="default" w:ascii="Times New Roman" w:hAnsi="Times New Roman" w:eastAsia="宋体" w:cs="Times New Roman"/>
                <w:i/>
                <w:iCs/>
                <w:color w:val="auto"/>
                <w:szCs w:val="24"/>
                <w:highlight w:val="none"/>
                <w:u w:val="none" w:color="auto"/>
              </w:rPr>
              <w:t xml:space="preserve"> </w:t>
            </w:r>
            <w:r>
              <w:rPr>
                <w:rFonts w:hint="default" w:ascii="Times New Roman" w:hAnsi="Times New Roman" w:eastAsia="宋体" w:cs="Times New Roman"/>
                <w:color w:val="auto"/>
                <w:szCs w:val="24"/>
                <w:highlight w:val="none"/>
                <w:u w:val="none" w:color="auto"/>
              </w:rPr>
              <w:t>—靠近围护结构处室</w:t>
            </w:r>
            <w:r>
              <w:rPr>
                <w:rFonts w:hint="default" w:ascii="Times New Roman" w:hAnsi="Times New Roman" w:eastAsia="宋体" w:cs="Times New Roman"/>
                <w:color w:val="auto"/>
                <w:szCs w:val="24"/>
                <w:highlight w:val="none"/>
                <w:u w:val="none" w:color="auto"/>
                <w:lang w:val="en-US" w:eastAsia="zh-CN"/>
              </w:rPr>
              <w:t>内</w:t>
            </w:r>
            <w:r>
              <w:rPr>
                <w:rFonts w:hint="default" w:ascii="Times New Roman" w:hAnsi="Times New Roman" w:eastAsia="宋体" w:cs="Times New Roman"/>
                <w:color w:val="auto"/>
                <w:szCs w:val="24"/>
                <w:highlight w:val="none"/>
                <w:u w:val="none" w:color="auto"/>
              </w:rPr>
              <w:t>N个声源</w:t>
            </w:r>
            <w:r>
              <w:rPr>
                <w:rFonts w:hint="default" w:ascii="Times New Roman" w:hAnsi="Times New Roman" w:eastAsia="宋体" w:cs="Times New Roman"/>
                <w:i/>
                <w:iCs/>
                <w:color w:val="auto"/>
                <w:szCs w:val="24"/>
                <w:highlight w:val="none"/>
                <w:u w:val="none" w:color="auto"/>
              </w:rPr>
              <w:t>i</w:t>
            </w:r>
            <w:r>
              <w:rPr>
                <w:rFonts w:hint="default" w:ascii="Times New Roman" w:hAnsi="Times New Roman" w:eastAsia="宋体" w:cs="Times New Roman"/>
                <w:color w:val="auto"/>
                <w:szCs w:val="24"/>
                <w:highlight w:val="none"/>
                <w:u w:val="none" w:color="auto"/>
              </w:rPr>
              <w:t>倍频带的叠加声压级，dB；</w:t>
            </w:r>
          </w:p>
          <w:p w14:paraId="77356B3F">
            <w:pPr>
              <w:pStyle w:val="290"/>
              <w:spacing w:after="0" w:line="360" w:lineRule="auto"/>
              <w:rPr>
                <w:rFonts w:hint="default" w:ascii="Times New Roman" w:hAnsi="Times New Roman" w:eastAsia="宋体" w:cs="Times New Roman"/>
                <w:color w:val="auto"/>
                <w:szCs w:val="24"/>
                <w:highlight w:val="none"/>
                <w:u w:val="none" w:color="auto"/>
              </w:rPr>
            </w:pPr>
            <w:r>
              <w:rPr>
                <w:rFonts w:hint="default" w:ascii="Times New Roman" w:hAnsi="Times New Roman" w:eastAsia="宋体" w:cs="Times New Roman"/>
                <w:i/>
                <w:iCs/>
                <w:color w:val="auto"/>
                <w:szCs w:val="24"/>
                <w:highlight w:val="none"/>
                <w:u w:val="none" w:color="auto"/>
              </w:rPr>
              <w:t>T</w:t>
            </w:r>
            <w:r>
              <w:rPr>
                <w:rFonts w:hint="default" w:ascii="Times New Roman" w:hAnsi="Times New Roman" w:eastAsia="宋体" w:cs="Times New Roman"/>
                <w:i/>
                <w:iCs/>
                <w:color w:val="auto"/>
                <w:szCs w:val="24"/>
                <w:highlight w:val="none"/>
                <w:u w:val="none" w:color="auto"/>
                <w:vertAlign w:val="subscript"/>
              </w:rPr>
              <w:t>L i</w:t>
            </w:r>
            <w:r>
              <w:rPr>
                <w:rFonts w:hint="default" w:ascii="Times New Roman" w:hAnsi="Times New Roman" w:eastAsia="宋体" w:cs="Times New Roman"/>
                <w:i/>
                <w:iCs/>
                <w:color w:val="auto"/>
                <w:szCs w:val="24"/>
                <w:highlight w:val="none"/>
                <w:u w:val="none" w:color="auto"/>
              </w:rPr>
              <w:t xml:space="preserve"> </w:t>
            </w:r>
            <w:r>
              <w:rPr>
                <w:rFonts w:hint="default" w:ascii="Times New Roman" w:hAnsi="Times New Roman" w:eastAsia="宋体" w:cs="Times New Roman"/>
                <w:color w:val="auto"/>
                <w:szCs w:val="24"/>
                <w:highlight w:val="none"/>
                <w:u w:val="none" w:color="auto"/>
              </w:rPr>
              <w:t>—围护结构</w:t>
            </w:r>
            <w:r>
              <w:rPr>
                <w:rFonts w:hint="default" w:ascii="Times New Roman" w:hAnsi="Times New Roman" w:eastAsia="宋体" w:cs="Times New Roman"/>
                <w:i/>
                <w:iCs/>
                <w:color w:val="auto"/>
                <w:szCs w:val="24"/>
                <w:highlight w:val="none"/>
                <w:u w:val="none" w:color="auto"/>
              </w:rPr>
              <w:t xml:space="preserve">i </w:t>
            </w:r>
            <w:r>
              <w:rPr>
                <w:rFonts w:hint="default" w:ascii="Times New Roman" w:hAnsi="Times New Roman" w:eastAsia="宋体" w:cs="Times New Roman"/>
                <w:color w:val="auto"/>
                <w:szCs w:val="24"/>
                <w:highlight w:val="none"/>
                <w:u w:val="none" w:color="auto"/>
              </w:rPr>
              <w:t>倍频带的隔声量，dB。</w:t>
            </w:r>
          </w:p>
          <w:p w14:paraId="67148B5D">
            <w:pPr>
              <w:pStyle w:val="290"/>
              <w:spacing w:after="0" w:line="360" w:lineRule="auto"/>
              <w:rPr>
                <w:rFonts w:hint="default" w:ascii="Times New Roman" w:hAnsi="Times New Roman" w:eastAsia="宋体" w:cs="Times New Roman"/>
                <w:color w:val="auto"/>
                <w:szCs w:val="24"/>
                <w:highlight w:val="none"/>
                <w:u w:val="none" w:color="auto"/>
              </w:rPr>
            </w:pPr>
            <w:r>
              <w:rPr>
                <w:rFonts w:hint="default" w:ascii="Times New Roman" w:hAnsi="Times New Roman" w:eastAsia="宋体" w:cs="Times New Roman"/>
                <w:color w:val="auto"/>
                <w:szCs w:val="24"/>
                <w:highlight w:val="none"/>
                <w:u w:val="none" w:color="auto"/>
              </w:rPr>
              <w:t>然后按下列公式将室</w:t>
            </w:r>
            <w:r>
              <w:rPr>
                <w:rFonts w:hint="default" w:ascii="Times New Roman" w:hAnsi="Times New Roman" w:eastAsia="宋体" w:cs="Times New Roman"/>
                <w:color w:val="auto"/>
                <w:szCs w:val="24"/>
                <w:highlight w:val="none"/>
                <w:u w:val="none" w:color="auto"/>
                <w:lang w:val="en-US" w:eastAsia="zh-CN"/>
              </w:rPr>
              <w:t>内</w:t>
            </w:r>
            <w:r>
              <w:rPr>
                <w:rFonts w:hint="default" w:ascii="Times New Roman" w:hAnsi="Times New Roman" w:eastAsia="宋体" w:cs="Times New Roman"/>
                <w:color w:val="auto"/>
                <w:szCs w:val="24"/>
                <w:highlight w:val="none"/>
                <w:u w:val="none" w:color="auto"/>
              </w:rPr>
              <w:t>声源的声压级和透过面积换算成等效的室外声源，计算出中心位置位于透声面积（S）处的等效声源的倍频带声功率级。</w:t>
            </w:r>
          </w:p>
          <w:p w14:paraId="3B14ED36">
            <w:pPr>
              <w:pStyle w:val="290"/>
              <w:spacing w:after="0" w:line="360" w:lineRule="auto"/>
              <w:jc w:val="center"/>
              <w:rPr>
                <w:rFonts w:hint="default" w:ascii="Times New Roman" w:hAnsi="Times New Roman" w:eastAsia="宋体" w:cs="Times New Roman"/>
                <w:bCs w:val="0"/>
                <w:color w:val="auto"/>
                <w:szCs w:val="24"/>
                <w:highlight w:val="none"/>
                <w:u w:val="none" w:color="auto"/>
              </w:rPr>
            </w:pPr>
            <w:r>
              <w:rPr>
                <w:rFonts w:hint="default" w:ascii="Times New Roman" w:hAnsi="Times New Roman" w:eastAsia="宋体" w:cs="Times New Roman"/>
                <w:snapToGrid/>
                <w:color w:val="auto"/>
                <w:szCs w:val="24"/>
                <w:highlight w:val="none"/>
                <w:u w:val="none" w:color="auto"/>
              </w:rPr>
              <w:drawing>
                <wp:inline distT="0" distB="0" distL="114300" distR="114300">
                  <wp:extent cx="1435100" cy="244475"/>
                  <wp:effectExtent l="0" t="0" r="12700" b="3175"/>
                  <wp:docPr id="150" name="图片 1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1022"/>
                          <pic:cNvPicPr>
                            <a:picLocks noChangeAspect="1"/>
                          </pic:cNvPicPr>
                        </pic:nvPicPr>
                        <pic:blipFill>
                          <a:blip r:embed="rId22"/>
                          <a:stretch>
                            <a:fillRect/>
                          </a:stretch>
                        </pic:blipFill>
                        <pic:spPr>
                          <a:xfrm>
                            <a:off x="0" y="0"/>
                            <a:ext cx="1435100" cy="244475"/>
                          </a:xfrm>
                          <a:prstGeom prst="rect">
                            <a:avLst/>
                          </a:prstGeom>
                          <a:noFill/>
                          <a:ln>
                            <a:noFill/>
                          </a:ln>
                        </pic:spPr>
                      </pic:pic>
                    </a:graphicData>
                  </a:graphic>
                </wp:inline>
              </w:drawing>
            </w:r>
          </w:p>
          <w:p w14:paraId="41EDC688">
            <w:pPr>
              <w:pStyle w:val="290"/>
              <w:spacing w:after="0" w:line="360" w:lineRule="auto"/>
              <w:rPr>
                <w:rFonts w:hint="default" w:ascii="Times New Roman" w:hAnsi="Times New Roman" w:eastAsia="宋体" w:cs="Times New Roman"/>
                <w:color w:val="auto"/>
                <w:szCs w:val="24"/>
                <w:highlight w:val="none"/>
                <w:u w:val="none" w:color="auto"/>
              </w:rPr>
            </w:pPr>
            <w:r>
              <w:rPr>
                <w:rFonts w:hint="default" w:ascii="Times New Roman" w:hAnsi="Times New Roman" w:eastAsia="宋体" w:cs="Times New Roman"/>
                <w:color w:val="auto"/>
                <w:szCs w:val="24"/>
                <w:highlight w:val="none"/>
                <w:u w:val="none" w:color="auto"/>
              </w:rPr>
              <w:t>然后按室外声源预测方法计算预测点处的A声级。</w:t>
            </w:r>
          </w:p>
          <w:p w14:paraId="1D82E868">
            <w:pPr>
              <w:pStyle w:val="16"/>
              <w:ind w:firstLine="480"/>
              <w:jc w:val="center"/>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rPr>
              <w:drawing>
                <wp:inline distT="0" distB="0" distL="114300" distR="114300">
                  <wp:extent cx="3115310" cy="1669415"/>
                  <wp:effectExtent l="0" t="0" r="8890" b="6985"/>
                  <wp:docPr id="151" name="图片 1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图片 11021"/>
                          <pic:cNvPicPr>
                            <a:picLocks noChangeAspect="1"/>
                          </pic:cNvPicPr>
                        </pic:nvPicPr>
                        <pic:blipFill>
                          <a:blip r:embed="rId23"/>
                          <a:stretch>
                            <a:fillRect/>
                          </a:stretch>
                        </pic:blipFill>
                        <pic:spPr>
                          <a:xfrm>
                            <a:off x="0" y="0"/>
                            <a:ext cx="3115310" cy="1669415"/>
                          </a:xfrm>
                          <a:prstGeom prst="rect">
                            <a:avLst/>
                          </a:prstGeom>
                          <a:noFill/>
                          <a:ln>
                            <a:noFill/>
                          </a:ln>
                        </pic:spPr>
                      </pic:pic>
                    </a:graphicData>
                  </a:graphic>
                </wp:inline>
              </w:drawing>
            </w:r>
          </w:p>
          <w:p w14:paraId="171461E3">
            <w:pPr>
              <w:pStyle w:val="291"/>
              <w:spacing w:after="120" w:afterLines="50" w:line="240" w:lineRule="auto"/>
              <w:ind w:firstLine="480"/>
              <w:rPr>
                <w:rFonts w:hint="default" w:ascii="Times New Roman" w:hAnsi="Times New Roman" w:eastAsia="宋体" w:cs="Times New Roman"/>
                <w:color w:val="auto"/>
                <w:kern w:val="0"/>
                <w:sz w:val="20"/>
                <w:highlight w:val="none"/>
                <w:u w:val="none" w:color="auto"/>
              </w:rPr>
            </w:pPr>
            <w:r>
              <w:rPr>
                <w:rFonts w:hint="default" w:ascii="Times New Roman" w:hAnsi="Times New Roman" w:eastAsia="宋体" w:cs="Times New Roman"/>
                <w:color w:val="auto"/>
                <w:kern w:val="0"/>
                <w:highlight w:val="none"/>
                <w:u w:val="none" w:color="auto"/>
              </w:rPr>
              <w:t>图4-</w:t>
            </w:r>
            <w:r>
              <w:rPr>
                <w:rFonts w:hint="default" w:ascii="Times New Roman" w:hAnsi="Times New Roman" w:eastAsia="宋体" w:cs="Times New Roman"/>
                <w:color w:val="auto"/>
                <w:kern w:val="0"/>
                <w:highlight w:val="none"/>
                <w:u w:val="none" w:color="auto"/>
                <w:lang w:val="en-US" w:eastAsia="zh-CN"/>
              </w:rPr>
              <w:t>2</w:t>
            </w:r>
            <w:r>
              <w:rPr>
                <w:rFonts w:hint="default" w:ascii="Times New Roman" w:hAnsi="Times New Roman" w:eastAsia="宋体" w:cs="Times New Roman"/>
                <w:color w:val="auto"/>
                <w:kern w:val="0"/>
                <w:highlight w:val="none"/>
                <w:u w:val="none" w:color="auto"/>
              </w:rPr>
              <w:t xml:space="preserve">   室内声源等效为室外声源图例</w:t>
            </w:r>
          </w:p>
          <w:p w14:paraId="27BD6DDE">
            <w:pPr>
              <w:spacing w:line="360" w:lineRule="auto"/>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bCs/>
                <w:snapToGrid w:val="0"/>
                <w:color w:val="auto"/>
                <w:highlight w:val="none"/>
                <w:u w:val="none" w:color="auto"/>
              </w:rPr>
              <w:fldChar w:fldCharType="begin"/>
            </w:r>
            <w:r>
              <w:rPr>
                <w:rFonts w:hint="default" w:ascii="Times New Roman" w:hAnsi="Times New Roman" w:eastAsia="宋体" w:cs="Times New Roman"/>
                <w:bCs/>
                <w:snapToGrid w:val="0"/>
                <w:color w:val="auto"/>
                <w:highlight w:val="none"/>
                <w:u w:val="none" w:color="auto"/>
              </w:rPr>
              <w:instrText xml:space="preserve"> = 3 \* GB3 </w:instrText>
            </w:r>
            <w:r>
              <w:rPr>
                <w:rFonts w:hint="default" w:ascii="Times New Roman" w:hAnsi="Times New Roman" w:eastAsia="宋体" w:cs="Times New Roman"/>
                <w:bCs/>
                <w:snapToGrid w:val="0"/>
                <w:color w:val="auto"/>
                <w:highlight w:val="none"/>
                <w:u w:val="none" w:color="auto"/>
              </w:rPr>
              <w:fldChar w:fldCharType="separate"/>
            </w:r>
            <w:r>
              <w:rPr>
                <w:rFonts w:hint="default" w:ascii="Times New Roman" w:hAnsi="Times New Roman" w:eastAsia="宋体" w:cs="Times New Roman"/>
                <w:bCs/>
                <w:snapToGrid w:val="0"/>
                <w:color w:val="auto"/>
                <w:highlight w:val="none"/>
                <w:u w:val="none" w:color="auto"/>
              </w:rPr>
              <w:t>③</w:t>
            </w:r>
            <w:r>
              <w:rPr>
                <w:rFonts w:hint="default" w:ascii="Times New Roman" w:hAnsi="Times New Roman" w:eastAsia="宋体" w:cs="Times New Roman"/>
                <w:bCs/>
                <w:snapToGrid w:val="0"/>
                <w:color w:val="auto"/>
                <w:highlight w:val="none"/>
                <w:u w:val="none" w:color="auto"/>
              </w:rPr>
              <w:fldChar w:fldCharType="end"/>
            </w:r>
            <w:r>
              <w:rPr>
                <w:rFonts w:hint="default" w:ascii="Times New Roman" w:hAnsi="Times New Roman" w:eastAsia="宋体" w:cs="Times New Roman"/>
                <w:bCs/>
                <w:color w:val="auto"/>
                <w:highlight w:val="none"/>
                <w:u w:val="none" w:color="auto"/>
              </w:rPr>
              <w:t>室外点声源几何发散衰减</w:t>
            </w:r>
          </w:p>
          <w:p w14:paraId="43D0EBC3">
            <w:pPr>
              <w:pStyle w:val="290"/>
              <w:snapToGrid w:val="0"/>
              <w:spacing w:after="0" w:line="360" w:lineRule="auto"/>
              <w:rPr>
                <w:rFonts w:hint="default" w:ascii="Times New Roman" w:hAnsi="Times New Roman" w:eastAsia="宋体" w:cs="Times New Roman"/>
                <w:color w:val="auto"/>
                <w:szCs w:val="24"/>
                <w:highlight w:val="none"/>
                <w:u w:val="none" w:color="auto"/>
              </w:rPr>
            </w:pPr>
            <w:r>
              <w:rPr>
                <w:rFonts w:hint="default" w:ascii="Times New Roman" w:hAnsi="Times New Roman" w:eastAsia="宋体" w:cs="Times New Roman"/>
                <w:color w:val="auto"/>
                <w:szCs w:val="24"/>
                <w:highlight w:val="none"/>
                <w:u w:val="none" w:color="auto"/>
              </w:rPr>
              <w:t>假定声源位于地面时的声场为半自由声场，则：</w:t>
            </w:r>
          </w:p>
          <w:p w14:paraId="5AD4CD60">
            <w:pPr>
              <w:pStyle w:val="290"/>
              <w:spacing w:after="0" w:line="360" w:lineRule="auto"/>
              <w:ind w:firstLine="0" w:firstLineChars="0"/>
              <w:jc w:val="center"/>
              <w:rPr>
                <w:rFonts w:hint="default" w:ascii="Times New Roman" w:hAnsi="Times New Roman" w:eastAsia="宋体" w:cs="Times New Roman"/>
                <w:color w:val="auto"/>
                <w:szCs w:val="24"/>
                <w:highlight w:val="none"/>
                <w:u w:val="none" w:color="auto"/>
              </w:rPr>
            </w:pPr>
            <m:oMathPara>
              <m:oMath>
                <m:r>
                  <m:rPr>
                    <m:nor/>
                    <m:sty m:val="p"/>
                  </m:rPr>
                  <w:rPr>
                    <w:rFonts w:hint="default" w:ascii="Times New Roman" w:hAnsi="Times New Roman" w:eastAsia="宋体" w:cs="Times New Roman"/>
                    <w:b w:val="0"/>
                    <w:i w:val="0"/>
                    <w:color w:val="auto"/>
                    <w:szCs w:val="24"/>
                    <w:highlight w:val="none"/>
                    <w:u w:val="none" w:color="auto"/>
                  </w:rPr>
                  <m:t>LA</m:t>
                </m:r>
                <m:d>
                  <m:dPr>
                    <m:ctrlPr>
                      <w:rPr>
                        <w:rFonts w:hint="default" w:ascii="Cambria Math" w:hAnsi="Cambria Math" w:eastAsia="宋体" w:cs="Times New Roman"/>
                        <w:color w:val="auto"/>
                        <w:szCs w:val="24"/>
                        <w:highlight w:val="none"/>
                        <w:u w:val="none" w:color="auto"/>
                      </w:rPr>
                    </m:ctrlPr>
                  </m:dPr>
                  <m:e>
                    <m:r>
                      <m:rPr>
                        <m:nor/>
                        <m:sty m:val="p"/>
                      </m:rPr>
                      <w:rPr>
                        <w:rFonts w:hint="default" w:ascii="Times New Roman" w:hAnsi="Times New Roman" w:eastAsia="宋体" w:cs="Times New Roman"/>
                        <w:b w:val="0"/>
                        <w:i w:val="0"/>
                        <w:color w:val="auto"/>
                        <w:szCs w:val="24"/>
                        <w:highlight w:val="none"/>
                        <w:u w:val="none" w:color="auto"/>
                      </w:rPr>
                      <m:t>r</m:t>
                    </m:r>
                    <m:ctrlPr>
                      <w:rPr>
                        <w:rFonts w:hint="default" w:ascii="Cambria Math" w:hAnsi="Cambria Math" w:eastAsia="宋体" w:cs="Times New Roman"/>
                        <w:color w:val="auto"/>
                        <w:szCs w:val="24"/>
                        <w:highlight w:val="none"/>
                        <w:u w:val="none" w:color="auto"/>
                      </w:rPr>
                    </m:ctrlPr>
                  </m:e>
                </m:d>
                <m:r>
                  <m:rPr>
                    <m:nor/>
                    <m:sty m:val="p"/>
                  </m:rPr>
                  <w:rPr>
                    <w:rFonts w:hint="default" w:ascii="Times New Roman" w:hAnsi="Times New Roman" w:eastAsia="宋体" w:cs="Times New Roman"/>
                    <w:b w:val="0"/>
                    <w:i w:val="0"/>
                    <w:color w:val="auto"/>
                    <w:szCs w:val="24"/>
                    <w:highlight w:val="none"/>
                    <w:u w:val="none" w:color="auto"/>
                  </w:rPr>
                  <m:t>=</m:t>
                </m:r>
                <m:sSub>
                  <m:sSubPr>
                    <m:ctrlPr>
                      <w:rPr>
                        <w:rFonts w:hint="default" w:ascii="Cambria Math" w:hAnsi="Cambria Math" w:eastAsia="宋体" w:cs="Times New Roman"/>
                        <w:color w:val="auto"/>
                        <w:szCs w:val="24"/>
                        <w:highlight w:val="none"/>
                        <w:u w:val="none" w:color="auto"/>
                      </w:rPr>
                    </m:ctrlPr>
                  </m:sSubPr>
                  <m:e>
                    <m:r>
                      <m:rPr>
                        <m:nor/>
                        <m:sty m:val="p"/>
                      </m:rPr>
                      <w:rPr>
                        <w:rFonts w:hint="default" w:ascii="Times New Roman" w:hAnsi="Times New Roman" w:eastAsia="宋体" w:cs="Times New Roman"/>
                        <w:b w:val="0"/>
                        <w:i w:val="0"/>
                        <w:color w:val="auto"/>
                        <w:szCs w:val="24"/>
                        <w:highlight w:val="none"/>
                        <w:u w:val="none" w:color="auto"/>
                      </w:rPr>
                      <m:t>L</m:t>
                    </m:r>
                    <m:ctrlPr>
                      <w:rPr>
                        <w:rFonts w:hint="default" w:ascii="Cambria Math" w:hAnsi="Cambria Math" w:eastAsia="宋体" w:cs="Times New Roman"/>
                        <w:color w:val="auto"/>
                        <w:szCs w:val="24"/>
                        <w:highlight w:val="none"/>
                        <w:u w:val="none" w:color="auto"/>
                      </w:rPr>
                    </m:ctrlPr>
                  </m:e>
                  <m:sub>
                    <m:r>
                      <m:rPr>
                        <m:nor/>
                        <m:sty m:val="p"/>
                      </m:rPr>
                      <w:rPr>
                        <w:rFonts w:hint="default" w:ascii="Times New Roman" w:hAnsi="Times New Roman" w:eastAsia="宋体" w:cs="Times New Roman"/>
                        <w:b w:val="0"/>
                        <w:i w:val="0"/>
                        <w:color w:val="auto"/>
                        <w:szCs w:val="24"/>
                        <w:highlight w:val="none"/>
                        <w:u w:val="none" w:color="auto"/>
                      </w:rPr>
                      <m:t>WA</m:t>
                    </m:r>
                    <m:ctrlPr>
                      <w:rPr>
                        <w:rFonts w:hint="default" w:ascii="Cambria Math" w:hAnsi="Cambria Math" w:eastAsia="宋体" w:cs="Times New Roman"/>
                        <w:color w:val="auto"/>
                        <w:szCs w:val="24"/>
                        <w:highlight w:val="none"/>
                        <w:u w:val="none" w:color="auto"/>
                      </w:rPr>
                    </m:ctrlPr>
                  </m:sub>
                </m:sSub>
                <m:r>
                  <m:rPr>
                    <m:nor/>
                    <m:sty m:val="p"/>
                  </m:rPr>
                  <w:rPr>
                    <w:rFonts w:hint="default" w:ascii="Times New Roman" w:hAnsi="Times New Roman" w:eastAsia="宋体" w:cs="Times New Roman"/>
                    <w:b w:val="0"/>
                    <w:i w:val="0"/>
                    <w:color w:val="auto"/>
                    <w:szCs w:val="24"/>
                    <w:highlight w:val="none"/>
                    <w:u w:val="none" w:color="auto"/>
                  </w:rPr>
                  <m:t>-20</m:t>
                </m:r>
                <m:func>
                  <m:funcPr>
                    <m:ctrlPr>
                      <w:rPr>
                        <w:rFonts w:hint="default" w:ascii="Cambria Math" w:hAnsi="Cambria Math" w:eastAsia="宋体" w:cs="Times New Roman"/>
                        <w:color w:val="auto"/>
                        <w:szCs w:val="24"/>
                        <w:highlight w:val="none"/>
                        <w:u w:val="none" w:color="auto"/>
                      </w:rPr>
                    </m:ctrlPr>
                  </m:funcPr>
                  <m:fName>
                    <m:r>
                      <m:rPr>
                        <m:nor/>
                        <m:sty m:val="p"/>
                      </m:rPr>
                      <w:rPr>
                        <w:rFonts w:hint="default" w:ascii="Times New Roman" w:hAnsi="Times New Roman" w:eastAsia="宋体" w:cs="Times New Roman"/>
                        <w:b w:val="0"/>
                        <w:i w:val="0"/>
                        <w:color w:val="auto"/>
                        <w:szCs w:val="24"/>
                        <w:highlight w:val="none"/>
                        <w:u w:val="none" w:color="auto"/>
                      </w:rPr>
                      <m:t>lg</m:t>
                    </m:r>
                    <m:ctrlPr>
                      <w:rPr>
                        <w:rFonts w:hint="default" w:ascii="Cambria Math" w:hAnsi="Cambria Math" w:eastAsia="宋体" w:cs="Times New Roman"/>
                        <w:color w:val="auto"/>
                        <w:szCs w:val="24"/>
                        <w:highlight w:val="none"/>
                        <w:u w:val="none" w:color="auto"/>
                      </w:rPr>
                    </m:ctrlPr>
                  </m:fName>
                  <m:e>
                    <m:d>
                      <m:dPr>
                        <m:ctrlPr>
                          <w:rPr>
                            <w:rFonts w:hint="default" w:ascii="Cambria Math" w:hAnsi="Cambria Math" w:eastAsia="宋体" w:cs="Times New Roman"/>
                            <w:color w:val="auto"/>
                            <w:szCs w:val="24"/>
                            <w:highlight w:val="none"/>
                            <w:u w:val="none" w:color="auto"/>
                          </w:rPr>
                        </m:ctrlPr>
                      </m:dPr>
                      <m:e>
                        <m:r>
                          <m:rPr>
                            <m:nor/>
                            <m:sty m:val="p"/>
                          </m:rPr>
                          <w:rPr>
                            <w:rFonts w:hint="default" w:ascii="Times New Roman" w:hAnsi="Times New Roman" w:eastAsia="宋体" w:cs="Times New Roman"/>
                            <w:b w:val="0"/>
                            <w:i w:val="0"/>
                            <w:color w:val="auto"/>
                            <w:szCs w:val="24"/>
                            <w:highlight w:val="none"/>
                            <w:u w:val="none" w:color="auto"/>
                          </w:rPr>
                          <m:t>r</m:t>
                        </m:r>
                        <m:ctrlPr>
                          <w:rPr>
                            <w:rFonts w:hint="default" w:ascii="Cambria Math" w:hAnsi="Cambria Math" w:eastAsia="宋体" w:cs="Times New Roman"/>
                            <w:color w:val="auto"/>
                            <w:szCs w:val="24"/>
                            <w:highlight w:val="none"/>
                            <w:u w:val="none" w:color="auto"/>
                          </w:rPr>
                        </m:ctrlPr>
                      </m:e>
                    </m:d>
                    <m:ctrlPr>
                      <w:rPr>
                        <w:rFonts w:hint="default" w:ascii="Cambria Math" w:hAnsi="Cambria Math" w:eastAsia="宋体" w:cs="Times New Roman"/>
                        <w:i/>
                        <w:color w:val="auto"/>
                        <w:szCs w:val="24"/>
                        <w:highlight w:val="none"/>
                        <w:u w:val="none" w:color="auto"/>
                      </w:rPr>
                    </m:ctrlPr>
                  </m:e>
                </m:func>
                <m:r>
                  <m:rPr>
                    <m:nor/>
                    <m:sty m:val="p"/>
                  </m:rPr>
                  <w:rPr>
                    <w:rFonts w:hint="default" w:ascii="Times New Roman" w:hAnsi="Times New Roman" w:eastAsia="宋体" w:cs="Times New Roman"/>
                    <w:b w:val="0"/>
                    <w:i w:val="0"/>
                    <w:color w:val="auto"/>
                    <w:szCs w:val="24"/>
                    <w:highlight w:val="none"/>
                    <w:u w:val="none" w:color="auto"/>
                  </w:rPr>
                  <m:t>-8</m:t>
                </m:r>
              </m:oMath>
            </m:oMathPara>
          </w:p>
          <w:p w14:paraId="40334570">
            <w:pPr>
              <w:pStyle w:val="26"/>
              <w:spacing w:line="360" w:lineRule="auto"/>
              <w:ind w:firstLine="48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fldChar w:fldCharType="begin"/>
            </w:r>
            <w:r>
              <w:rPr>
                <w:rFonts w:hint="default" w:ascii="Times New Roman" w:hAnsi="Times New Roman" w:eastAsia="宋体" w:cs="Times New Roman"/>
                <w:color w:val="auto"/>
                <w:sz w:val="24"/>
                <w:szCs w:val="24"/>
                <w:highlight w:val="none"/>
                <w:u w:val="none" w:color="auto"/>
              </w:rPr>
              <w:instrText xml:space="preserve"> = 4 \* GB3 </w:instrText>
            </w:r>
            <w:r>
              <w:rPr>
                <w:rFonts w:hint="default" w:ascii="Times New Roman" w:hAnsi="Times New Roman" w:eastAsia="宋体" w:cs="Times New Roman"/>
                <w:color w:val="auto"/>
                <w:sz w:val="24"/>
                <w:szCs w:val="24"/>
                <w:highlight w:val="none"/>
                <w:u w:val="none" w:color="auto"/>
              </w:rPr>
              <w:fldChar w:fldCharType="separate"/>
            </w:r>
            <w:r>
              <w:rPr>
                <w:rFonts w:hint="default" w:ascii="Times New Roman" w:hAnsi="Times New Roman" w:eastAsia="宋体" w:cs="Times New Roman"/>
                <w:color w:val="auto"/>
                <w:sz w:val="24"/>
                <w:szCs w:val="24"/>
                <w:highlight w:val="none"/>
                <w:u w:val="none" w:color="auto"/>
              </w:rPr>
              <w:t>④</w:t>
            </w:r>
            <w:r>
              <w:rPr>
                <w:rFonts w:hint="default" w:ascii="Times New Roman" w:hAnsi="Times New Roman" w:eastAsia="宋体" w:cs="Times New Roman"/>
                <w:color w:val="auto"/>
                <w:sz w:val="24"/>
                <w:szCs w:val="24"/>
                <w:highlight w:val="none"/>
                <w:u w:val="none" w:color="auto"/>
              </w:rPr>
              <w:fldChar w:fldCharType="end"/>
            </w:r>
            <w:r>
              <w:rPr>
                <w:rFonts w:hint="default" w:ascii="Times New Roman" w:hAnsi="Times New Roman" w:eastAsia="宋体" w:cs="Times New Roman"/>
                <w:color w:val="auto"/>
                <w:sz w:val="24"/>
                <w:szCs w:val="24"/>
                <w:highlight w:val="none"/>
                <w:u w:val="none" w:color="auto"/>
              </w:rPr>
              <w:t>噪声叠加计算模式</w:t>
            </w:r>
          </w:p>
          <w:p w14:paraId="39137887">
            <w:pPr>
              <w:pStyle w:val="26"/>
              <w:spacing w:line="360" w:lineRule="auto"/>
              <w:ind w:firstLine="480"/>
              <w:jc w:val="center"/>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position w:val="-30"/>
                <w:sz w:val="24"/>
                <w:szCs w:val="24"/>
                <w:highlight w:val="none"/>
                <w:u w:val="none" w:color="auto"/>
              </w:rPr>
              <w:object>
                <v:shape id="_x0000_i1025" o:spt="75" type="#_x0000_t75" style="height:36pt;width:88.75pt;" o:ole="t" fillcolor="#6D6D6D" filled="f" o:preferrelative="t" stroked="f" coordsize="21600,21600">
                  <v:path/>
                  <v:fill on="f" focussize="0,0"/>
                  <v:stroke on="f" joinstyle="miter"/>
                  <v:imagedata r:id="rId25" o:title=""/>
                  <o:lock v:ext="edit" aspectratio="t"/>
                  <w10:wrap type="none"/>
                  <w10:anchorlock/>
                </v:shape>
                <o:OLEObject Type="Embed" ProgID="Equation.3" ShapeID="_x0000_i1025" DrawAspect="Content" ObjectID="_1468075725" r:id="rId24">
                  <o:LockedField>false</o:LockedField>
                </o:OLEObject>
              </w:object>
            </w:r>
          </w:p>
          <w:p w14:paraId="4491F3D9">
            <w:pPr>
              <w:pStyle w:val="26"/>
              <w:spacing w:line="360" w:lineRule="auto"/>
              <w:ind w:firstLine="48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式中：L：噪声叠加后噪声值dB(A)；</w:t>
            </w:r>
          </w:p>
          <w:p w14:paraId="5A2A3D9E">
            <w:pPr>
              <w:pStyle w:val="26"/>
              <w:spacing w:line="360" w:lineRule="auto"/>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sz w:val="24"/>
                <w:szCs w:val="24"/>
                <w:highlight w:val="none"/>
                <w:u w:val="none" w:color="auto"/>
              </w:rPr>
              <w:t>L</w:t>
            </w:r>
            <w:r>
              <w:rPr>
                <w:rFonts w:hint="default" w:ascii="Times New Roman" w:hAnsi="Times New Roman" w:eastAsia="宋体" w:cs="Times New Roman"/>
                <w:color w:val="auto"/>
                <w:sz w:val="24"/>
                <w:szCs w:val="24"/>
                <w:highlight w:val="none"/>
                <w:u w:val="none" w:color="auto"/>
                <w:vertAlign w:val="subscript"/>
              </w:rPr>
              <w:t>i</w:t>
            </w:r>
            <w:r>
              <w:rPr>
                <w:rFonts w:hint="default" w:ascii="Times New Roman" w:hAnsi="Times New Roman" w:eastAsia="宋体" w:cs="Times New Roman"/>
                <w:color w:val="auto"/>
                <w:sz w:val="24"/>
                <w:szCs w:val="24"/>
                <w:highlight w:val="none"/>
                <w:u w:val="none" w:color="auto"/>
              </w:rPr>
              <w:t>：第i个噪声值，dB(A)。</w:t>
            </w:r>
          </w:p>
          <w:p w14:paraId="341CFF45">
            <w:pPr>
              <w:adjustRightInd w:val="0"/>
              <w:snapToGrid w:val="0"/>
              <w:spacing w:line="500" w:lineRule="exact"/>
              <w:ind w:firstLine="480" w:firstLineChars="20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根据项目总体平面布置，通过上述公式进行计算，对该项目各噪声源对厂界的影响进行分析。</w:t>
            </w:r>
          </w:p>
          <w:p w14:paraId="1F48DEFE">
            <w:pPr>
              <w:adjustRightInd w:val="0"/>
              <w:snapToGrid w:val="0"/>
              <w:spacing w:before="120" w:beforeLines="50"/>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表4-</w:t>
            </w:r>
            <w:r>
              <w:rPr>
                <w:rFonts w:hint="eastAsia" w:cs="Times New Roman"/>
                <w:b/>
                <w:color w:val="auto"/>
                <w:sz w:val="21"/>
                <w:szCs w:val="21"/>
                <w:highlight w:val="none"/>
                <w:u w:val="none" w:color="auto"/>
                <w:lang w:val="en-US" w:eastAsia="zh-CN"/>
              </w:rPr>
              <w:t>17</w:t>
            </w:r>
            <w:r>
              <w:rPr>
                <w:rFonts w:hint="default" w:ascii="Times New Roman" w:hAnsi="Times New Roman" w:eastAsia="宋体" w:cs="Times New Roman"/>
                <w:b/>
                <w:color w:val="auto"/>
                <w:sz w:val="21"/>
                <w:szCs w:val="21"/>
                <w:highlight w:val="none"/>
                <w:u w:val="none" w:color="auto"/>
              </w:rPr>
              <w:t xml:space="preserve"> 项目厂界噪声影响预测结果 dB（A）</w:t>
            </w:r>
          </w:p>
          <w:tbl>
            <w:tblPr>
              <w:tblStyle w:val="42"/>
              <w:tblW w:w="8003"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43"/>
              <w:gridCol w:w="871"/>
              <w:gridCol w:w="871"/>
              <w:gridCol w:w="872"/>
              <w:gridCol w:w="760"/>
              <w:gridCol w:w="1350"/>
              <w:gridCol w:w="1155"/>
              <w:gridCol w:w="881"/>
            </w:tblGrid>
            <w:tr w14:paraId="76BD131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6" w:type="pct"/>
                  <w:vMerge w:val="restart"/>
                  <w:tcBorders>
                    <w:left w:val="single" w:color="auto" w:sz="0" w:space="0"/>
                  </w:tcBorders>
                  <w:vAlign w:val="center"/>
                </w:tcPr>
                <w:p w14:paraId="5BDEB799">
                  <w:pPr>
                    <w:adjustRightInd w:val="0"/>
                    <w:snapToGrid w:val="0"/>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评价点</w:t>
                  </w:r>
                </w:p>
              </w:tc>
              <w:tc>
                <w:tcPr>
                  <w:tcW w:w="1633" w:type="pct"/>
                  <w:gridSpan w:val="3"/>
                  <w:vAlign w:val="center"/>
                </w:tcPr>
                <w:p w14:paraId="03A2273D">
                  <w:pPr>
                    <w:adjustRightInd w:val="0"/>
                    <w:snapToGrid w:val="0"/>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lang w:val="en-US" w:eastAsia="zh-CN"/>
                    </w:rPr>
                    <w:t>最大值点</w:t>
                  </w:r>
                  <w:r>
                    <w:rPr>
                      <w:rFonts w:hint="default" w:ascii="Times New Roman" w:hAnsi="Times New Roman" w:eastAsia="宋体" w:cs="Times New Roman"/>
                      <w:b/>
                      <w:color w:val="auto"/>
                      <w:sz w:val="21"/>
                      <w:szCs w:val="21"/>
                      <w:highlight w:val="none"/>
                      <w:u w:val="none" w:color="auto"/>
                    </w:rPr>
                    <w:t>空间相对位置/m</w:t>
                  </w:r>
                </w:p>
              </w:tc>
              <w:tc>
                <w:tcPr>
                  <w:tcW w:w="474" w:type="pct"/>
                  <w:vMerge w:val="restart"/>
                  <w:shd w:val="clear" w:color="auto" w:fill="auto"/>
                  <w:vAlign w:val="center"/>
                </w:tcPr>
                <w:p w14:paraId="4CB971AB">
                  <w:pPr>
                    <w:adjustRightInd w:val="0"/>
                    <w:snapToGrid w:val="0"/>
                    <w:jc w:val="center"/>
                    <w:rPr>
                      <w:rFonts w:hint="default" w:ascii="Times New Roman" w:hAnsi="Times New Roman" w:eastAsia="宋体" w:cs="Times New Roman"/>
                      <w:b/>
                      <w:color w:val="auto"/>
                      <w:kern w:val="2"/>
                      <w:sz w:val="21"/>
                      <w:szCs w:val="21"/>
                      <w:highlight w:val="none"/>
                      <w:u w:val="none" w:color="auto"/>
                      <w:lang w:val="en-US" w:eastAsia="zh-CN" w:bidi="ar-SA"/>
                    </w:rPr>
                  </w:pPr>
                  <w:r>
                    <w:rPr>
                      <w:rFonts w:hint="default" w:ascii="Times New Roman" w:hAnsi="Times New Roman" w:eastAsia="宋体" w:cs="Times New Roman"/>
                      <w:b/>
                      <w:color w:val="auto"/>
                      <w:sz w:val="21"/>
                      <w:szCs w:val="21"/>
                      <w:highlight w:val="none"/>
                      <w:u w:val="none" w:color="auto"/>
                    </w:rPr>
                    <w:t>时段</w:t>
                  </w:r>
                </w:p>
              </w:tc>
              <w:tc>
                <w:tcPr>
                  <w:tcW w:w="843" w:type="pct"/>
                  <w:vMerge w:val="restart"/>
                  <w:vAlign w:val="center"/>
                </w:tcPr>
                <w:p w14:paraId="10BF6A75">
                  <w:pPr>
                    <w:adjustRightInd w:val="0"/>
                    <w:snapToGrid w:val="0"/>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贡献值昼/夜间</w:t>
                  </w:r>
                </w:p>
              </w:tc>
              <w:tc>
                <w:tcPr>
                  <w:tcW w:w="721" w:type="pct"/>
                  <w:vMerge w:val="restart"/>
                  <w:vAlign w:val="center"/>
                </w:tcPr>
                <w:p w14:paraId="6C372FC2">
                  <w:pPr>
                    <w:adjustRightInd w:val="0"/>
                    <w:snapToGrid w:val="0"/>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标准限值</w:t>
                  </w:r>
                </w:p>
              </w:tc>
              <w:tc>
                <w:tcPr>
                  <w:tcW w:w="550" w:type="pct"/>
                  <w:vMerge w:val="restart"/>
                  <w:tcBorders>
                    <w:right w:val="single" w:color="auto" w:sz="12" w:space="0"/>
                  </w:tcBorders>
                  <w:vAlign w:val="center"/>
                </w:tcPr>
                <w:p w14:paraId="2F8E5E40">
                  <w:pPr>
                    <w:adjustRightInd w:val="0"/>
                    <w:snapToGrid w:val="0"/>
                    <w:jc w:val="center"/>
                    <w:rPr>
                      <w:rFonts w:hint="default" w:ascii="Times New Roman" w:hAnsi="Times New Roman" w:eastAsia="宋体" w:cs="Times New Roman"/>
                      <w:b/>
                      <w:color w:val="auto"/>
                      <w:sz w:val="21"/>
                      <w:szCs w:val="21"/>
                      <w:highlight w:val="none"/>
                      <w:u w:val="none" w:color="auto"/>
                      <w:lang w:val="en-US" w:eastAsia="zh-CN"/>
                    </w:rPr>
                  </w:pPr>
                  <w:r>
                    <w:rPr>
                      <w:rFonts w:hint="default" w:ascii="Times New Roman" w:hAnsi="Times New Roman" w:eastAsia="宋体" w:cs="Times New Roman"/>
                      <w:b/>
                      <w:color w:val="auto"/>
                      <w:sz w:val="21"/>
                      <w:szCs w:val="21"/>
                      <w:highlight w:val="none"/>
                      <w:u w:val="none" w:color="auto"/>
                      <w:lang w:val="en-US" w:eastAsia="zh-CN"/>
                    </w:rPr>
                    <w:t>达标情况</w:t>
                  </w:r>
                </w:p>
              </w:tc>
            </w:tr>
            <w:tr w14:paraId="3D00C27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6" w:type="pct"/>
                  <w:vMerge w:val="continue"/>
                  <w:tcBorders>
                    <w:left w:val="single" w:color="auto" w:sz="0" w:space="0"/>
                  </w:tcBorders>
                  <w:vAlign w:val="center"/>
                </w:tcPr>
                <w:p w14:paraId="2650E096">
                  <w:pPr>
                    <w:adjustRightInd w:val="0"/>
                    <w:snapToGrid w:val="0"/>
                    <w:jc w:val="center"/>
                    <w:rPr>
                      <w:rFonts w:hint="default" w:ascii="Times New Roman" w:hAnsi="Times New Roman" w:eastAsia="宋体" w:cs="Times New Roman"/>
                      <w:b/>
                      <w:color w:val="auto"/>
                      <w:sz w:val="21"/>
                      <w:szCs w:val="21"/>
                      <w:highlight w:val="none"/>
                      <w:u w:val="none" w:color="auto"/>
                    </w:rPr>
                  </w:pPr>
                </w:p>
              </w:tc>
              <w:tc>
                <w:tcPr>
                  <w:tcW w:w="544" w:type="pct"/>
                  <w:vAlign w:val="center"/>
                </w:tcPr>
                <w:p w14:paraId="173E6F4B">
                  <w:pPr>
                    <w:adjustRightInd w:val="0"/>
                    <w:snapToGrid w:val="0"/>
                    <w:jc w:val="center"/>
                    <w:rPr>
                      <w:rFonts w:hint="eastAsia" w:ascii="Times New Roman" w:hAnsi="Times New Roman" w:eastAsia="宋体" w:cs="Times New Roman"/>
                      <w:b/>
                      <w:color w:val="auto"/>
                      <w:sz w:val="21"/>
                      <w:szCs w:val="21"/>
                      <w:highlight w:val="none"/>
                      <w:u w:val="none" w:color="auto"/>
                      <w:lang w:val="en-US" w:eastAsia="zh-CN"/>
                    </w:rPr>
                  </w:pPr>
                  <w:r>
                    <w:rPr>
                      <w:rFonts w:hint="eastAsia" w:cs="Times New Roman"/>
                      <w:b/>
                      <w:color w:val="auto"/>
                      <w:sz w:val="21"/>
                      <w:szCs w:val="21"/>
                      <w:highlight w:val="none"/>
                      <w:u w:val="none" w:color="auto"/>
                      <w:lang w:val="en-US" w:eastAsia="zh-CN"/>
                    </w:rPr>
                    <w:t>X</w:t>
                  </w:r>
                </w:p>
              </w:tc>
              <w:tc>
                <w:tcPr>
                  <w:tcW w:w="544" w:type="pct"/>
                  <w:vAlign w:val="center"/>
                </w:tcPr>
                <w:p w14:paraId="29A67ED3">
                  <w:pPr>
                    <w:adjustRightInd w:val="0"/>
                    <w:snapToGrid w:val="0"/>
                    <w:jc w:val="center"/>
                    <w:rPr>
                      <w:rFonts w:hint="eastAsia" w:ascii="Times New Roman" w:hAnsi="Times New Roman" w:eastAsia="宋体" w:cs="Times New Roman"/>
                      <w:b/>
                      <w:color w:val="auto"/>
                      <w:sz w:val="21"/>
                      <w:szCs w:val="21"/>
                      <w:highlight w:val="none"/>
                      <w:u w:val="none" w:color="auto"/>
                      <w:lang w:val="en-US" w:eastAsia="zh-CN"/>
                    </w:rPr>
                  </w:pPr>
                  <w:r>
                    <w:rPr>
                      <w:rFonts w:hint="eastAsia" w:cs="Times New Roman"/>
                      <w:b/>
                      <w:color w:val="auto"/>
                      <w:sz w:val="21"/>
                      <w:szCs w:val="21"/>
                      <w:highlight w:val="none"/>
                      <w:u w:val="none" w:color="auto"/>
                      <w:lang w:val="en-US" w:eastAsia="zh-CN"/>
                    </w:rPr>
                    <w:t>Y</w:t>
                  </w:r>
                </w:p>
              </w:tc>
              <w:tc>
                <w:tcPr>
                  <w:tcW w:w="544" w:type="pct"/>
                  <w:vAlign w:val="center"/>
                </w:tcPr>
                <w:p w14:paraId="51E653C0">
                  <w:pPr>
                    <w:adjustRightInd w:val="0"/>
                    <w:snapToGrid w:val="0"/>
                    <w:jc w:val="center"/>
                    <w:rPr>
                      <w:rFonts w:hint="eastAsia" w:ascii="Times New Roman" w:hAnsi="Times New Roman" w:eastAsia="宋体" w:cs="Times New Roman"/>
                      <w:b/>
                      <w:color w:val="auto"/>
                      <w:sz w:val="21"/>
                      <w:szCs w:val="21"/>
                      <w:highlight w:val="none"/>
                      <w:u w:val="none" w:color="auto"/>
                      <w:lang w:val="en-US" w:eastAsia="zh-CN"/>
                    </w:rPr>
                  </w:pPr>
                  <w:r>
                    <w:rPr>
                      <w:rFonts w:hint="eastAsia" w:cs="Times New Roman"/>
                      <w:b/>
                      <w:color w:val="auto"/>
                      <w:sz w:val="21"/>
                      <w:szCs w:val="21"/>
                      <w:highlight w:val="none"/>
                      <w:u w:val="none" w:color="auto"/>
                      <w:lang w:val="en-US" w:eastAsia="zh-CN"/>
                    </w:rPr>
                    <w:t>Z</w:t>
                  </w:r>
                </w:p>
              </w:tc>
              <w:tc>
                <w:tcPr>
                  <w:tcW w:w="474" w:type="pct"/>
                  <w:vMerge w:val="continue"/>
                  <w:shd w:val="clear" w:color="auto" w:fill="auto"/>
                  <w:vAlign w:val="center"/>
                </w:tcPr>
                <w:p w14:paraId="33CBFAD4">
                  <w:pPr>
                    <w:adjustRightInd w:val="0"/>
                    <w:snapToGrid w:val="0"/>
                    <w:jc w:val="center"/>
                    <w:rPr>
                      <w:rFonts w:hint="default" w:ascii="Times New Roman" w:hAnsi="Times New Roman" w:eastAsia="宋体" w:cs="Times New Roman"/>
                      <w:b/>
                      <w:color w:val="auto"/>
                      <w:sz w:val="21"/>
                      <w:szCs w:val="21"/>
                      <w:highlight w:val="none"/>
                      <w:u w:val="none" w:color="auto"/>
                    </w:rPr>
                  </w:pPr>
                </w:p>
              </w:tc>
              <w:tc>
                <w:tcPr>
                  <w:tcW w:w="843" w:type="pct"/>
                  <w:vMerge w:val="continue"/>
                  <w:vAlign w:val="center"/>
                </w:tcPr>
                <w:p w14:paraId="7CFEAA95">
                  <w:pPr>
                    <w:adjustRightInd w:val="0"/>
                    <w:snapToGrid w:val="0"/>
                    <w:jc w:val="center"/>
                    <w:rPr>
                      <w:rFonts w:hint="default" w:ascii="Times New Roman" w:hAnsi="Times New Roman" w:eastAsia="宋体" w:cs="Times New Roman"/>
                      <w:b/>
                      <w:color w:val="auto"/>
                      <w:sz w:val="21"/>
                      <w:szCs w:val="21"/>
                      <w:highlight w:val="none"/>
                      <w:u w:val="none" w:color="auto"/>
                    </w:rPr>
                  </w:pPr>
                </w:p>
              </w:tc>
              <w:tc>
                <w:tcPr>
                  <w:tcW w:w="721" w:type="pct"/>
                  <w:vMerge w:val="continue"/>
                  <w:vAlign w:val="center"/>
                </w:tcPr>
                <w:p w14:paraId="3F54A62D">
                  <w:pPr>
                    <w:adjustRightInd w:val="0"/>
                    <w:snapToGrid w:val="0"/>
                    <w:jc w:val="center"/>
                    <w:rPr>
                      <w:rFonts w:hint="default" w:ascii="Times New Roman" w:hAnsi="Times New Roman" w:eastAsia="宋体" w:cs="Times New Roman"/>
                      <w:b/>
                      <w:color w:val="auto"/>
                      <w:sz w:val="21"/>
                      <w:szCs w:val="21"/>
                      <w:highlight w:val="none"/>
                      <w:u w:val="none" w:color="auto"/>
                    </w:rPr>
                  </w:pPr>
                </w:p>
              </w:tc>
              <w:tc>
                <w:tcPr>
                  <w:tcW w:w="550" w:type="pct"/>
                  <w:vMerge w:val="continue"/>
                  <w:tcBorders>
                    <w:right w:val="single" w:color="auto" w:sz="12" w:space="0"/>
                  </w:tcBorders>
                  <w:vAlign w:val="center"/>
                </w:tcPr>
                <w:p w14:paraId="685098A6">
                  <w:pPr>
                    <w:adjustRightInd w:val="0"/>
                    <w:snapToGrid w:val="0"/>
                    <w:jc w:val="center"/>
                    <w:rPr>
                      <w:rFonts w:hint="default" w:ascii="Times New Roman" w:hAnsi="Times New Roman" w:eastAsia="宋体" w:cs="Times New Roman"/>
                      <w:b/>
                      <w:color w:val="auto"/>
                      <w:sz w:val="21"/>
                      <w:szCs w:val="21"/>
                      <w:highlight w:val="none"/>
                      <w:u w:val="none" w:color="auto"/>
                      <w:lang w:val="en-US" w:eastAsia="zh-CN"/>
                    </w:rPr>
                  </w:pPr>
                </w:p>
              </w:tc>
            </w:tr>
            <w:tr w14:paraId="1F5CF7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6" w:type="pct"/>
                  <w:vMerge w:val="restart"/>
                  <w:tcBorders>
                    <w:left w:val="single" w:color="auto" w:sz="4" w:space="0"/>
                  </w:tcBorders>
                  <w:vAlign w:val="center"/>
                </w:tcPr>
                <w:p w14:paraId="3E82026F">
                  <w:pPr>
                    <w:adjustRightInd w:val="0"/>
                    <w:snapToGrid w:val="0"/>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厂界东侧</w:t>
                  </w:r>
                </w:p>
              </w:tc>
              <w:tc>
                <w:tcPr>
                  <w:tcW w:w="544" w:type="pct"/>
                  <w:vAlign w:val="center"/>
                </w:tcPr>
                <w:p w14:paraId="2143BAC3">
                  <w:pPr>
                    <w:jc w:val="center"/>
                    <w:rPr>
                      <w:rFonts w:hint="default" w:ascii="Times New Roman" w:hAnsi="Times New Roman" w:eastAsia="宋体" w:cs="Times New Roman"/>
                      <w:b w:val="0"/>
                      <w:bCs w:val="0"/>
                      <w:color w:val="auto"/>
                      <w:sz w:val="21"/>
                      <w:szCs w:val="21"/>
                      <w:highlight w:val="none"/>
                      <w:u w:val="none" w:color="auto"/>
                    </w:rPr>
                  </w:pPr>
                  <w:r>
                    <w:rPr>
                      <w:rFonts w:hint="default" w:ascii="Times New Roman" w:hAnsi="Times New Roman" w:eastAsia="Arial" w:cs="Times New Roman"/>
                      <w:b w:val="0"/>
                      <w:bCs w:val="0"/>
                      <w:color w:val="auto"/>
                      <w:sz w:val="21"/>
                      <w:szCs w:val="21"/>
                    </w:rPr>
                    <w:t>60.4</w:t>
                  </w:r>
                </w:p>
              </w:tc>
              <w:tc>
                <w:tcPr>
                  <w:tcW w:w="544" w:type="pct"/>
                  <w:vAlign w:val="center"/>
                </w:tcPr>
                <w:p w14:paraId="2805E08F">
                  <w:pPr>
                    <w:jc w:val="center"/>
                    <w:rPr>
                      <w:rFonts w:hint="default" w:ascii="Times New Roman" w:hAnsi="Times New Roman" w:eastAsia="宋体" w:cs="Times New Roman"/>
                      <w:b w:val="0"/>
                      <w:bCs w:val="0"/>
                      <w:color w:val="auto"/>
                      <w:sz w:val="21"/>
                      <w:szCs w:val="21"/>
                      <w:highlight w:val="none"/>
                      <w:u w:val="none" w:color="auto"/>
                    </w:rPr>
                  </w:pPr>
                  <w:r>
                    <w:rPr>
                      <w:rFonts w:hint="default" w:ascii="Times New Roman" w:hAnsi="Times New Roman" w:eastAsia="Arial" w:cs="Times New Roman"/>
                      <w:b w:val="0"/>
                      <w:bCs w:val="0"/>
                      <w:color w:val="auto"/>
                      <w:sz w:val="21"/>
                      <w:szCs w:val="21"/>
                    </w:rPr>
                    <w:t>-54.5</w:t>
                  </w:r>
                </w:p>
              </w:tc>
              <w:tc>
                <w:tcPr>
                  <w:tcW w:w="544" w:type="pct"/>
                  <w:vAlign w:val="center"/>
                </w:tcPr>
                <w:p w14:paraId="2384D8EA">
                  <w:pPr>
                    <w:jc w:val="center"/>
                    <w:rPr>
                      <w:rFonts w:hint="default" w:ascii="Times New Roman" w:hAnsi="Times New Roman" w:eastAsia="宋体" w:cs="Times New Roman"/>
                      <w:b w:val="0"/>
                      <w:bCs w:val="0"/>
                      <w:color w:val="auto"/>
                      <w:sz w:val="21"/>
                      <w:szCs w:val="21"/>
                      <w:highlight w:val="none"/>
                      <w:u w:val="none" w:color="auto"/>
                    </w:rPr>
                  </w:pPr>
                  <w:r>
                    <w:rPr>
                      <w:rFonts w:hint="default" w:ascii="Times New Roman" w:hAnsi="Times New Roman" w:eastAsia="Arial" w:cs="Times New Roman"/>
                      <w:b w:val="0"/>
                      <w:bCs w:val="0"/>
                      <w:color w:val="auto"/>
                      <w:sz w:val="21"/>
                      <w:szCs w:val="21"/>
                    </w:rPr>
                    <w:t>1.2</w:t>
                  </w:r>
                </w:p>
              </w:tc>
              <w:tc>
                <w:tcPr>
                  <w:tcW w:w="474" w:type="pct"/>
                  <w:shd w:val="clear" w:color="auto" w:fill="auto"/>
                  <w:vAlign w:val="center"/>
                </w:tcPr>
                <w:p w14:paraId="5CE35CC1">
                  <w:pPr>
                    <w:adjustRightInd w:val="0"/>
                    <w:snapToGrid w:val="0"/>
                    <w:jc w:val="center"/>
                    <w:rPr>
                      <w:rFonts w:hint="default" w:ascii="Times New Roman" w:hAnsi="Times New Roman" w:eastAsia="宋体" w:cs="Times New Roman"/>
                      <w:bCs/>
                      <w:color w:val="auto"/>
                      <w:kern w:val="2"/>
                      <w:sz w:val="21"/>
                      <w:szCs w:val="21"/>
                      <w:highlight w:val="none"/>
                      <w:u w:val="none" w:color="auto"/>
                      <w:lang w:val="en-US" w:eastAsia="zh-CN" w:bidi="ar-SA"/>
                    </w:rPr>
                  </w:pPr>
                  <w:r>
                    <w:rPr>
                      <w:rFonts w:hint="default" w:ascii="Times New Roman" w:hAnsi="Times New Roman" w:eastAsia="宋体" w:cs="Times New Roman"/>
                      <w:bCs/>
                      <w:color w:val="auto"/>
                      <w:sz w:val="21"/>
                      <w:szCs w:val="21"/>
                      <w:highlight w:val="none"/>
                      <w:u w:val="none" w:color="auto"/>
                    </w:rPr>
                    <w:t>昼间</w:t>
                  </w:r>
                </w:p>
              </w:tc>
              <w:tc>
                <w:tcPr>
                  <w:tcW w:w="1350" w:type="dxa"/>
                  <w:vAlign w:val="center"/>
                </w:tcPr>
                <w:p w14:paraId="36FE9628">
                  <w:pPr>
                    <w:jc w:val="center"/>
                    <w:rPr>
                      <w:rFonts w:hint="default" w:ascii="Times New Roman" w:hAnsi="Times New Roman" w:eastAsia="宋体" w:cs="Times New Roman"/>
                      <w:b w:val="0"/>
                      <w:bCs w:val="0"/>
                      <w:color w:val="auto"/>
                      <w:sz w:val="21"/>
                      <w:szCs w:val="21"/>
                      <w:highlight w:val="none"/>
                      <w:u w:val="none" w:color="auto"/>
                      <w:lang w:val="en-US" w:eastAsia="zh-CN"/>
                    </w:rPr>
                  </w:pPr>
                  <w:r>
                    <w:rPr>
                      <w:rFonts w:hint="default" w:ascii="Times New Roman" w:hAnsi="Times New Roman" w:eastAsia="Arial" w:cs="Times New Roman"/>
                      <w:b w:val="0"/>
                      <w:bCs w:val="0"/>
                      <w:color w:val="auto"/>
                      <w:sz w:val="21"/>
                      <w:szCs w:val="21"/>
                    </w:rPr>
                    <w:t>27.2</w:t>
                  </w:r>
                </w:p>
              </w:tc>
              <w:tc>
                <w:tcPr>
                  <w:tcW w:w="1155" w:type="dxa"/>
                  <w:vAlign w:val="center"/>
                </w:tcPr>
                <w:p w14:paraId="3BBA486E">
                  <w:pPr>
                    <w:jc w:val="center"/>
                    <w:rPr>
                      <w:rFonts w:hint="default" w:ascii="Times New Roman" w:hAnsi="Times New Roman" w:eastAsia="宋体" w:cs="Times New Roman"/>
                      <w:b w:val="0"/>
                      <w:bCs w:val="0"/>
                      <w:color w:val="auto"/>
                      <w:sz w:val="21"/>
                      <w:szCs w:val="21"/>
                      <w:highlight w:val="none"/>
                      <w:u w:val="none" w:color="auto"/>
                    </w:rPr>
                  </w:pPr>
                  <w:r>
                    <w:rPr>
                      <w:rFonts w:hint="default" w:ascii="Times New Roman" w:hAnsi="Times New Roman" w:eastAsia="Arial" w:cs="Times New Roman"/>
                      <w:b w:val="0"/>
                      <w:bCs w:val="0"/>
                      <w:color w:val="auto"/>
                      <w:sz w:val="21"/>
                      <w:szCs w:val="21"/>
                    </w:rPr>
                    <w:t>60</w:t>
                  </w:r>
                </w:p>
              </w:tc>
              <w:tc>
                <w:tcPr>
                  <w:tcW w:w="550" w:type="pct"/>
                  <w:tcBorders>
                    <w:right w:val="single" w:color="auto" w:sz="12" w:space="0"/>
                  </w:tcBorders>
                  <w:vAlign w:val="center"/>
                </w:tcPr>
                <w:p w14:paraId="0CE93E13">
                  <w:pPr>
                    <w:adjustRightInd w:val="0"/>
                    <w:snapToGrid w:val="0"/>
                    <w:jc w:val="center"/>
                    <w:rPr>
                      <w:rFonts w:hint="default" w:ascii="Times New Roman" w:hAnsi="Times New Roman" w:eastAsia="宋体" w:cs="Times New Roman"/>
                      <w:bCs/>
                      <w:color w:val="auto"/>
                      <w:sz w:val="21"/>
                      <w:szCs w:val="21"/>
                      <w:highlight w:val="none"/>
                      <w:u w:val="none" w:color="auto"/>
                      <w:lang w:val="en-US" w:eastAsia="zh-CN"/>
                    </w:rPr>
                  </w:pPr>
                  <w:r>
                    <w:rPr>
                      <w:rFonts w:hint="default" w:ascii="Times New Roman" w:hAnsi="Times New Roman" w:eastAsia="宋体" w:cs="Times New Roman"/>
                      <w:bCs/>
                      <w:color w:val="auto"/>
                      <w:sz w:val="21"/>
                      <w:szCs w:val="21"/>
                      <w:highlight w:val="none"/>
                      <w:u w:val="none" w:color="auto"/>
                      <w:lang w:val="en-US" w:eastAsia="zh-CN"/>
                    </w:rPr>
                    <w:t>达标</w:t>
                  </w:r>
                </w:p>
              </w:tc>
            </w:tr>
            <w:tr w14:paraId="79F582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6" w:type="pct"/>
                  <w:vMerge w:val="continue"/>
                  <w:tcBorders>
                    <w:left w:val="single" w:color="auto" w:sz="4" w:space="0"/>
                  </w:tcBorders>
                  <w:vAlign w:val="center"/>
                </w:tcPr>
                <w:p w14:paraId="06EA4545">
                  <w:pPr>
                    <w:adjustRightInd w:val="0"/>
                    <w:snapToGrid w:val="0"/>
                    <w:jc w:val="center"/>
                    <w:rPr>
                      <w:rFonts w:hint="default" w:ascii="Times New Roman" w:hAnsi="Times New Roman" w:eastAsia="宋体" w:cs="Times New Roman"/>
                      <w:bCs/>
                      <w:color w:val="auto"/>
                      <w:sz w:val="21"/>
                      <w:szCs w:val="21"/>
                      <w:highlight w:val="none"/>
                      <w:u w:val="none" w:color="auto"/>
                    </w:rPr>
                  </w:pPr>
                </w:p>
              </w:tc>
              <w:tc>
                <w:tcPr>
                  <w:tcW w:w="544" w:type="pct"/>
                  <w:vAlign w:val="center"/>
                </w:tcPr>
                <w:p w14:paraId="74BCA6A1">
                  <w:pPr>
                    <w:jc w:val="center"/>
                    <w:rPr>
                      <w:rFonts w:hint="default" w:ascii="Times New Roman" w:hAnsi="Times New Roman" w:eastAsia="宋体" w:cs="Times New Roman"/>
                      <w:b w:val="0"/>
                      <w:bCs w:val="0"/>
                      <w:color w:val="auto"/>
                      <w:sz w:val="21"/>
                      <w:szCs w:val="21"/>
                      <w:highlight w:val="none"/>
                      <w:u w:val="none" w:color="auto"/>
                    </w:rPr>
                  </w:pPr>
                  <w:r>
                    <w:rPr>
                      <w:rFonts w:hint="default" w:ascii="Times New Roman" w:hAnsi="Times New Roman" w:eastAsia="Arial" w:cs="Times New Roman"/>
                      <w:b w:val="0"/>
                      <w:bCs w:val="0"/>
                      <w:color w:val="auto"/>
                      <w:sz w:val="21"/>
                      <w:szCs w:val="21"/>
                    </w:rPr>
                    <w:t>60.4</w:t>
                  </w:r>
                </w:p>
              </w:tc>
              <w:tc>
                <w:tcPr>
                  <w:tcW w:w="544" w:type="pct"/>
                  <w:vAlign w:val="center"/>
                </w:tcPr>
                <w:p w14:paraId="26494FB6">
                  <w:pPr>
                    <w:jc w:val="center"/>
                    <w:rPr>
                      <w:rFonts w:hint="default" w:ascii="Times New Roman" w:hAnsi="Times New Roman" w:eastAsia="宋体" w:cs="Times New Roman"/>
                      <w:b w:val="0"/>
                      <w:bCs w:val="0"/>
                      <w:color w:val="auto"/>
                      <w:sz w:val="21"/>
                      <w:szCs w:val="21"/>
                      <w:highlight w:val="none"/>
                      <w:u w:val="none" w:color="auto"/>
                    </w:rPr>
                  </w:pPr>
                  <w:r>
                    <w:rPr>
                      <w:rFonts w:hint="default" w:ascii="Times New Roman" w:hAnsi="Times New Roman" w:eastAsia="Arial" w:cs="Times New Roman"/>
                      <w:b w:val="0"/>
                      <w:bCs w:val="0"/>
                      <w:color w:val="auto"/>
                      <w:sz w:val="21"/>
                      <w:szCs w:val="21"/>
                    </w:rPr>
                    <w:t>-54.5</w:t>
                  </w:r>
                </w:p>
              </w:tc>
              <w:tc>
                <w:tcPr>
                  <w:tcW w:w="544" w:type="pct"/>
                  <w:vAlign w:val="center"/>
                </w:tcPr>
                <w:p w14:paraId="013F8748">
                  <w:pPr>
                    <w:jc w:val="center"/>
                    <w:rPr>
                      <w:rFonts w:hint="default" w:ascii="Times New Roman" w:hAnsi="Times New Roman" w:eastAsia="宋体" w:cs="Times New Roman"/>
                      <w:b w:val="0"/>
                      <w:bCs w:val="0"/>
                      <w:color w:val="auto"/>
                      <w:sz w:val="21"/>
                      <w:szCs w:val="21"/>
                      <w:highlight w:val="none"/>
                      <w:u w:val="none" w:color="auto"/>
                    </w:rPr>
                  </w:pPr>
                  <w:r>
                    <w:rPr>
                      <w:rFonts w:hint="default" w:ascii="Times New Roman" w:hAnsi="Times New Roman" w:eastAsia="Arial" w:cs="Times New Roman"/>
                      <w:b w:val="0"/>
                      <w:bCs w:val="0"/>
                      <w:color w:val="auto"/>
                      <w:sz w:val="21"/>
                      <w:szCs w:val="21"/>
                    </w:rPr>
                    <w:t>1.2</w:t>
                  </w:r>
                </w:p>
              </w:tc>
              <w:tc>
                <w:tcPr>
                  <w:tcW w:w="474" w:type="pct"/>
                  <w:shd w:val="clear" w:color="auto" w:fill="auto"/>
                  <w:vAlign w:val="center"/>
                </w:tcPr>
                <w:p w14:paraId="341451E6">
                  <w:pPr>
                    <w:adjustRightInd w:val="0"/>
                    <w:snapToGrid w:val="0"/>
                    <w:jc w:val="center"/>
                    <w:rPr>
                      <w:rFonts w:hint="default" w:ascii="Times New Roman" w:hAnsi="Times New Roman" w:eastAsia="宋体" w:cs="Times New Roman"/>
                      <w:bCs/>
                      <w:color w:val="auto"/>
                      <w:kern w:val="2"/>
                      <w:sz w:val="21"/>
                      <w:szCs w:val="21"/>
                      <w:highlight w:val="none"/>
                      <w:u w:val="none" w:color="auto"/>
                      <w:lang w:val="en-US" w:eastAsia="zh-CN" w:bidi="ar-SA"/>
                    </w:rPr>
                  </w:pPr>
                  <w:r>
                    <w:rPr>
                      <w:rFonts w:hint="default" w:ascii="Times New Roman" w:hAnsi="Times New Roman" w:eastAsia="宋体" w:cs="Times New Roman"/>
                      <w:bCs/>
                      <w:color w:val="auto"/>
                      <w:sz w:val="21"/>
                      <w:szCs w:val="21"/>
                      <w:highlight w:val="none"/>
                      <w:u w:val="none" w:color="auto"/>
                    </w:rPr>
                    <w:t>夜间</w:t>
                  </w:r>
                </w:p>
              </w:tc>
              <w:tc>
                <w:tcPr>
                  <w:tcW w:w="1350" w:type="dxa"/>
                  <w:vAlign w:val="center"/>
                </w:tcPr>
                <w:p w14:paraId="29B6AA73">
                  <w:pPr>
                    <w:jc w:val="center"/>
                    <w:rPr>
                      <w:rFonts w:hint="default" w:ascii="Times New Roman" w:hAnsi="Times New Roman" w:eastAsia="宋体" w:cs="Times New Roman"/>
                      <w:b w:val="0"/>
                      <w:bCs w:val="0"/>
                      <w:color w:val="auto"/>
                      <w:sz w:val="21"/>
                      <w:szCs w:val="21"/>
                      <w:highlight w:val="none"/>
                      <w:u w:val="none" w:color="auto"/>
                      <w:lang w:val="en-US" w:eastAsia="zh-CN"/>
                    </w:rPr>
                  </w:pPr>
                  <w:r>
                    <w:rPr>
                      <w:rFonts w:hint="default" w:ascii="Times New Roman" w:hAnsi="Times New Roman" w:eastAsia="Arial" w:cs="Times New Roman"/>
                      <w:b w:val="0"/>
                      <w:bCs w:val="0"/>
                      <w:color w:val="auto"/>
                      <w:sz w:val="21"/>
                      <w:szCs w:val="21"/>
                    </w:rPr>
                    <w:t>27.2</w:t>
                  </w:r>
                </w:p>
              </w:tc>
              <w:tc>
                <w:tcPr>
                  <w:tcW w:w="1155" w:type="dxa"/>
                  <w:vAlign w:val="center"/>
                </w:tcPr>
                <w:p w14:paraId="137EA188">
                  <w:pPr>
                    <w:jc w:val="center"/>
                    <w:rPr>
                      <w:rFonts w:hint="default" w:ascii="Times New Roman" w:hAnsi="Times New Roman" w:eastAsia="宋体" w:cs="Times New Roman"/>
                      <w:b w:val="0"/>
                      <w:bCs w:val="0"/>
                      <w:color w:val="auto"/>
                      <w:sz w:val="21"/>
                      <w:szCs w:val="21"/>
                      <w:highlight w:val="none"/>
                      <w:u w:val="none" w:color="auto"/>
                    </w:rPr>
                  </w:pPr>
                  <w:r>
                    <w:rPr>
                      <w:rFonts w:hint="default" w:ascii="Times New Roman" w:hAnsi="Times New Roman" w:eastAsia="Arial" w:cs="Times New Roman"/>
                      <w:b w:val="0"/>
                      <w:bCs w:val="0"/>
                      <w:color w:val="auto"/>
                      <w:sz w:val="21"/>
                      <w:szCs w:val="21"/>
                    </w:rPr>
                    <w:t>50</w:t>
                  </w:r>
                </w:p>
              </w:tc>
              <w:tc>
                <w:tcPr>
                  <w:tcW w:w="550" w:type="pct"/>
                  <w:tcBorders>
                    <w:right w:val="single" w:color="auto" w:sz="12" w:space="0"/>
                  </w:tcBorders>
                  <w:vAlign w:val="center"/>
                </w:tcPr>
                <w:p w14:paraId="03DE96D3">
                  <w:pPr>
                    <w:adjustRightInd w:val="0"/>
                    <w:snapToGrid w:val="0"/>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lang w:val="en-US" w:eastAsia="zh-CN"/>
                    </w:rPr>
                    <w:t>达标</w:t>
                  </w:r>
                </w:p>
              </w:tc>
            </w:tr>
            <w:tr w14:paraId="7F34004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6" w:type="pct"/>
                  <w:vMerge w:val="restart"/>
                  <w:tcBorders>
                    <w:left w:val="single" w:color="auto" w:sz="4" w:space="0"/>
                  </w:tcBorders>
                  <w:vAlign w:val="center"/>
                </w:tcPr>
                <w:p w14:paraId="3503043C">
                  <w:pPr>
                    <w:adjustRightInd w:val="0"/>
                    <w:snapToGrid w:val="0"/>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厂界南侧</w:t>
                  </w:r>
                </w:p>
              </w:tc>
              <w:tc>
                <w:tcPr>
                  <w:tcW w:w="544" w:type="pct"/>
                  <w:vAlign w:val="center"/>
                </w:tcPr>
                <w:p w14:paraId="44667F24">
                  <w:pPr>
                    <w:jc w:val="center"/>
                    <w:rPr>
                      <w:rFonts w:hint="default" w:ascii="Times New Roman" w:hAnsi="Times New Roman" w:eastAsia="宋体" w:cs="Times New Roman"/>
                      <w:b w:val="0"/>
                      <w:bCs w:val="0"/>
                      <w:color w:val="auto"/>
                      <w:sz w:val="21"/>
                      <w:szCs w:val="21"/>
                      <w:highlight w:val="none"/>
                      <w:u w:val="none" w:color="auto"/>
                    </w:rPr>
                  </w:pPr>
                  <w:r>
                    <w:rPr>
                      <w:rFonts w:hint="default" w:ascii="Times New Roman" w:hAnsi="Times New Roman" w:eastAsia="Arial" w:cs="Times New Roman"/>
                      <w:b w:val="0"/>
                      <w:bCs w:val="0"/>
                      <w:color w:val="auto"/>
                      <w:sz w:val="21"/>
                      <w:szCs w:val="21"/>
                    </w:rPr>
                    <w:t>-11.3</w:t>
                  </w:r>
                </w:p>
              </w:tc>
              <w:tc>
                <w:tcPr>
                  <w:tcW w:w="544" w:type="pct"/>
                  <w:vAlign w:val="center"/>
                </w:tcPr>
                <w:p w14:paraId="28F9D866">
                  <w:pPr>
                    <w:jc w:val="center"/>
                    <w:rPr>
                      <w:rFonts w:hint="default" w:ascii="Times New Roman" w:hAnsi="Times New Roman" w:eastAsia="宋体" w:cs="Times New Roman"/>
                      <w:b w:val="0"/>
                      <w:bCs w:val="0"/>
                      <w:color w:val="auto"/>
                      <w:sz w:val="21"/>
                      <w:szCs w:val="21"/>
                      <w:highlight w:val="none"/>
                      <w:u w:val="none" w:color="auto"/>
                    </w:rPr>
                  </w:pPr>
                  <w:r>
                    <w:rPr>
                      <w:rFonts w:hint="default" w:ascii="Times New Roman" w:hAnsi="Times New Roman" w:eastAsia="Arial" w:cs="Times New Roman"/>
                      <w:b w:val="0"/>
                      <w:bCs w:val="0"/>
                      <w:color w:val="auto"/>
                      <w:sz w:val="21"/>
                      <w:szCs w:val="21"/>
                    </w:rPr>
                    <w:t>-55.3</w:t>
                  </w:r>
                </w:p>
              </w:tc>
              <w:tc>
                <w:tcPr>
                  <w:tcW w:w="544" w:type="pct"/>
                  <w:vAlign w:val="center"/>
                </w:tcPr>
                <w:p w14:paraId="2FCA5755">
                  <w:pPr>
                    <w:jc w:val="center"/>
                    <w:rPr>
                      <w:rFonts w:hint="default" w:ascii="Times New Roman" w:hAnsi="Times New Roman" w:eastAsia="宋体" w:cs="Times New Roman"/>
                      <w:b w:val="0"/>
                      <w:bCs w:val="0"/>
                      <w:color w:val="auto"/>
                      <w:sz w:val="21"/>
                      <w:szCs w:val="21"/>
                      <w:highlight w:val="none"/>
                      <w:u w:val="none" w:color="auto"/>
                    </w:rPr>
                  </w:pPr>
                  <w:r>
                    <w:rPr>
                      <w:rFonts w:hint="default" w:ascii="Times New Roman" w:hAnsi="Times New Roman" w:eastAsia="Arial" w:cs="Times New Roman"/>
                      <w:b w:val="0"/>
                      <w:bCs w:val="0"/>
                      <w:color w:val="auto"/>
                      <w:sz w:val="21"/>
                      <w:szCs w:val="21"/>
                    </w:rPr>
                    <w:t>1.2</w:t>
                  </w:r>
                </w:p>
              </w:tc>
              <w:tc>
                <w:tcPr>
                  <w:tcW w:w="474" w:type="pct"/>
                  <w:shd w:val="clear" w:color="auto" w:fill="auto"/>
                  <w:vAlign w:val="center"/>
                </w:tcPr>
                <w:p w14:paraId="6F3F2514">
                  <w:pPr>
                    <w:adjustRightInd w:val="0"/>
                    <w:snapToGrid w:val="0"/>
                    <w:jc w:val="center"/>
                    <w:rPr>
                      <w:rFonts w:hint="default" w:ascii="Times New Roman" w:hAnsi="Times New Roman" w:eastAsia="宋体" w:cs="Times New Roman"/>
                      <w:bCs/>
                      <w:color w:val="auto"/>
                      <w:kern w:val="2"/>
                      <w:sz w:val="21"/>
                      <w:szCs w:val="21"/>
                      <w:highlight w:val="none"/>
                      <w:u w:val="none" w:color="auto"/>
                      <w:lang w:val="en-US" w:eastAsia="zh-CN" w:bidi="ar-SA"/>
                    </w:rPr>
                  </w:pPr>
                  <w:r>
                    <w:rPr>
                      <w:rFonts w:hint="default" w:ascii="Times New Roman" w:hAnsi="Times New Roman" w:eastAsia="宋体" w:cs="Times New Roman"/>
                      <w:bCs/>
                      <w:color w:val="auto"/>
                      <w:sz w:val="21"/>
                      <w:szCs w:val="21"/>
                      <w:highlight w:val="none"/>
                      <w:u w:val="none" w:color="auto"/>
                    </w:rPr>
                    <w:t>昼间</w:t>
                  </w:r>
                </w:p>
              </w:tc>
              <w:tc>
                <w:tcPr>
                  <w:tcW w:w="1350" w:type="dxa"/>
                  <w:vAlign w:val="center"/>
                </w:tcPr>
                <w:p w14:paraId="75CD8653">
                  <w:pPr>
                    <w:jc w:val="center"/>
                    <w:rPr>
                      <w:rFonts w:hint="default" w:ascii="Times New Roman" w:hAnsi="Times New Roman" w:eastAsia="宋体" w:cs="Times New Roman"/>
                      <w:b w:val="0"/>
                      <w:bCs w:val="0"/>
                      <w:color w:val="auto"/>
                      <w:sz w:val="21"/>
                      <w:szCs w:val="21"/>
                      <w:highlight w:val="none"/>
                      <w:u w:val="none" w:color="auto"/>
                      <w:lang w:val="en-US" w:eastAsia="zh-CN"/>
                    </w:rPr>
                  </w:pPr>
                  <w:r>
                    <w:rPr>
                      <w:rFonts w:hint="default" w:ascii="Times New Roman" w:hAnsi="Times New Roman" w:eastAsia="Arial" w:cs="Times New Roman"/>
                      <w:b w:val="0"/>
                      <w:bCs w:val="0"/>
                      <w:color w:val="auto"/>
                      <w:sz w:val="21"/>
                      <w:szCs w:val="21"/>
                    </w:rPr>
                    <w:t>35.1</w:t>
                  </w:r>
                </w:p>
              </w:tc>
              <w:tc>
                <w:tcPr>
                  <w:tcW w:w="1155" w:type="dxa"/>
                  <w:vAlign w:val="center"/>
                </w:tcPr>
                <w:p w14:paraId="21EE7D52">
                  <w:pPr>
                    <w:jc w:val="center"/>
                    <w:rPr>
                      <w:rFonts w:hint="default" w:ascii="Times New Roman" w:hAnsi="Times New Roman" w:eastAsia="宋体" w:cs="Times New Roman"/>
                      <w:b w:val="0"/>
                      <w:bCs w:val="0"/>
                      <w:color w:val="auto"/>
                      <w:sz w:val="21"/>
                      <w:szCs w:val="21"/>
                      <w:highlight w:val="none"/>
                      <w:u w:val="none" w:color="auto"/>
                    </w:rPr>
                  </w:pPr>
                  <w:r>
                    <w:rPr>
                      <w:rFonts w:hint="default" w:ascii="Times New Roman" w:hAnsi="Times New Roman" w:eastAsia="Arial" w:cs="Times New Roman"/>
                      <w:b w:val="0"/>
                      <w:bCs w:val="0"/>
                      <w:color w:val="auto"/>
                      <w:sz w:val="21"/>
                      <w:szCs w:val="21"/>
                    </w:rPr>
                    <w:t>60</w:t>
                  </w:r>
                </w:p>
              </w:tc>
              <w:tc>
                <w:tcPr>
                  <w:tcW w:w="550" w:type="pct"/>
                  <w:tcBorders>
                    <w:right w:val="single" w:color="auto" w:sz="12" w:space="0"/>
                  </w:tcBorders>
                  <w:vAlign w:val="center"/>
                </w:tcPr>
                <w:p w14:paraId="3205D5A6">
                  <w:pPr>
                    <w:adjustRightInd w:val="0"/>
                    <w:snapToGrid w:val="0"/>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lang w:val="en-US" w:eastAsia="zh-CN"/>
                    </w:rPr>
                    <w:t>达标</w:t>
                  </w:r>
                </w:p>
              </w:tc>
            </w:tr>
            <w:tr w14:paraId="3C3CCFD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6" w:type="pct"/>
                  <w:vMerge w:val="continue"/>
                  <w:tcBorders>
                    <w:left w:val="single" w:color="auto" w:sz="4" w:space="0"/>
                  </w:tcBorders>
                  <w:vAlign w:val="center"/>
                </w:tcPr>
                <w:p w14:paraId="3F1D30C6">
                  <w:pPr>
                    <w:adjustRightInd w:val="0"/>
                    <w:snapToGrid w:val="0"/>
                    <w:jc w:val="center"/>
                    <w:rPr>
                      <w:rFonts w:hint="default" w:ascii="Times New Roman" w:hAnsi="Times New Roman" w:eastAsia="宋体" w:cs="Times New Roman"/>
                      <w:bCs/>
                      <w:color w:val="auto"/>
                      <w:sz w:val="21"/>
                      <w:szCs w:val="21"/>
                      <w:highlight w:val="none"/>
                      <w:u w:val="none" w:color="auto"/>
                    </w:rPr>
                  </w:pPr>
                </w:p>
              </w:tc>
              <w:tc>
                <w:tcPr>
                  <w:tcW w:w="544" w:type="pct"/>
                  <w:vAlign w:val="center"/>
                </w:tcPr>
                <w:p w14:paraId="3CD43C55">
                  <w:pPr>
                    <w:jc w:val="center"/>
                    <w:rPr>
                      <w:rFonts w:hint="default" w:ascii="Times New Roman" w:hAnsi="Times New Roman" w:eastAsia="宋体" w:cs="Times New Roman"/>
                      <w:b w:val="0"/>
                      <w:bCs w:val="0"/>
                      <w:color w:val="auto"/>
                      <w:sz w:val="21"/>
                      <w:szCs w:val="21"/>
                      <w:highlight w:val="none"/>
                      <w:u w:val="none" w:color="auto"/>
                    </w:rPr>
                  </w:pPr>
                  <w:r>
                    <w:rPr>
                      <w:rFonts w:hint="default" w:ascii="Times New Roman" w:hAnsi="Times New Roman" w:eastAsia="Arial" w:cs="Times New Roman"/>
                      <w:b w:val="0"/>
                      <w:bCs w:val="0"/>
                      <w:color w:val="auto"/>
                      <w:sz w:val="21"/>
                      <w:szCs w:val="21"/>
                    </w:rPr>
                    <w:t>-11.3</w:t>
                  </w:r>
                </w:p>
              </w:tc>
              <w:tc>
                <w:tcPr>
                  <w:tcW w:w="544" w:type="pct"/>
                  <w:vAlign w:val="center"/>
                </w:tcPr>
                <w:p w14:paraId="4B434B34">
                  <w:pPr>
                    <w:jc w:val="center"/>
                    <w:rPr>
                      <w:rFonts w:hint="default" w:ascii="Times New Roman" w:hAnsi="Times New Roman" w:eastAsia="宋体" w:cs="Times New Roman"/>
                      <w:b w:val="0"/>
                      <w:bCs w:val="0"/>
                      <w:color w:val="auto"/>
                      <w:sz w:val="21"/>
                      <w:szCs w:val="21"/>
                      <w:highlight w:val="none"/>
                      <w:u w:val="none" w:color="auto"/>
                    </w:rPr>
                  </w:pPr>
                  <w:r>
                    <w:rPr>
                      <w:rFonts w:hint="default" w:ascii="Times New Roman" w:hAnsi="Times New Roman" w:eastAsia="Arial" w:cs="Times New Roman"/>
                      <w:b w:val="0"/>
                      <w:bCs w:val="0"/>
                      <w:color w:val="auto"/>
                      <w:sz w:val="21"/>
                      <w:szCs w:val="21"/>
                    </w:rPr>
                    <w:t>-55.3</w:t>
                  </w:r>
                </w:p>
              </w:tc>
              <w:tc>
                <w:tcPr>
                  <w:tcW w:w="544" w:type="pct"/>
                  <w:vAlign w:val="center"/>
                </w:tcPr>
                <w:p w14:paraId="39FA80BC">
                  <w:pPr>
                    <w:jc w:val="center"/>
                    <w:rPr>
                      <w:rFonts w:hint="default" w:ascii="Times New Roman" w:hAnsi="Times New Roman" w:eastAsia="宋体" w:cs="Times New Roman"/>
                      <w:b w:val="0"/>
                      <w:bCs w:val="0"/>
                      <w:color w:val="auto"/>
                      <w:sz w:val="21"/>
                      <w:szCs w:val="21"/>
                      <w:highlight w:val="none"/>
                      <w:u w:val="none" w:color="auto"/>
                    </w:rPr>
                  </w:pPr>
                  <w:r>
                    <w:rPr>
                      <w:rFonts w:hint="default" w:ascii="Times New Roman" w:hAnsi="Times New Roman" w:eastAsia="Arial" w:cs="Times New Roman"/>
                      <w:b w:val="0"/>
                      <w:bCs w:val="0"/>
                      <w:color w:val="auto"/>
                      <w:sz w:val="21"/>
                      <w:szCs w:val="21"/>
                    </w:rPr>
                    <w:t>1.2</w:t>
                  </w:r>
                </w:p>
              </w:tc>
              <w:tc>
                <w:tcPr>
                  <w:tcW w:w="474" w:type="pct"/>
                  <w:shd w:val="clear" w:color="auto" w:fill="auto"/>
                  <w:vAlign w:val="center"/>
                </w:tcPr>
                <w:p w14:paraId="2D9F01DE">
                  <w:pPr>
                    <w:adjustRightInd w:val="0"/>
                    <w:snapToGrid w:val="0"/>
                    <w:jc w:val="center"/>
                    <w:rPr>
                      <w:rFonts w:hint="default" w:ascii="Times New Roman" w:hAnsi="Times New Roman" w:eastAsia="宋体" w:cs="Times New Roman"/>
                      <w:bCs/>
                      <w:color w:val="auto"/>
                      <w:kern w:val="2"/>
                      <w:sz w:val="21"/>
                      <w:szCs w:val="21"/>
                      <w:highlight w:val="none"/>
                      <w:u w:val="none" w:color="auto"/>
                      <w:lang w:val="en-US" w:eastAsia="zh-CN" w:bidi="ar-SA"/>
                    </w:rPr>
                  </w:pPr>
                  <w:r>
                    <w:rPr>
                      <w:rFonts w:hint="default" w:ascii="Times New Roman" w:hAnsi="Times New Roman" w:eastAsia="宋体" w:cs="Times New Roman"/>
                      <w:bCs/>
                      <w:color w:val="auto"/>
                      <w:sz w:val="21"/>
                      <w:szCs w:val="21"/>
                      <w:highlight w:val="none"/>
                      <w:u w:val="none" w:color="auto"/>
                    </w:rPr>
                    <w:t>夜间</w:t>
                  </w:r>
                </w:p>
              </w:tc>
              <w:tc>
                <w:tcPr>
                  <w:tcW w:w="1350" w:type="dxa"/>
                  <w:vAlign w:val="center"/>
                </w:tcPr>
                <w:p w14:paraId="6945C675">
                  <w:pPr>
                    <w:jc w:val="center"/>
                    <w:rPr>
                      <w:rFonts w:hint="default" w:ascii="Times New Roman" w:hAnsi="Times New Roman" w:eastAsia="宋体" w:cs="Times New Roman"/>
                      <w:b w:val="0"/>
                      <w:bCs w:val="0"/>
                      <w:color w:val="auto"/>
                      <w:sz w:val="21"/>
                      <w:szCs w:val="21"/>
                      <w:highlight w:val="none"/>
                      <w:u w:val="none" w:color="auto"/>
                      <w:lang w:val="en-US" w:eastAsia="zh-CN"/>
                    </w:rPr>
                  </w:pPr>
                  <w:r>
                    <w:rPr>
                      <w:rFonts w:hint="default" w:ascii="Times New Roman" w:hAnsi="Times New Roman" w:eastAsia="Arial" w:cs="Times New Roman"/>
                      <w:b w:val="0"/>
                      <w:bCs w:val="0"/>
                      <w:color w:val="auto"/>
                      <w:sz w:val="21"/>
                      <w:szCs w:val="21"/>
                    </w:rPr>
                    <w:t>35.1</w:t>
                  </w:r>
                </w:p>
              </w:tc>
              <w:tc>
                <w:tcPr>
                  <w:tcW w:w="1155" w:type="dxa"/>
                  <w:vAlign w:val="center"/>
                </w:tcPr>
                <w:p w14:paraId="25DB773F">
                  <w:pPr>
                    <w:jc w:val="center"/>
                    <w:rPr>
                      <w:rFonts w:hint="default" w:ascii="Times New Roman" w:hAnsi="Times New Roman" w:eastAsia="宋体" w:cs="Times New Roman"/>
                      <w:b w:val="0"/>
                      <w:bCs w:val="0"/>
                      <w:color w:val="auto"/>
                      <w:sz w:val="21"/>
                      <w:szCs w:val="21"/>
                      <w:highlight w:val="none"/>
                      <w:u w:val="none" w:color="auto"/>
                    </w:rPr>
                  </w:pPr>
                  <w:r>
                    <w:rPr>
                      <w:rFonts w:hint="default" w:ascii="Times New Roman" w:hAnsi="Times New Roman" w:eastAsia="Arial" w:cs="Times New Roman"/>
                      <w:b w:val="0"/>
                      <w:bCs w:val="0"/>
                      <w:color w:val="auto"/>
                      <w:sz w:val="21"/>
                      <w:szCs w:val="21"/>
                    </w:rPr>
                    <w:t>50</w:t>
                  </w:r>
                </w:p>
              </w:tc>
              <w:tc>
                <w:tcPr>
                  <w:tcW w:w="550" w:type="pct"/>
                  <w:tcBorders>
                    <w:right w:val="single" w:color="auto" w:sz="12" w:space="0"/>
                  </w:tcBorders>
                  <w:vAlign w:val="center"/>
                </w:tcPr>
                <w:p w14:paraId="41295FCF">
                  <w:pPr>
                    <w:adjustRightInd w:val="0"/>
                    <w:snapToGrid w:val="0"/>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lang w:val="en-US" w:eastAsia="zh-CN"/>
                    </w:rPr>
                    <w:t>达标</w:t>
                  </w:r>
                </w:p>
              </w:tc>
            </w:tr>
            <w:tr w14:paraId="13CC24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6" w:type="pct"/>
                  <w:vMerge w:val="restart"/>
                  <w:tcBorders>
                    <w:left w:val="single" w:color="auto" w:sz="4" w:space="0"/>
                  </w:tcBorders>
                  <w:vAlign w:val="center"/>
                </w:tcPr>
                <w:p w14:paraId="5D87B03D">
                  <w:pPr>
                    <w:adjustRightInd w:val="0"/>
                    <w:snapToGrid w:val="0"/>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厂界西侧</w:t>
                  </w:r>
                </w:p>
              </w:tc>
              <w:tc>
                <w:tcPr>
                  <w:tcW w:w="544" w:type="pct"/>
                  <w:vAlign w:val="center"/>
                </w:tcPr>
                <w:p w14:paraId="593A17C7">
                  <w:pPr>
                    <w:jc w:val="center"/>
                    <w:rPr>
                      <w:rFonts w:hint="default" w:ascii="Times New Roman" w:hAnsi="Times New Roman" w:eastAsia="宋体" w:cs="Times New Roman"/>
                      <w:b w:val="0"/>
                      <w:bCs w:val="0"/>
                      <w:color w:val="auto"/>
                      <w:sz w:val="21"/>
                      <w:szCs w:val="21"/>
                      <w:highlight w:val="none"/>
                      <w:u w:val="none" w:color="auto"/>
                    </w:rPr>
                  </w:pPr>
                  <w:r>
                    <w:rPr>
                      <w:rFonts w:hint="default" w:ascii="Times New Roman" w:hAnsi="Times New Roman" w:eastAsia="Arial" w:cs="Times New Roman"/>
                      <w:b w:val="0"/>
                      <w:bCs w:val="0"/>
                      <w:color w:val="auto"/>
                      <w:sz w:val="21"/>
                      <w:szCs w:val="21"/>
                    </w:rPr>
                    <w:t>-63.2</w:t>
                  </w:r>
                </w:p>
              </w:tc>
              <w:tc>
                <w:tcPr>
                  <w:tcW w:w="544" w:type="pct"/>
                  <w:vAlign w:val="center"/>
                </w:tcPr>
                <w:p w14:paraId="7F50EA51">
                  <w:pPr>
                    <w:jc w:val="center"/>
                    <w:rPr>
                      <w:rFonts w:hint="default" w:ascii="Times New Roman" w:hAnsi="Times New Roman" w:eastAsia="宋体" w:cs="Times New Roman"/>
                      <w:b w:val="0"/>
                      <w:bCs w:val="0"/>
                      <w:color w:val="auto"/>
                      <w:sz w:val="21"/>
                      <w:szCs w:val="21"/>
                      <w:highlight w:val="none"/>
                      <w:u w:val="none" w:color="auto"/>
                    </w:rPr>
                  </w:pPr>
                  <w:r>
                    <w:rPr>
                      <w:rFonts w:hint="default" w:ascii="Times New Roman" w:hAnsi="Times New Roman" w:eastAsia="Arial" w:cs="Times New Roman"/>
                      <w:b w:val="0"/>
                      <w:bCs w:val="0"/>
                      <w:color w:val="auto"/>
                      <w:sz w:val="21"/>
                      <w:szCs w:val="21"/>
                    </w:rPr>
                    <w:t>49.7</w:t>
                  </w:r>
                </w:p>
              </w:tc>
              <w:tc>
                <w:tcPr>
                  <w:tcW w:w="544" w:type="pct"/>
                  <w:vAlign w:val="center"/>
                </w:tcPr>
                <w:p w14:paraId="6ECC1D66">
                  <w:pPr>
                    <w:jc w:val="center"/>
                    <w:rPr>
                      <w:rFonts w:hint="default" w:ascii="Times New Roman" w:hAnsi="Times New Roman" w:eastAsia="宋体" w:cs="Times New Roman"/>
                      <w:b w:val="0"/>
                      <w:bCs w:val="0"/>
                      <w:color w:val="auto"/>
                      <w:sz w:val="21"/>
                      <w:szCs w:val="21"/>
                      <w:highlight w:val="none"/>
                      <w:u w:val="none" w:color="auto"/>
                    </w:rPr>
                  </w:pPr>
                  <w:r>
                    <w:rPr>
                      <w:rFonts w:hint="default" w:ascii="Times New Roman" w:hAnsi="Times New Roman" w:eastAsia="Arial" w:cs="Times New Roman"/>
                      <w:b w:val="0"/>
                      <w:bCs w:val="0"/>
                      <w:color w:val="auto"/>
                      <w:sz w:val="21"/>
                      <w:szCs w:val="21"/>
                    </w:rPr>
                    <w:t>1.2</w:t>
                  </w:r>
                </w:p>
              </w:tc>
              <w:tc>
                <w:tcPr>
                  <w:tcW w:w="474" w:type="pct"/>
                  <w:shd w:val="clear" w:color="auto" w:fill="auto"/>
                  <w:vAlign w:val="center"/>
                </w:tcPr>
                <w:p w14:paraId="02589C0B">
                  <w:pPr>
                    <w:adjustRightInd w:val="0"/>
                    <w:snapToGrid w:val="0"/>
                    <w:jc w:val="center"/>
                    <w:rPr>
                      <w:rFonts w:hint="default" w:ascii="Times New Roman" w:hAnsi="Times New Roman" w:eastAsia="宋体" w:cs="Times New Roman"/>
                      <w:bCs/>
                      <w:color w:val="auto"/>
                      <w:kern w:val="2"/>
                      <w:sz w:val="21"/>
                      <w:szCs w:val="21"/>
                      <w:highlight w:val="none"/>
                      <w:u w:val="none" w:color="auto"/>
                      <w:lang w:val="en-US" w:eastAsia="zh-CN" w:bidi="ar-SA"/>
                    </w:rPr>
                  </w:pPr>
                  <w:r>
                    <w:rPr>
                      <w:rFonts w:hint="default" w:ascii="Times New Roman" w:hAnsi="Times New Roman" w:eastAsia="宋体" w:cs="Times New Roman"/>
                      <w:bCs/>
                      <w:color w:val="auto"/>
                      <w:sz w:val="21"/>
                      <w:szCs w:val="21"/>
                      <w:highlight w:val="none"/>
                      <w:u w:val="none" w:color="auto"/>
                    </w:rPr>
                    <w:t>昼间</w:t>
                  </w:r>
                </w:p>
              </w:tc>
              <w:tc>
                <w:tcPr>
                  <w:tcW w:w="1350" w:type="dxa"/>
                  <w:vAlign w:val="center"/>
                </w:tcPr>
                <w:p w14:paraId="3752655F">
                  <w:pPr>
                    <w:jc w:val="center"/>
                    <w:rPr>
                      <w:rFonts w:hint="default" w:ascii="Times New Roman" w:hAnsi="Times New Roman" w:eastAsia="宋体" w:cs="Times New Roman"/>
                      <w:b w:val="0"/>
                      <w:bCs w:val="0"/>
                      <w:color w:val="auto"/>
                      <w:sz w:val="21"/>
                      <w:szCs w:val="21"/>
                      <w:highlight w:val="none"/>
                      <w:u w:val="none" w:color="auto"/>
                      <w:lang w:val="en-US" w:eastAsia="zh-CN"/>
                    </w:rPr>
                  </w:pPr>
                  <w:r>
                    <w:rPr>
                      <w:rFonts w:hint="default" w:ascii="Times New Roman" w:hAnsi="Times New Roman" w:eastAsia="Arial" w:cs="Times New Roman"/>
                      <w:b w:val="0"/>
                      <w:bCs w:val="0"/>
                      <w:color w:val="auto"/>
                      <w:sz w:val="21"/>
                      <w:szCs w:val="21"/>
                    </w:rPr>
                    <w:t>47.4</w:t>
                  </w:r>
                </w:p>
              </w:tc>
              <w:tc>
                <w:tcPr>
                  <w:tcW w:w="1155" w:type="dxa"/>
                  <w:vAlign w:val="center"/>
                </w:tcPr>
                <w:p w14:paraId="0121A960">
                  <w:pPr>
                    <w:jc w:val="center"/>
                    <w:rPr>
                      <w:rFonts w:hint="default" w:ascii="Times New Roman" w:hAnsi="Times New Roman" w:eastAsia="宋体" w:cs="Times New Roman"/>
                      <w:b w:val="0"/>
                      <w:bCs w:val="0"/>
                      <w:color w:val="auto"/>
                      <w:sz w:val="21"/>
                      <w:szCs w:val="21"/>
                      <w:highlight w:val="none"/>
                      <w:u w:val="none" w:color="auto"/>
                    </w:rPr>
                  </w:pPr>
                  <w:r>
                    <w:rPr>
                      <w:rFonts w:hint="default" w:ascii="Times New Roman" w:hAnsi="Times New Roman" w:eastAsia="Arial" w:cs="Times New Roman"/>
                      <w:b w:val="0"/>
                      <w:bCs w:val="0"/>
                      <w:color w:val="auto"/>
                      <w:sz w:val="21"/>
                      <w:szCs w:val="21"/>
                    </w:rPr>
                    <w:t>60</w:t>
                  </w:r>
                </w:p>
              </w:tc>
              <w:tc>
                <w:tcPr>
                  <w:tcW w:w="550" w:type="pct"/>
                  <w:tcBorders>
                    <w:right w:val="single" w:color="auto" w:sz="12" w:space="0"/>
                  </w:tcBorders>
                  <w:vAlign w:val="center"/>
                </w:tcPr>
                <w:p w14:paraId="42227A44">
                  <w:pPr>
                    <w:adjustRightInd w:val="0"/>
                    <w:snapToGrid w:val="0"/>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lang w:val="en-US" w:eastAsia="zh-CN"/>
                    </w:rPr>
                    <w:t>达标</w:t>
                  </w:r>
                </w:p>
              </w:tc>
            </w:tr>
            <w:tr w14:paraId="67E2115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6" w:type="pct"/>
                  <w:vMerge w:val="continue"/>
                  <w:tcBorders>
                    <w:left w:val="single" w:color="auto" w:sz="4" w:space="0"/>
                  </w:tcBorders>
                  <w:vAlign w:val="center"/>
                </w:tcPr>
                <w:p w14:paraId="0F2BC24B">
                  <w:pPr>
                    <w:adjustRightInd w:val="0"/>
                    <w:snapToGrid w:val="0"/>
                    <w:jc w:val="center"/>
                    <w:rPr>
                      <w:rFonts w:hint="default" w:ascii="Times New Roman" w:hAnsi="Times New Roman" w:eastAsia="宋体" w:cs="Times New Roman"/>
                      <w:bCs/>
                      <w:color w:val="auto"/>
                      <w:sz w:val="21"/>
                      <w:szCs w:val="21"/>
                      <w:highlight w:val="none"/>
                      <w:u w:val="none" w:color="auto"/>
                    </w:rPr>
                  </w:pPr>
                </w:p>
              </w:tc>
              <w:tc>
                <w:tcPr>
                  <w:tcW w:w="544" w:type="pct"/>
                  <w:vAlign w:val="center"/>
                </w:tcPr>
                <w:p w14:paraId="4E43821D">
                  <w:pPr>
                    <w:jc w:val="center"/>
                    <w:rPr>
                      <w:rFonts w:hint="default" w:ascii="Times New Roman" w:hAnsi="Times New Roman" w:eastAsia="宋体" w:cs="Times New Roman"/>
                      <w:b w:val="0"/>
                      <w:bCs w:val="0"/>
                      <w:color w:val="auto"/>
                      <w:sz w:val="21"/>
                      <w:szCs w:val="21"/>
                      <w:highlight w:val="none"/>
                      <w:u w:val="none" w:color="auto"/>
                    </w:rPr>
                  </w:pPr>
                  <w:r>
                    <w:rPr>
                      <w:rFonts w:hint="default" w:ascii="Times New Roman" w:hAnsi="Times New Roman" w:eastAsia="Arial" w:cs="Times New Roman"/>
                      <w:b w:val="0"/>
                      <w:bCs w:val="0"/>
                      <w:color w:val="auto"/>
                      <w:sz w:val="21"/>
                      <w:szCs w:val="21"/>
                    </w:rPr>
                    <w:t>-63.2</w:t>
                  </w:r>
                </w:p>
              </w:tc>
              <w:tc>
                <w:tcPr>
                  <w:tcW w:w="544" w:type="pct"/>
                  <w:vAlign w:val="center"/>
                </w:tcPr>
                <w:p w14:paraId="5D6C8086">
                  <w:pPr>
                    <w:jc w:val="center"/>
                    <w:rPr>
                      <w:rFonts w:hint="default" w:ascii="Times New Roman" w:hAnsi="Times New Roman" w:eastAsia="宋体" w:cs="Times New Roman"/>
                      <w:b w:val="0"/>
                      <w:bCs w:val="0"/>
                      <w:color w:val="auto"/>
                      <w:sz w:val="21"/>
                      <w:szCs w:val="21"/>
                      <w:highlight w:val="none"/>
                      <w:u w:val="none" w:color="auto"/>
                    </w:rPr>
                  </w:pPr>
                  <w:r>
                    <w:rPr>
                      <w:rFonts w:hint="default" w:ascii="Times New Roman" w:hAnsi="Times New Roman" w:eastAsia="Arial" w:cs="Times New Roman"/>
                      <w:b w:val="0"/>
                      <w:bCs w:val="0"/>
                      <w:color w:val="auto"/>
                      <w:sz w:val="21"/>
                      <w:szCs w:val="21"/>
                    </w:rPr>
                    <w:t>49.7</w:t>
                  </w:r>
                </w:p>
              </w:tc>
              <w:tc>
                <w:tcPr>
                  <w:tcW w:w="544" w:type="pct"/>
                  <w:vAlign w:val="center"/>
                </w:tcPr>
                <w:p w14:paraId="408BDEF7">
                  <w:pPr>
                    <w:jc w:val="center"/>
                    <w:rPr>
                      <w:rFonts w:hint="default" w:ascii="Times New Roman" w:hAnsi="Times New Roman" w:eastAsia="宋体" w:cs="Times New Roman"/>
                      <w:b w:val="0"/>
                      <w:bCs w:val="0"/>
                      <w:color w:val="auto"/>
                      <w:sz w:val="21"/>
                      <w:szCs w:val="21"/>
                      <w:highlight w:val="none"/>
                      <w:u w:val="none" w:color="auto"/>
                    </w:rPr>
                  </w:pPr>
                  <w:r>
                    <w:rPr>
                      <w:rFonts w:hint="default" w:ascii="Times New Roman" w:hAnsi="Times New Roman" w:eastAsia="Arial" w:cs="Times New Roman"/>
                      <w:b w:val="0"/>
                      <w:bCs w:val="0"/>
                      <w:color w:val="auto"/>
                      <w:sz w:val="21"/>
                      <w:szCs w:val="21"/>
                    </w:rPr>
                    <w:t>1.2</w:t>
                  </w:r>
                </w:p>
              </w:tc>
              <w:tc>
                <w:tcPr>
                  <w:tcW w:w="474" w:type="pct"/>
                  <w:shd w:val="clear" w:color="auto" w:fill="auto"/>
                  <w:vAlign w:val="center"/>
                </w:tcPr>
                <w:p w14:paraId="4DACAA20">
                  <w:pPr>
                    <w:adjustRightInd w:val="0"/>
                    <w:snapToGrid w:val="0"/>
                    <w:jc w:val="center"/>
                    <w:rPr>
                      <w:rFonts w:hint="default" w:ascii="Times New Roman" w:hAnsi="Times New Roman" w:eastAsia="宋体" w:cs="Times New Roman"/>
                      <w:bCs/>
                      <w:color w:val="auto"/>
                      <w:kern w:val="2"/>
                      <w:sz w:val="21"/>
                      <w:szCs w:val="21"/>
                      <w:highlight w:val="none"/>
                      <w:u w:val="none" w:color="auto"/>
                      <w:lang w:val="en-US" w:eastAsia="zh-CN" w:bidi="ar-SA"/>
                    </w:rPr>
                  </w:pPr>
                  <w:r>
                    <w:rPr>
                      <w:rFonts w:hint="default" w:ascii="Times New Roman" w:hAnsi="Times New Roman" w:eastAsia="宋体" w:cs="Times New Roman"/>
                      <w:bCs/>
                      <w:color w:val="auto"/>
                      <w:sz w:val="21"/>
                      <w:szCs w:val="21"/>
                      <w:highlight w:val="none"/>
                      <w:u w:val="none" w:color="auto"/>
                    </w:rPr>
                    <w:t>夜间</w:t>
                  </w:r>
                </w:p>
              </w:tc>
              <w:tc>
                <w:tcPr>
                  <w:tcW w:w="1350" w:type="dxa"/>
                  <w:vAlign w:val="center"/>
                </w:tcPr>
                <w:p w14:paraId="22F104D1">
                  <w:pPr>
                    <w:jc w:val="center"/>
                    <w:rPr>
                      <w:rFonts w:hint="default" w:ascii="Times New Roman" w:hAnsi="Times New Roman" w:eastAsia="宋体" w:cs="Times New Roman"/>
                      <w:b w:val="0"/>
                      <w:bCs w:val="0"/>
                      <w:color w:val="auto"/>
                      <w:sz w:val="21"/>
                      <w:szCs w:val="21"/>
                      <w:highlight w:val="none"/>
                      <w:u w:val="none" w:color="auto"/>
                      <w:lang w:val="en-US" w:eastAsia="zh-CN"/>
                    </w:rPr>
                  </w:pPr>
                  <w:r>
                    <w:rPr>
                      <w:rFonts w:hint="default" w:ascii="Times New Roman" w:hAnsi="Times New Roman" w:eastAsia="Arial" w:cs="Times New Roman"/>
                      <w:b w:val="0"/>
                      <w:bCs w:val="0"/>
                      <w:color w:val="auto"/>
                      <w:sz w:val="21"/>
                      <w:szCs w:val="21"/>
                    </w:rPr>
                    <w:t>47.4</w:t>
                  </w:r>
                </w:p>
              </w:tc>
              <w:tc>
                <w:tcPr>
                  <w:tcW w:w="1155" w:type="dxa"/>
                  <w:vAlign w:val="center"/>
                </w:tcPr>
                <w:p w14:paraId="0202DDCA">
                  <w:pPr>
                    <w:jc w:val="center"/>
                    <w:rPr>
                      <w:rFonts w:hint="default" w:ascii="Times New Roman" w:hAnsi="Times New Roman" w:eastAsia="宋体" w:cs="Times New Roman"/>
                      <w:b w:val="0"/>
                      <w:bCs w:val="0"/>
                      <w:color w:val="auto"/>
                      <w:sz w:val="21"/>
                      <w:szCs w:val="21"/>
                      <w:highlight w:val="none"/>
                      <w:u w:val="none" w:color="auto"/>
                    </w:rPr>
                  </w:pPr>
                  <w:r>
                    <w:rPr>
                      <w:rFonts w:hint="default" w:ascii="Times New Roman" w:hAnsi="Times New Roman" w:eastAsia="Arial" w:cs="Times New Roman"/>
                      <w:b w:val="0"/>
                      <w:bCs w:val="0"/>
                      <w:color w:val="auto"/>
                      <w:sz w:val="21"/>
                      <w:szCs w:val="21"/>
                    </w:rPr>
                    <w:t>50</w:t>
                  </w:r>
                </w:p>
              </w:tc>
              <w:tc>
                <w:tcPr>
                  <w:tcW w:w="550" w:type="pct"/>
                  <w:tcBorders>
                    <w:right w:val="single" w:color="auto" w:sz="12" w:space="0"/>
                  </w:tcBorders>
                  <w:vAlign w:val="center"/>
                </w:tcPr>
                <w:p w14:paraId="2132D954">
                  <w:pPr>
                    <w:adjustRightInd w:val="0"/>
                    <w:snapToGrid w:val="0"/>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lang w:val="en-US" w:eastAsia="zh-CN"/>
                    </w:rPr>
                    <w:t>达标</w:t>
                  </w:r>
                </w:p>
              </w:tc>
            </w:tr>
            <w:tr w14:paraId="2A33CE2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6" w:type="pct"/>
                  <w:vMerge w:val="restart"/>
                  <w:tcBorders>
                    <w:left w:val="single" w:color="auto" w:sz="4" w:space="0"/>
                  </w:tcBorders>
                  <w:vAlign w:val="center"/>
                </w:tcPr>
                <w:p w14:paraId="0F5A94C0">
                  <w:pPr>
                    <w:adjustRightInd w:val="0"/>
                    <w:snapToGrid w:val="0"/>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rPr>
                    <w:t>厂界北侧</w:t>
                  </w:r>
                </w:p>
              </w:tc>
              <w:tc>
                <w:tcPr>
                  <w:tcW w:w="544" w:type="pct"/>
                  <w:vAlign w:val="center"/>
                </w:tcPr>
                <w:p w14:paraId="0932109C">
                  <w:pPr>
                    <w:jc w:val="center"/>
                    <w:rPr>
                      <w:rFonts w:hint="default" w:ascii="Times New Roman" w:hAnsi="Times New Roman" w:eastAsia="宋体" w:cs="Times New Roman"/>
                      <w:b w:val="0"/>
                      <w:bCs w:val="0"/>
                      <w:color w:val="auto"/>
                      <w:sz w:val="21"/>
                      <w:szCs w:val="21"/>
                      <w:highlight w:val="none"/>
                      <w:u w:val="none" w:color="auto"/>
                    </w:rPr>
                  </w:pPr>
                  <w:r>
                    <w:rPr>
                      <w:rFonts w:hint="default" w:ascii="Times New Roman" w:hAnsi="Times New Roman" w:eastAsia="Arial" w:cs="Times New Roman"/>
                      <w:b w:val="0"/>
                      <w:bCs w:val="0"/>
                      <w:color w:val="auto"/>
                      <w:sz w:val="21"/>
                      <w:szCs w:val="21"/>
                    </w:rPr>
                    <w:t>-22.3</w:t>
                  </w:r>
                </w:p>
              </w:tc>
              <w:tc>
                <w:tcPr>
                  <w:tcW w:w="544" w:type="pct"/>
                  <w:vAlign w:val="center"/>
                </w:tcPr>
                <w:p w14:paraId="4BA47E4D">
                  <w:pPr>
                    <w:jc w:val="center"/>
                    <w:rPr>
                      <w:rFonts w:hint="default" w:ascii="Times New Roman" w:hAnsi="Times New Roman" w:eastAsia="宋体" w:cs="Times New Roman"/>
                      <w:b w:val="0"/>
                      <w:bCs w:val="0"/>
                      <w:color w:val="auto"/>
                      <w:sz w:val="21"/>
                      <w:szCs w:val="21"/>
                      <w:highlight w:val="none"/>
                      <w:u w:val="none" w:color="auto"/>
                    </w:rPr>
                  </w:pPr>
                  <w:r>
                    <w:rPr>
                      <w:rFonts w:hint="default" w:ascii="Times New Roman" w:hAnsi="Times New Roman" w:eastAsia="Arial" w:cs="Times New Roman"/>
                      <w:b w:val="0"/>
                      <w:bCs w:val="0"/>
                      <w:color w:val="auto"/>
                      <w:sz w:val="21"/>
                      <w:szCs w:val="21"/>
                    </w:rPr>
                    <w:t>78.2</w:t>
                  </w:r>
                </w:p>
              </w:tc>
              <w:tc>
                <w:tcPr>
                  <w:tcW w:w="544" w:type="pct"/>
                  <w:vAlign w:val="center"/>
                </w:tcPr>
                <w:p w14:paraId="745914DA">
                  <w:pPr>
                    <w:jc w:val="center"/>
                    <w:rPr>
                      <w:rFonts w:hint="default" w:ascii="Times New Roman" w:hAnsi="Times New Roman" w:eastAsia="宋体" w:cs="Times New Roman"/>
                      <w:b w:val="0"/>
                      <w:bCs w:val="0"/>
                      <w:color w:val="auto"/>
                      <w:sz w:val="21"/>
                      <w:szCs w:val="21"/>
                      <w:highlight w:val="none"/>
                      <w:u w:val="none" w:color="auto"/>
                    </w:rPr>
                  </w:pPr>
                  <w:r>
                    <w:rPr>
                      <w:rFonts w:hint="default" w:ascii="Times New Roman" w:hAnsi="Times New Roman" w:eastAsia="Arial" w:cs="Times New Roman"/>
                      <w:b w:val="0"/>
                      <w:bCs w:val="0"/>
                      <w:color w:val="auto"/>
                      <w:sz w:val="21"/>
                      <w:szCs w:val="21"/>
                    </w:rPr>
                    <w:t>1.2</w:t>
                  </w:r>
                </w:p>
              </w:tc>
              <w:tc>
                <w:tcPr>
                  <w:tcW w:w="474" w:type="pct"/>
                  <w:shd w:val="clear" w:color="auto" w:fill="auto"/>
                  <w:vAlign w:val="center"/>
                </w:tcPr>
                <w:p w14:paraId="672986FD">
                  <w:pPr>
                    <w:adjustRightInd w:val="0"/>
                    <w:snapToGrid w:val="0"/>
                    <w:jc w:val="center"/>
                    <w:rPr>
                      <w:rFonts w:hint="default" w:ascii="Times New Roman" w:hAnsi="Times New Roman" w:eastAsia="宋体" w:cs="Times New Roman"/>
                      <w:bCs/>
                      <w:color w:val="auto"/>
                      <w:kern w:val="2"/>
                      <w:sz w:val="21"/>
                      <w:szCs w:val="21"/>
                      <w:highlight w:val="none"/>
                      <w:u w:val="none" w:color="auto"/>
                      <w:lang w:val="en-US" w:eastAsia="zh-CN" w:bidi="ar-SA"/>
                    </w:rPr>
                  </w:pPr>
                  <w:r>
                    <w:rPr>
                      <w:rFonts w:hint="default" w:ascii="Times New Roman" w:hAnsi="Times New Roman" w:eastAsia="宋体" w:cs="Times New Roman"/>
                      <w:bCs/>
                      <w:color w:val="auto"/>
                      <w:sz w:val="21"/>
                      <w:szCs w:val="21"/>
                      <w:highlight w:val="none"/>
                      <w:u w:val="none" w:color="auto"/>
                    </w:rPr>
                    <w:t>昼间</w:t>
                  </w:r>
                </w:p>
              </w:tc>
              <w:tc>
                <w:tcPr>
                  <w:tcW w:w="1350" w:type="dxa"/>
                  <w:vAlign w:val="center"/>
                </w:tcPr>
                <w:p w14:paraId="4806505B">
                  <w:pPr>
                    <w:jc w:val="center"/>
                    <w:rPr>
                      <w:rFonts w:hint="default" w:ascii="Times New Roman" w:hAnsi="Times New Roman" w:eastAsia="宋体" w:cs="Times New Roman"/>
                      <w:b w:val="0"/>
                      <w:bCs w:val="0"/>
                      <w:color w:val="auto"/>
                      <w:sz w:val="21"/>
                      <w:szCs w:val="21"/>
                      <w:highlight w:val="none"/>
                      <w:u w:val="none" w:color="auto"/>
                      <w:lang w:val="en-US" w:eastAsia="zh-CN"/>
                    </w:rPr>
                  </w:pPr>
                  <w:r>
                    <w:rPr>
                      <w:rFonts w:hint="default" w:ascii="Times New Roman" w:hAnsi="Times New Roman" w:eastAsia="Arial" w:cs="Times New Roman"/>
                      <w:b w:val="0"/>
                      <w:bCs w:val="0"/>
                      <w:color w:val="auto"/>
                      <w:sz w:val="21"/>
                      <w:szCs w:val="21"/>
                    </w:rPr>
                    <w:t>47.6</w:t>
                  </w:r>
                </w:p>
              </w:tc>
              <w:tc>
                <w:tcPr>
                  <w:tcW w:w="1155" w:type="dxa"/>
                  <w:vAlign w:val="center"/>
                </w:tcPr>
                <w:p w14:paraId="4309ADB0">
                  <w:pPr>
                    <w:jc w:val="center"/>
                    <w:rPr>
                      <w:rFonts w:hint="default" w:ascii="Times New Roman" w:hAnsi="Times New Roman" w:eastAsia="宋体" w:cs="Times New Roman"/>
                      <w:b w:val="0"/>
                      <w:bCs w:val="0"/>
                      <w:color w:val="auto"/>
                      <w:sz w:val="21"/>
                      <w:szCs w:val="21"/>
                      <w:highlight w:val="none"/>
                      <w:u w:val="none" w:color="auto"/>
                    </w:rPr>
                  </w:pPr>
                  <w:r>
                    <w:rPr>
                      <w:rFonts w:hint="default" w:ascii="Times New Roman" w:hAnsi="Times New Roman" w:eastAsia="Arial" w:cs="Times New Roman"/>
                      <w:b w:val="0"/>
                      <w:bCs w:val="0"/>
                      <w:color w:val="auto"/>
                      <w:sz w:val="21"/>
                      <w:szCs w:val="21"/>
                    </w:rPr>
                    <w:t>60</w:t>
                  </w:r>
                </w:p>
              </w:tc>
              <w:tc>
                <w:tcPr>
                  <w:tcW w:w="550" w:type="pct"/>
                  <w:tcBorders>
                    <w:right w:val="single" w:color="auto" w:sz="12" w:space="0"/>
                  </w:tcBorders>
                  <w:vAlign w:val="center"/>
                </w:tcPr>
                <w:p w14:paraId="2DBFC4D1">
                  <w:pPr>
                    <w:adjustRightInd w:val="0"/>
                    <w:snapToGrid w:val="0"/>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lang w:val="en-US" w:eastAsia="zh-CN"/>
                    </w:rPr>
                    <w:t>达标</w:t>
                  </w:r>
                </w:p>
              </w:tc>
            </w:tr>
            <w:tr w14:paraId="385A000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76" w:type="pct"/>
                  <w:vMerge w:val="continue"/>
                  <w:tcBorders>
                    <w:left w:val="single" w:color="auto" w:sz="4" w:space="0"/>
                  </w:tcBorders>
                  <w:vAlign w:val="center"/>
                </w:tcPr>
                <w:p w14:paraId="31036778">
                  <w:pPr>
                    <w:adjustRightInd w:val="0"/>
                    <w:snapToGrid w:val="0"/>
                    <w:jc w:val="center"/>
                    <w:rPr>
                      <w:rFonts w:hint="default" w:ascii="Times New Roman" w:hAnsi="Times New Roman" w:eastAsia="宋体" w:cs="Times New Roman"/>
                      <w:bCs/>
                      <w:color w:val="auto"/>
                      <w:sz w:val="21"/>
                      <w:szCs w:val="21"/>
                      <w:highlight w:val="none"/>
                      <w:u w:val="none" w:color="auto"/>
                    </w:rPr>
                  </w:pPr>
                </w:p>
              </w:tc>
              <w:tc>
                <w:tcPr>
                  <w:tcW w:w="544" w:type="pct"/>
                  <w:vAlign w:val="center"/>
                </w:tcPr>
                <w:p w14:paraId="6C0C3542">
                  <w:pPr>
                    <w:jc w:val="center"/>
                    <w:rPr>
                      <w:rFonts w:hint="default" w:ascii="Times New Roman" w:hAnsi="Times New Roman" w:eastAsia="宋体" w:cs="Times New Roman"/>
                      <w:b w:val="0"/>
                      <w:bCs w:val="0"/>
                      <w:color w:val="auto"/>
                      <w:sz w:val="21"/>
                      <w:szCs w:val="21"/>
                      <w:highlight w:val="none"/>
                      <w:u w:val="none" w:color="auto"/>
                    </w:rPr>
                  </w:pPr>
                  <w:r>
                    <w:rPr>
                      <w:rFonts w:hint="default" w:ascii="Times New Roman" w:hAnsi="Times New Roman" w:eastAsia="Arial" w:cs="Times New Roman"/>
                      <w:b w:val="0"/>
                      <w:bCs w:val="0"/>
                      <w:color w:val="auto"/>
                      <w:sz w:val="21"/>
                      <w:szCs w:val="21"/>
                    </w:rPr>
                    <w:t>-22.3</w:t>
                  </w:r>
                </w:p>
              </w:tc>
              <w:tc>
                <w:tcPr>
                  <w:tcW w:w="544" w:type="pct"/>
                  <w:vAlign w:val="center"/>
                </w:tcPr>
                <w:p w14:paraId="5D6B5094">
                  <w:pPr>
                    <w:jc w:val="center"/>
                    <w:rPr>
                      <w:rFonts w:hint="default" w:ascii="Times New Roman" w:hAnsi="Times New Roman" w:eastAsia="宋体" w:cs="Times New Roman"/>
                      <w:b w:val="0"/>
                      <w:bCs w:val="0"/>
                      <w:color w:val="auto"/>
                      <w:sz w:val="21"/>
                      <w:szCs w:val="21"/>
                      <w:highlight w:val="none"/>
                      <w:u w:val="none" w:color="auto"/>
                    </w:rPr>
                  </w:pPr>
                  <w:r>
                    <w:rPr>
                      <w:rFonts w:hint="default" w:ascii="Times New Roman" w:hAnsi="Times New Roman" w:eastAsia="Arial" w:cs="Times New Roman"/>
                      <w:b w:val="0"/>
                      <w:bCs w:val="0"/>
                      <w:color w:val="auto"/>
                      <w:sz w:val="21"/>
                      <w:szCs w:val="21"/>
                    </w:rPr>
                    <w:t>78.2</w:t>
                  </w:r>
                </w:p>
              </w:tc>
              <w:tc>
                <w:tcPr>
                  <w:tcW w:w="544" w:type="pct"/>
                  <w:vAlign w:val="center"/>
                </w:tcPr>
                <w:p w14:paraId="221C0400">
                  <w:pPr>
                    <w:jc w:val="center"/>
                    <w:rPr>
                      <w:rFonts w:hint="default" w:ascii="Times New Roman" w:hAnsi="Times New Roman" w:eastAsia="宋体" w:cs="Times New Roman"/>
                      <w:b w:val="0"/>
                      <w:bCs w:val="0"/>
                      <w:color w:val="auto"/>
                      <w:sz w:val="21"/>
                      <w:szCs w:val="21"/>
                      <w:highlight w:val="none"/>
                      <w:u w:val="none" w:color="auto"/>
                    </w:rPr>
                  </w:pPr>
                  <w:r>
                    <w:rPr>
                      <w:rFonts w:hint="default" w:ascii="Times New Roman" w:hAnsi="Times New Roman" w:eastAsia="Arial" w:cs="Times New Roman"/>
                      <w:b w:val="0"/>
                      <w:bCs w:val="0"/>
                      <w:color w:val="auto"/>
                      <w:sz w:val="21"/>
                      <w:szCs w:val="21"/>
                    </w:rPr>
                    <w:t>1.2</w:t>
                  </w:r>
                </w:p>
              </w:tc>
              <w:tc>
                <w:tcPr>
                  <w:tcW w:w="474" w:type="pct"/>
                  <w:shd w:val="clear" w:color="auto" w:fill="auto"/>
                  <w:vAlign w:val="center"/>
                </w:tcPr>
                <w:p w14:paraId="4E16705A">
                  <w:pPr>
                    <w:adjustRightInd w:val="0"/>
                    <w:snapToGrid w:val="0"/>
                    <w:jc w:val="center"/>
                    <w:rPr>
                      <w:rFonts w:hint="default" w:ascii="Times New Roman" w:hAnsi="Times New Roman" w:eastAsia="宋体" w:cs="Times New Roman"/>
                      <w:bCs/>
                      <w:color w:val="auto"/>
                      <w:kern w:val="2"/>
                      <w:sz w:val="21"/>
                      <w:szCs w:val="21"/>
                      <w:highlight w:val="none"/>
                      <w:u w:val="none" w:color="auto"/>
                      <w:lang w:val="en-US" w:eastAsia="zh-CN" w:bidi="ar-SA"/>
                    </w:rPr>
                  </w:pPr>
                  <w:r>
                    <w:rPr>
                      <w:rFonts w:hint="default" w:ascii="Times New Roman" w:hAnsi="Times New Roman" w:eastAsia="宋体" w:cs="Times New Roman"/>
                      <w:bCs/>
                      <w:color w:val="auto"/>
                      <w:sz w:val="21"/>
                      <w:szCs w:val="21"/>
                      <w:highlight w:val="none"/>
                      <w:u w:val="none" w:color="auto"/>
                    </w:rPr>
                    <w:t>夜间</w:t>
                  </w:r>
                </w:p>
              </w:tc>
              <w:tc>
                <w:tcPr>
                  <w:tcW w:w="1350" w:type="dxa"/>
                  <w:vAlign w:val="center"/>
                </w:tcPr>
                <w:p w14:paraId="77EC00E2">
                  <w:pPr>
                    <w:jc w:val="center"/>
                    <w:rPr>
                      <w:rFonts w:hint="default" w:ascii="Times New Roman" w:hAnsi="Times New Roman" w:eastAsia="宋体" w:cs="Times New Roman"/>
                      <w:b w:val="0"/>
                      <w:bCs w:val="0"/>
                      <w:color w:val="auto"/>
                      <w:sz w:val="21"/>
                      <w:szCs w:val="21"/>
                      <w:highlight w:val="none"/>
                      <w:u w:val="none" w:color="auto"/>
                      <w:lang w:val="en-US" w:eastAsia="zh-CN"/>
                    </w:rPr>
                  </w:pPr>
                  <w:r>
                    <w:rPr>
                      <w:rFonts w:hint="default" w:ascii="Times New Roman" w:hAnsi="Times New Roman" w:eastAsia="Arial" w:cs="Times New Roman"/>
                      <w:b w:val="0"/>
                      <w:bCs w:val="0"/>
                      <w:color w:val="auto"/>
                      <w:sz w:val="21"/>
                      <w:szCs w:val="21"/>
                    </w:rPr>
                    <w:t>47.6</w:t>
                  </w:r>
                </w:p>
              </w:tc>
              <w:tc>
                <w:tcPr>
                  <w:tcW w:w="1155" w:type="dxa"/>
                  <w:vAlign w:val="center"/>
                </w:tcPr>
                <w:p w14:paraId="35C6267C">
                  <w:pPr>
                    <w:jc w:val="center"/>
                    <w:rPr>
                      <w:rFonts w:hint="default" w:ascii="Times New Roman" w:hAnsi="Times New Roman" w:eastAsia="宋体" w:cs="Times New Roman"/>
                      <w:b w:val="0"/>
                      <w:bCs w:val="0"/>
                      <w:color w:val="auto"/>
                      <w:sz w:val="21"/>
                      <w:szCs w:val="21"/>
                      <w:highlight w:val="none"/>
                      <w:u w:val="none" w:color="auto"/>
                    </w:rPr>
                  </w:pPr>
                  <w:r>
                    <w:rPr>
                      <w:rFonts w:hint="default" w:ascii="Times New Roman" w:hAnsi="Times New Roman" w:eastAsia="Arial" w:cs="Times New Roman"/>
                      <w:b w:val="0"/>
                      <w:bCs w:val="0"/>
                      <w:color w:val="auto"/>
                      <w:sz w:val="21"/>
                      <w:szCs w:val="21"/>
                    </w:rPr>
                    <w:t>50</w:t>
                  </w:r>
                </w:p>
              </w:tc>
              <w:tc>
                <w:tcPr>
                  <w:tcW w:w="550" w:type="pct"/>
                  <w:tcBorders>
                    <w:right w:val="single" w:color="auto" w:sz="12" w:space="0"/>
                  </w:tcBorders>
                  <w:vAlign w:val="center"/>
                </w:tcPr>
                <w:p w14:paraId="445651CD">
                  <w:pPr>
                    <w:adjustRightInd w:val="0"/>
                    <w:snapToGrid w:val="0"/>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lang w:val="en-US" w:eastAsia="zh-CN"/>
                    </w:rPr>
                    <w:t>达标</w:t>
                  </w:r>
                </w:p>
              </w:tc>
            </w:tr>
          </w:tbl>
          <w:p w14:paraId="04822D9B">
            <w:pPr>
              <w:keepNext w:val="0"/>
              <w:keepLines w:val="0"/>
              <w:pageBreakBefore w:val="0"/>
              <w:widowControl w:val="0"/>
              <w:kinsoku/>
              <w:wordWrap/>
              <w:overflowPunct/>
              <w:topLinePunct w:val="0"/>
              <w:autoSpaceDE/>
              <w:autoSpaceDN/>
              <w:bidi w:val="0"/>
              <w:adjustRightInd/>
              <w:snapToGrid/>
              <w:spacing w:before="157" w:beforeLines="50" w:line="360" w:lineRule="auto"/>
              <w:ind w:firstLine="0" w:firstLineChars="0"/>
              <w:jc w:val="center"/>
              <w:textAlignment w:val="auto"/>
              <w:rPr>
                <w:rFonts w:hint="default" w:ascii="Times New Roman" w:hAnsi="Times New Roman" w:eastAsia="宋体" w:cs="Times New Roman"/>
                <w:b/>
                <w:bCs/>
                <w:color w:val="auto"/>
                <w:sz w:val="21"/>
                <w:szCs w:val="21"/>
                <w:highlight w:val="none"/>
                <w:u w:val="none" w:color="auto"/>
                <w:lang w:val="en-US"/>
              </w:rPr>
            </w:pPr>
            <w:r>
              <w:rPr>
                <w:rFonts w:hint="default" w:ascii="Times New Roman" w:hAnsi="Times New Roman" w:eastAsia="宋体" w:cs="Times New Roman"/>
                <w:b/>
                <w:bCs/>
                <w:color w:val="auto"/>
                <w:sz w:val="21"/>
                <w:szCs w:val="21"/>
                <w:highlight w:val="none"/>
                <w:u w:val="none" w:color="auto"/>
              </w:rPr>
              <w:t>表4-</w:t>
            </w:r>
            <w:r>
              <w:rPr>
                <w:rFonts w:hint="default" w:ascii="Times New Roman" w:hAnsi="Times New Roman" w:eastAsia="宋体" w:cs="Times New Roman"/>
                <w:b/>
                <w:bCs/>
                <w:color w:val="auto"/>
                <w:sz w:val="21"/>
                <w:szCs w:val="21"/>
                <w:highlight w:val="none"/>
                <w:u w:val="none" w:color="auto"/>
                <w:lang w:val="en-US" w:eastAsia="zh-CN"/>
              </w:rPr>
              <w:t>1</w:t>
            </w:r>
            <w:r>
              <w:rPr>
                <w:rFonts w:hint="eastAsia" w:cs="Times New Roman"/>
                <w:b/>
                <w:bCs/>
                <w:color w:val="auto"/>
                <w:sz w:val="21"/>
                <w:szCs w:val="21"/>
                <w:highlight w:val="none"/>
                <w:u w:val="none" w:color="auto"/>
                <w:lang w:val="en-US" w:eastAsia="zh-CN"/>
              </w:rPr>
              <w:t>8 声环境保护目标声影响预测结果 dB（A）</w:t>
            </w:r>
          </w:p>
          <w:tbl>
            <w:tblPr>
              <w:tblStyle w:val="42"/>
              <w:tblW w:w="8003"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48"/>
              <w:gridCol w:w="660"/>
              <w:gridCol w:w="705"/>
              <w:gridCol w:w="660"/>
              <w:gridCol w:w="720"/>
              <w:gridCol w:w="824"/>
              <w:gridCol w:w="824"/>
              <w:gridCol w:w="826"/>
              <w:gridCol w:w="1155"/>
              <w:gridCol w:w="881"/>
            </w:tblGrid>
            <w:tr w14:paraId="312176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7" w:type="pct"/>
                  <w:vMerge w:val="restart"/>
                  <w:tcBorders>
                    <w:left w:val="single" w:color="auto" w:sz="0" w:space="0"/>
                  </w:tcBorders>
                  <w:vAlign w:val="center"/>
                </w:tcPr>
                <w:p w14:paraId="6467FB5F">
                  <w:pPr>
                    <w:adjustRightInd w:val="0"/>
                    <w:snapToGrid w:val="0"/>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评价点</w:t>
                  </w:r>
                </w:p>
              </w:tc>
              <w:tc>
                <w:tcPr>
                  <w:tcW w:w="1265" w:type="pct"/>
                  <w:gridSpan w:val="3"/>
                  <w:vAlign w:val="center"/>
                </w:tcPr>
                <w:p w14:paraId="558447F3">
                  <w:pPr>
                    <w:adjustRightInd w:val="0"/>
                    <w:snapToGrid w:val="0"/>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lang w:val="en-US" w:eastAsia="zh-CN"/>
                    </w:rPr>
                    <w:t>最大值点</w:t>
                  </w:r>
                  <w:r>
                    <w:rPr>
                      <w:rFonts w:hint="default" w:ascii="Times New Roman" w:hAnsi="Times New Roman" w:eastAsia="宋体" w:cs="Times New Roman"/>
                      <w:b/>
                      <w:color w:val="auto"/>
                      <w:sz w:val="21"/>
                      <w:szCs w:val="21"/>
                      <w:highlight w:val="none"/>
                      <w:u w:val="none" w:color="auto"/>
                    </w:rPr>
                    <w:t>空间相对位置/m</w:t>
                  </w:r>
                </w:p>
              </w:tc>
              <w:tc>
                <w:tcPr>
                  <w:tcW w:w="449" w:type="pct"/>
                  <w:vMerge w:val="restart"/>
                  <w:shd w:val="clear" w:color="auto" w:fill="auto"/>
                  <w:vAlign w:val="center"/>
                </w:tcPr>
                <w:p w14:paraId="6B693940">
                  <w:pPr>
                    <w:adjustRightInd w:val="0"/>
                    <w:snapToGrid w:val="0"/>
                    <w:jc w:val="center"/>
                    <w:rPr>
                      <w:rFonts w:hint="default" w:ascii="Times New Roman" w:hAnsi="Times New Roman" w:eastAsia="宋体" w:cs="Times New Roman"/>
                      <w:b/>
                      <w:color w:val="auto"/>
                      <w:kern w:val="2"/>
                      <w:sz w:val="21"/>
                      <w:szCs w:val="21"/>
                      <w:highlight w:val="none"/>
                      <w:u w:val="none" w:color="auto"/>
                      <w:lang w:val="en-US" w:eastAsia="zh-CN" w:bidi="ar-SA"/>
                    </w:rPr>
                  </w:pPr>
                  <w:r>
                    <w:rPr>
                      <w:rFonts w:hint="default" w:ascii="Times New Roman" w:hAnsi="Times New Roman" w:eastAsia="宋体" w:cs="Times New Roman"/>
                      <w:b/>
                      <w:color w:val="auto"/>
                      <w:sz w:val="21"/>
                      <w:szCs w:val="21"/>
                      <w:highlight w:val="none"/>
                      <w:u w:val="none" w:color="auto"/>
                    </w:rPr>
                    <w:t>时段</w:t>
                  </w:r>
                </w:p>
              </w:tc>
              <w:tc>
                <w:tcPr>
                  <w:tcW w:w="514" w:type="pct"/>
                  <w:vMerge w:val="restart"/>
                  <w:vAlign w:val="center"/>
                </w:tcPr>
                <w:p w14:paraId="73C80F3E">
                  <w:pPr>
                    <w:adjustRightInd w:val="0"/>
                    <w:snapToGrid w:val="0"/>
                    <w:jc w:val="center"/>
                    <w:rPr>
                      <w:rFonts w:hint="eastAsia" w:ascii="Times New Roman" w:hAnsi="Times New Roman" w:eastAsia="宋体" w:cs="Times New Roman"/>
                      <w:b/>
                      <w:color w:val="auto"/>
                      <w:sz w:val="21"/>
                      <w:szCs w:val="21"/>
                      <w:highlight w:val="none"/>
                      <w:u w:val="none" w:color="auto"/>
                      <w:lang w:eastAsia="zh-CN"/>
                    </w:rPr>
                  </w:pPr>
                  <w:r>
                    <w:rPr>
                      <w:rFonts w:hint="eastAsia" w:cs="Times New Roman"/>
                      <w:b/>
                      <w:color w:val="auto"/>
                      <w:sz w:val="21"/>
                      <w:szCs w:val="21"/>
                      <w:highlight w:val="none"/>
                      <w:u w:val="none" w:color="auto"/>
                      <w:lang w:eastAsia="zh-CN"/>
                    </w:rPr>
                    <w:t>噪声现状值</w:t>
                  </w:r>
                </w:p>
              </w:tc>
              <w:tc>
                <w:tcPr>
                  <w:tcW w:w="514" w:type="pct"/>
                  <w:vMerge w:val="restart"/>
                  <w:vAlign w:val="center"/>
                </w:tcPr>
                <w:p w14:paraId="56461182">
                  <w:pPr>
                    <w:adjustRightInd w:val="0"/>
                    <w:snapToGrid w:val="0"/>
                    <w:jc w:val="center"/>
                    <w:rPr>
                      <w:rFonts w:hint="eastAsia" w:ascii="Times New Roman" w:hAnsi="Times New Roman" w:eastAsia="宋体" w:cs="Times New Roman"/>
                      <w:b/>
                      <w:color w:val="auto"/>
                      <w:sz w:val="21"/>
                      <w:szCs w:val="21"/>
                      <w:highlight w:val="none"/>
                      <w:u w:val="none" w:color="auto"/>
                      <w:lang w:eastAsia="zh-CN"/>
                    </w:rPr>
                  </w:pPr>
                  <w:r>
                    <w:rPr>
                      <w:rFonts w:hint="eastAsia" w:cs="Times New Roman"/>
                      <w:b/>
                      <w:color w:val="auto"/>
                      <w:sz w:val="21"/>
                      <w:szCs w:val="21"/>
                      <w:highlight w:val="none"/>
                      <w:u w:val="none" w:color="auto"/>
                      <w:lang w:eastAsia="zh-CN"/>
                    </w:rPr>
                    <w:t>噪声贡献值</w:t>
                  </w:r>
                </w:p>
              </w:tc>
              <w:tc>
                <w:tcPr>
                  <w:tcW w:w="516" w:type="pct"/>
                  <w:vMerge w:val="restart"/>
                  <w:vAlign w:val="center"/>
                </w:tcPr>
                <w:p w14:paraId="01D0E7C4">
                  <w:pPr>
                    <w:adjustRightInd w:val="0"/>
                    <w:snapToGrid w:val="0"/>
                    <w:jc w:val="center"/>
                    <w:rPr>
                      <w:rFonts w:hint="eastAsia" w:ascii="Times New Roman" w:hAnsi="Times New Roman" w:eastAsia="宋体" w:cs="Times New Roman"/>
                      <w:b/>
                      <w:color w:val="auto"/>
                      <w:sz w:val="21"/>
                      <w:szCs w:val="21"/>
                      <w:highlight w:val="none"/>
                      <w:u w:val="none" w:color="auto"/>
                      <w:lang w:eastAsia="zh-CN"/>
                    </w:rPr>
                  </w:pPr>
                  <w:r>
                    <w:rPr>
                      <w:rFonts w:hint="eastAsia" w:cs="Times New Roman"/>
                      <w:b/>
                      <w:color w:val="auto"/>
                      <w:sz w:val="21"/>
                      <w:szCs w:val="21"/>
                      <w:highlight w:val="none"/>
                      <w:u w:val="none" w:color="auto"/>
                      <w:lang w:eastAsia="zh-CN"/>
                    </w:rPr>
                    <w:t>噪声预测值</w:t>
                  </w:r>
                </w:p>
              </w:tc>
              <w:tc>
                <w:tcPr>
                  <w:tcW w:w="721" w:type="pct"/>
                  <w:vMerge w:val="restart"/>
                  <w:vAlign w:val="center"/>
                </w:tcPr>
                <w:p w14:paraId="44B66B78">
                  <w:pPr>
                    <w:adjustRightInd w:val="0"/>
                    <w:snapToGrid w:val="0"/>
                    <w:jc w:val="center"/>
                    <w:rPr>
                      <w:rFonts w:hint="default" w:ascii="Times New Roman" w:hAnsi="Times New Roman" w:eastAsia="宋体" w:cs="Times New Roman"/>
                      <w:b/>
                      <w:color w:val="auto"/>
                      <w:sz w:val="21"/>
                      <w:szCs w:val="21"/>
                      <w:highlight w:val="none"/>
                      <w:u w:val="none" w:color="auto"/>
                    </w:rPr>
                  </w:pPr>
                  <w:r>
                    <w:rPr>
                      <w:rFonts w:hint="default" w:ascii="Times New Roman" w:hAnsi="Times New Roman" w:eastAsia="宋体" w:cs="Times New Roman"/>
                      <w:b/>
                      <w:color w:val="auto"/>
                      <w:sz w:val="21"/>
                      <w:szCs w:val="21"/>
                      <w:highlight w:val="none"/>
                      <w:u w:val="none" w:color="auto"/>
                    </w:rPr>
                    <w:t>标准限值</w:t>
                  </w:r>
                </w:p>
              </w:tc>
              <w:tc>
                <w:tcPr>
                  <w:tcW w:w="550" w:type="pct"/>
                  <w:vMerge w:val="restart"/>
                  <w:tcBorders>
                    <w:right w:val="single" w:color="auto" w:sz="12" w:space="0"/>
                  </w:tcBorders>
                  <w:vAlign w:val="center"/>
                </w:tcPr>
                <w:p w14:paraId="62DB40B8">
                  <w:pPr>
                    <w:adjustRightInd w:val="0"/>
                    <w:snapToGrid w:val="0"/>
                    <w:jc w:val="center"/>
                    <w:rPr>
                      <w:rFonts w:hint="default" w:ascii="Times New Roman" w:hAnsi="Times New Roman" w:eastAsia="宋体" w:cs="Times New Roman"/>
                      <w:b/>
                      <w:color w:val="auto"/>
                      <w:sz w:val="21"/>
                      <w:szCs w:val="21"/>
                      <w:highlight w:val="none"/>
                      <w:u w:val="none" w:color="auto"/>
                      <w:lang w:val="en-US" w:eastAsia="zh-CN"/>
                    </w:rPr>
                  </w:pPr>
                  <w:r>
                    <w:rPr>
                      <w:rFonts w:hint="default" w:ascii="Times New Roman" w:hAnsi="Times New Roman" w:eastAsia="宋体" w:cs="Times New Roman"/>
                      <w:b/>
                      <w:color w:val="auto"/>
                      <w:sz w:val="21"/>
                      <w:szCs w:val="21"/>
                      <w:highlight w:val="none"/>
                      <w:u w:val="none" w:color="auto"/>
                      <w:lang w:val="en-US" w:eastAsia="zh-CN"/>
                    </w:rPr>
                    <w:t>达标情况</w:t>
                  </w:r>
                </w:p>
              </w:tc>
            </w:tr>
            <w:tr w14:paraId="7CA310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7" w:type="pct"/>
                  <w:vMerge w:val="continue"/>
                  <w:tcBorders>
                    <w:left w:val="single" w:color="auto" w:sz="0" w:space="0"/>
                  </w:tcBorders>
                  <w:vAlign w:val="center"/>
                </w:tcPr>
                <w:p w14:paraId="09FA2219">
                  <w:pPr>
                    <w:adjustRightInd w:val="0"/>
                    <w:snapToGrid w:val="0"/>
                    <w:jc w:val="center"/>
                    <w:rPr>
                      <w:rFonts w:hint="default" w:ascii="Times New Roman" w:hAnsi="Times New Roman" w:eastAsia="宋体" w:cs="Times New Roman"/>
                      <w:b/>
                      <w:color w:val="auto"/>
                      <w:sz w:val="21"/>
                      <w:szCs w:val="21"/>
                      <w:highlight w:val="none"/>
                      <w:u w:val="none" w:color="auto"/>
                    </w:rPr>
                  </w:pPr>
                </w:p>
              </w:tc>
              <w:tc>
                <w:tcPr>
                  <w:tcW w:w="412" w:type="pct"/>
                  <w:vAlign w:val="center"/>
                </w:tcPr>
                <w:p w14:paraId="497FDDA1">
                  <w:pPr>
                    <w:adjustRightInd w:val="0"/>
                    <w:snapToGrid w:val="0"/>
                    <w:jc w:val="center"/>
                    <w:rPr>
                      <w:rFonts w:hint="eastAsia" w:ascii="Times New Roman" w:hAnsi="Times New Roman" w:eastAsia="宋体" w:cs="Times New Roman"/>
                      <w:b/>
                      <w:color w:val="auto"/>
                      <w:sz w:val="21"/>
                      <w:szCs w:val="21"/>
                      <w:highlight w:val="none"/>
                      <w:u w:val="none" w:color="auto"/>
                      <w:lang w:val="en-US" w:eastAsia="zh-CN"/>
                    </w:rPr>
                  </w:pPr>
                  <w:r>
                    <w:rPr>
                      <w:rFonts w:hint="eastAsia" w:cs="Times New Roman"/>
                      <w:b/>
                      <w:color w:val="auto"/>
                      <w:sz w:val="21"/>
                      <w:szCs w:val="21"/>
                      <w:highlight w:val="none"/>
                      <w:u w:val="none" w:color="auto"/>
                      <w:lang w:val="en-US" w:eastAsia="zh-CN"/>
                    </w:rPr>
                    <w:t>X</w:t>
                  </w:r>
                </w:p>
              </w:tc>
              <w:tc>
                <w:tcPr>
                  <w:tcW w:w="440" w:type="pct"/>
                  <w:vAlign w:val="center"/>
                </w:tcPr>
                <w:p w14:paraId="684EBC39">
                  <w:pPr>
                    <w:adjustRightInd w:val="0"/>
                    <w:snapToGrid w:val="0"/>
                    <w:jc w:val="center"/>
                    <w:rPr>
                      <w:rFonts w:hint="eastAsia" w:ascii="Times New Roman" w:hAnsi="Times New Roman" w:eastAsia="宋体" w:cs="Times New Roman"/>
                      <w:b/>
                      <w:color w:val="auto"/>
                      <w:sz w:val="21"/>
                      <w:szCs w:val="21"/>
                      <w:highlight w:val="none"/>
                      <w:u w:val="none" w:color="auto"/>
                      <w:lang w:val="en-US" w:eastAsia="zh-CN"/>
                    </w:rPr>
                  </w:pPr>
                  <w:r>
                    <w:rPr>
                      <w:rFonts w:hint="eastAsia" w:cs="Times New Roman"/>
                      <w:b/>
                      <w:color w:val="auto"/>
                      <w:sz w:val="21"/>
                      <w:szCs w:val="21"/>
                      <w:highlight w:val="none"/>
                      <w:u w:val="none" w:color="auto"/>
                      <w:lang w:val="en-US" w:eastAsia="zh-CN"/>
                    </w:rPr>
                    <w:t>Y</w:t>
                  </w:r>
                </w:p>
              </w:tc>
              <w:tc>
                <w:tcPr>
                  <w:tcW w:w="412" w:type="pct"/>
                  <w:vAlign w:val="center"/>
                </w:tcPr>
                <w:p w14:paraId="0496E0ED">
                  <w:pPr>
                    <w:adjustRightInd w:val="0"/>
                    <w:snapToGrid w:val="0"/>
                    <w:jc w:val="center"/>
                    <w:rPr>
                      <w:rFonts w:hint="eastAsia" w:ascii="Times New Roman" w:hAnsi="Times New Roman" w:eastAsia="宋体" w:cs="Times New Roman"/>
                      <w:b/>
                      <w:color w:val="auto"/>
                      <w:sz w:val="21"/>
                      <w:szCs w:val="21"/>
                      <w:highlight w:val="none"/>
                      <w:u w:val="none" w:color="auto"/>
                      <w:lang w:val="en-US" w:eastAsia="zh-CN"/>
                    </w:rPr>
                  </w:pPr>
                  <w:r>
                    <w:rPr>
                      <w:rFonts w:hint="eastAsia" w:cs="Times New Roman"/>
                      <w:b/>
                      <w:color w:val="auto"/>
                      <w:sz w:val="21"/>
                      <w:szCs w:val="21"/>
                      <w:highlight w:val="none"/>
                      <w:u w:val="none" w:color="auto"/>
                      <w:lang w:val="en-US" w:eastAsia="zh-CN"/>
                    </w:rPr>
                    <w:t>Z</w:t>
                  </w:r>
                </w:p>
              </w:tc>
              <w:tc>
                <w:tcPr>
                  <w:tcW w:w="449" w:type="pct"/>
                  <w:vMerge w:val="continue"/>
                  <w:shd w:val="clear" w:color="auto" w:fill="auto"/>
                  <w:vAlign w:val="center"/>
                </w:tcPr>
                <w:p w14:paraId="593DAB65">
                  <w:pPr>
                    <w:adjustRightInd w:val="0"/>
                    <w:snapToGrid w:val="0"/>
                    <w:jc w:val="center"/>
                    <w:rPr>
                      <w:rFonts w:hint="default" w:ascii="Times New Roman" w:hAnsi="Times New Roman" w:eastAsia="宋体" w:cs="Times New Roman"/>
                      <w:b/>
                      <w:color w:val="auto"/>
                      <w:sz w:val="21"/>
                      <w:szCs w:val="21"/>
                      <w:highlight w:val="none"/>
                      <w:u w:val="none" w:color="auto"/>
                    </w:rPr>
                  </w:pPr>
                </w:p>
              </w:tc>
              <w:tc>
                <w:tcPr>
                  <w:tcW w:w="514" w:type="pct"/>
                  <w:vMerge w:val="continue"/>
                  <w:vAlign w:val="center"/>
                </w:tcPr>
                <w:p w14:paraId="35401292">
                  <w:pPr>
                    <w:adjustRightInd w:val="0"/>
                    <w:snapToGrid w:val="0"/>
                    <w:jc w:val="center"/>
                    <w:rPr>
                      <w:rFonts w:hint="default" w:ascii="Times New Roman" w:hAnsi="Times New Roman" w:eastAsia="宋体" w:cs="Times New Roman"/>
                      <w:b/>
                      <w:color w:val="auto"/>
                      <w:sz w:val="21"/>
                      <w:szCs w:val="21"/>
                      <w:highlight w:val="none"/>
                      <w:u w:val="none" w:color="auto"/>
                    </w:rPr>
                  </w:pPr>
                </w:p>
              </w:tc>
              <w:tc>
                <w:tcPr>
                  <w:tcW w:w="514" w:type="pct"/>
                  <w:vMerge w:val="continue"/>
                  <w:vAlign w:val="center"/>
                </w:tcPr>
                <w:p w14:paraId="4B7A4170">
                  <w:pPr>
                    <w:adjustRightInd w:val="0"/>
                    <w:snapToGrid w:val="0"/>
                    <w:jc w:val="center"/>
                    <w:rPr>
                      <w:rFonts w:hint="default" w:ascii="Times New Roman" w:hAnsi="Times New Roman" w:eastAsia="宋体" w:cs="Times New Roman"/>
                      <w:b/>
                      <w:color w:val="auto"/>
                      <w:sz w:val="21"/>
                      <w:szCs w:val="21"/>
                      <w:highlight w:val="none"/>
                      <w:u w:val="none" w:color="auto"/>
                    </w:rPr>
                  </w:pPr>
                </w:p>
              </w:tc>
              <w:tc>
                <w:tcPr>
                  <w:tcW w:w="516" w:type="pct"/>
                  <w:vMerge w:val="continue"/>
                  <w:vAlign w:val="center"/>
                </w:tcPr>
                <w:p w14:paraId="1429D26C">
                  <w:pPr>
                    <w:adjustRightInd w:val="0"/>
                    <w:snapToGrid w:val="0"/>
                    <w:jc w:val="center"/>
                    <w:rPr>
                      <w:rFonts w:hint="default" w:ascii="Times New Roman" w:hAnsi="Times New Roman" w:eastAsia="宋体" w:cs="Times New Roman"/>
                      <w:b/>
                      <w:color w:val="auto"/>
                      <w:sz w:val="21"/>
                      <w:szCs w:val="21"/>
                      <w:highlight w:val="none"/>
                      <w:u w:val="none" w:color="auto"/>
                    </w:rPr>
                  </w:pPr>
                </w:p>
              </w:tc>
              <w:tc>
                <w:tcPr>
                  <w:tcW w:w="721" w:type="pct"/>
                  <w:vMerge w:val="continue"/>
                  <w:vAlign w:val="center"/>
                </w:tcPr>
                <w:p w14:paraId="64137E70">
                  <w:pPr>
                    <w:adjustRightInd w:val="0"/>
                    <w:snapToGrid w:val="0"/>
                    <w:jc w:val="center"/>
                    <w:rPr>
                      <w:rFonts w:hint="default" w:ascii="Times New Roman" w:hAnsi="Times New Roman" w:eastAsia="宋体" w:cs="Times New Roman"/>
                      <w:b/>
                      <w:color w:val="auto"/>
                      <w:sz w:val="21"/>
                      <w:szCs w:val="21"/>
                      <w:highlight w:val="none"/>
                      <w:u w:val="none" w:color="auto"/>
                    </w:rPr>
                  </w:pPr>
                </w:p>
              </w:tc>
              <w:tc>
                <w:tcPr>
                  <w:tcW w:w="550" w:type="pct"/>
                  <w:vMerge w:val="continue"/>
                  <w:tcBorders>
                    <w:right w:val="single" w:color="auto" w:sz="12" w:space="0"/>
                  </w:tcBorders>
                  <w:vAlign w:val="center"/>
                </w:tcPr>
                <w:p w14:paraId="64D5F49B">
                  <w:pPr>
                    <w:adjustRightInd w:val="0"/>
                    <w:snapToGrid w:val="0"/>
                    <w:jc w:val="center"/>
                    <w:rPr>
                      <w:rFonts w:hint="default" w:ascii="Times New Roman" w:hAnsi="Times New Roman" w:eastAsia="宋体" w:cs="Times New Roman"/>
                      <w:b/>
                      <w:color w:val="auto"/>
                      <w:sz w:val="21"/>
                      <w:szCs w:val="21"/>
                      <w:highlight w:val="none"/>
                      <w:u w:val="none" w:color="auto"/>
                      <w:lang w:val="en-US" w:eastAsia="zh-CN"/>
                    </w:rPr>
                  </w:pPr>
                </w:p>
              </w:tc>
            </w:tr>
            <w:tr w14:paraId="0CF440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7" w:type="pct"/>
                  <w:vMerge w:val="restart"/>
                  <w:tcBorders>
                    <w:left w:val="single" w:color="auto" w:sz="4" w:space="0"/>
                  </w:tcBorders>
                  <w:vAlign w:val="center"/>
                </w:tcPr>
                <w:p w14:paraId="6A9ECDBF">
                  <w:pPr>
                    <w:adjustRightInd w:val="0"/>
                    <w:snapToGrid w:val="0"/>
                    <w:jc w:val="center"/>
                    <w:rPr>
                      <w:rFonts w:hint="eastAsia" w:ascii="Times New Roman" w:hAnsi="Times New Roman" w:eastAsia="宋体" w:cs="Times New Roman"/>
                      <w:bCs/>
                      <w:color w:val="auto"/>
                      <w:sz w:val="21"/>
                      <w:szCs w:val="21"/>
                      <w:highlight w:val="none"/>
                      <w:u w:val="none" w:color="auto"/>
                      <w:lang w:eastAsia="zh-CN"/>
                    </w:rPr>
                  </w:pPr>
                  <w:r>
                    <w:rPr>
                      <w:rFonts w:hint="eastAsia" w:cs="Times New Roman"/>
                      <w:bCs/>
                      <w:color w:val="auto"/>
                      <w:sz w:val="21"/>
                      <w:szCs w:val="21"/>
                      <w:highlight w:val="none"/>
                      <w:u w:val="none" w:color="auto"/>
                      <w:lang w:eastAsia="zh-CN"/>
                    </w:rPr>
                    <w:t>村委会</w:t>
                  </w:r>
                </w:p>
              </w:tc>
              <w:tc>
                <w:tcPr>
                  <w:tcW w:w="412" w:type="pct"/>
                  <w:vAlign w:val="center"/>
                </w:tcPr>
                <w:p w14:paraId="66739DE1">
                  <w:pPr>
                    <w:jc w:val="center"/>
                    <w:rPr>
                      <w:rFonts w:hint="default" w:ascii="Times New Roman" w:hAnsi="Times New Roman" w:eastAsia="宋体" w:cs="Times New Roman"/>
                      <w:b w:val="0"/>
                      <w:bCs w:val="0"/>
                      <w:color w:val="auto"/>
                      <w:sz w:val="21"/>
                      <w:szCs w:val="21"/>
                      <w:highlight w:val="none"/>
                      <w:u w:val="none" w:color="auto"/>
                    </w:rPr>
                  </w:pPr>
                  <w:r>
                    <w:rPr>
                      <w:rFonts w:hint="default" w:ascii="Times New Roman" w:hAnsi="Times New Roman" w:eastAsia="Arial" w:cs="Times New Roman"/>
                      <w:color w:val="auto"/>
                      <w:sz w:val="21"/>
                      <w:szCs w:val="21"/>
                    </w:rPr>
                    <w:t>96.5</w:t>
                  </w:r>
                </w:p>
              </w:tc>
              <w:tc>
                <w:tcPr>
                  <w:tcW w:w="440" w:type="pct"/>
                  <w:vAlign w:val="center"/>
                </w:tcPr>
                <w:p w14:paraId="7161BA6F">
                  <w:pPr>
                    <w:jc w:val="center"/>
                    <w:rPr>
                      <w:rFonts w:hint="default" w:ascii="Times New Roman" w:hAnsi="Times New Roman" w:eastAsia="宋体" w:cs="Times New Roman"/>
                      <w:b w:val="0"/>
                      <w:bCs w:val="0"/>
                      <w:color w:val="auto"/>
                      <w:sz w:val="21"/>
                      <w:szCs w:val="21"/>
                      <w:highlight w:val="none"/>
                      <w:u w:val="none" w:color="auto"/>
                    </w:rPr>
                  </w:pPr>
                  <w:r>
                    <w:rPr>
                      <w:rFonts w:hint="default" w:ascii="Times New Roman" w:hAnsi="Times New Roman" w:eastAsia="Arial" w:cs="Times New Roman"/>
                      <w:color w:val="auto"/>
                      <w:sz w:val="21"/>
                      <w:szCs w:val="21"/>
                    </w:rPr>
                    <w:t>-79</w:t>
                  </w:r>
                </w:p>
              </w:tc>
              <w:tc>
                <w:tcPr>
                  <w:tcW w:w="412" w:type="pct"/>
                  <w:vAlign w:val="center"/>
                </w:tcPr>
                <w:p w14:paraId="55743BC6">
                  <w:pPr>
                    <w:jc w:val="center"/>
                    <w:rPr>
                      <w:rFonts w:hint="default" w:ascii="Times New Roman" w:hAnsi="Times New Roman" w:eastAsia="宋体" w:cs="Times New Roman"/>
                      <w:b w:val="0"/>
                      <w:bCs w:val="0"/>
                      <w:color w:val="auto"/>
                      <w:sz w:val="21"/>
                      <w:szCs w:val="21"/>
                      <w:highlight w:val="none"/>
                      <w:u w:val="none" w:color="auto"/>
                    </w:rPr>
                  </w:pPr>
                  <w:r>
                    <w:rPr>
                      <w:rFonts w:hint="default" w:ascii="Times New Roman" w:hAnsi="Times New Roman" w:eastAsia="Arial" w:cs="Times New Roman"/>
                      <w:color w:val="auto"/>
                      <w:sz w:val="21"/>
                      <w:szCs w:val="21"/>
                    </w:rPr>
                    <w:t>1.2</w:t>
                  </w:r>
                </w:p>
              </w:tc>
              <w:tc>
                <w:tcPr>
                  <w:tcW w:w="449" w:type="pct"/>
                  <w:shd w:val="clear" w:color="auto" w:fill="auto"/>
                  <w:vAlign w:val="center"/>
                </w:tcPr>
                <w:p w14:paraId="44A8AB11">
                  <w:pPr>
                    <w:adjustRightInd w:val="0"/>
                    <w:snapToGrid w:val="0"/>
                    <w:jc w:val="center"/>
                    <w:rPr>
                      <w:rFonts w:hint="default" w:ascii="Times New Roman" w:hAnsi="Times New Roman" w:eastAsia="宋体" w:cs="Times New Roman"/>
                      <w:bCs/>
                      <w:color w:val="auto"/>
                      <w:kern w:val="2"/>
                      <w:sz w:val="21"/>
                      <w:szCs w:val="21"/>
                      <w:highlight w:val="none"/>
                      <w:u w:val="none" w:color="auto"/>
                      <w:lang w:val="en-US" w:eastAsia="zh-CN" w:bidi="ar-SA"/>
                    </w:rPr>
                  </w:pPr>
                  <w:r>
                    <w:rPr>
                      <w:rFonts w:hint="default" w:ascii="Times New Roman" w:hAnsi="Times New Roman" w:eastAsia="宋体" w:cs="Times New Roman"/>
                      <w:bCs/>
                      <w:color w:val="auto"/>
                      <w:sz w:val="21"/>
                      <w:szCs w:val="21"/>
                      <w:highlight w:val="none"/>
                      <w:u w:val="none" w:color="auto"/>
                    </w:rPr>
                    <w:t>昼间</w:t>
                  </w:r>
                </w:p>
              </w:tc>
              <w:tc>
                <w:tcPr>
                  <w:tcW w:w="514" w:type="pct"/>
                  <w:vAlign w:val="center"/>
                </w:tcPr>
                <w:p w14:paraId="3E58AFDA">
                  <w:pPr>
                    <w:jc w:val="center"/>
                    <w:rPr>
                      <w:rFonts w:hint="default" w:ascii="Times New Roman" w:hAnsi="Times New Roman" w:eastAsia="宋体" w:cs="Times New Roman"/>
                      <w:b w:val="0"/>
                      <w:bCs w:val="0"/>
                      <w:color w:val="auto"/>
                      <w:sz w:val="21"/>
                      <w:szCs w:val="21"/>
                      <w:highlight w:val="none"/>
                      <w:u w:val="none" w:color="auto"/>
                      <w:lang w:val="en-US" w:eastAsia="zh-CN"/>
                    </w:rPr>
                  </w:pPr>
                  <w:r>
                    <w:rPr>
                      <w:rFonts w:hint="eastAsia" w:cs="Times New Roman"/>
                      <w:b w:val="0"/>
                      <w:bCs w:val="0"/>
                      <w:color w:val="auto"/>
                      <w:sz w:val="21"/>
                      <w:szCs w:val="21"/>
                      <w:highlight w:val="none"/>
                      <w:u w:val="none" w:color="auto"/>
                      <w:lang w:val="en-US" w:eastAsia="zh-CN"/>
                    </w:rPr>
                    <w:t>47</w:t>
                  </w:r>
                </w:p>
              </w:tc>
              <w:tc>
                <w:tcPr>
                  <w:tcW w:w="514" w:type="pct"/>
                  <w:vAlign w:val="center"/>
                </w:tcPr>
                <w:p w14:paraId="3D83F41C">
                  <w:pPr>
                    <w:jc w:val="center"/>
                    <w:rPr>
                      <w:rFonts w:hint="default" w:ascii="Times New Roman" w:hAnsi="Times New Roman" w:eastAsia="宋体" w:cs="Times New Roman"/>
                      <w:b w:val="0"/>
                      <w:bCs w:val="0"/>
                      <w:color w:val="auto"/>
                      <w:sz w:val="21"/>
                      <w:szCs w:val="21"/>
                      <w:lang w:val="en-US" w:eastAsia="zh-CN"/>
                    </w:rPr>
                  </w:pPr>
                  <w:r>
                    <w:rPr>
                      <w:rFonts w:hint="eastAsia" w:eastAsia="宋体" w:cs="Times New Roman"/>
                      <w:b w:val="0"/>
                      <w:bCs w:val="0"/>
                      <w:color w:val="auto"/>
                      <w:sz w:val="21"/>
                      <w:szCs w:val="21"/>
                      <w:lang w:val="en-US" w:eastAsia="zh-CN"/>
                    </w:rPr>
                    <w:t>17.5</w:t>
                  </w:r>
                </w:p>
              </w:tc>
              <w:tc>
                <w:tcPr>
                  <w:tcW w:w="516" w:type="pct"/>
                  <w:vAlign w:val="center"/>
                </w:tcPr>
                <w:p w14:paraId="07EC0D41">
                  <w:pPr>
                    <w:jc w:val="center"/>
                    <w:rPr>
                      <w:rFonts w:hint="default" w:ascii="Times New Roman" w:hAnsi="Times New Roman" w:eastAsia="宋体" w:cs="Times New Roman"/>
                      <w:b w:val="0"/>
                      <w:bCs w:val="0"/>
                      <w:color w:val="auto"/>
                      <w:sz w:val="21"/>
                      <w:szCs w:val="21"/>
                      <w:lang w:val="en-US" w:eastAsia="zh-CN"/>
                    </w:rPr>
                  </w:pPr>
                  <w:r>
                    <w:rPr>
                      <w:rFonts w:hint="eastAsia" w:eastAsia="宋体" w:cs="Times New Roman"/>
                      <w:b w:val="0"/>
                      <w:bCs w:val="0"/>
                      <w:color w:val="auto"/>
                      <w:sz w:val="21"/>
                      <w:szCs w:val="21"/>
                      <w:lang w:val="en-US" w:eastAsia="zh-CN"/>
                    </w:rPr>
                    <w:t>47</w:t>
                  </w:r>
                </w:p>
              </w:tc>
              <w:tc>
                <w:tcPr>
                  <w:tcW w:w="721" w:type="pct"/>
                  <w:vAlign w:val="center"/>
                </w:tcPr>
                <w:p w14:paraId="57865203">
                  <w:pPr>
                    <w:jc w:val="center"/>
                    <w:rPr>
                      <w:rFonts w:hint="default" w:ascii="Times New Roman" w:hAnsi="Times New Roman" w:eastAsia="宋体" w:cs="Times New Roman"/>
                      <w:b w:val="0"/>
                      <w:bCs w:val="0"/>
                      <w:color w:val="auto"/>
                      <w:sz w:val="21"/>
                      <w:szCs w:val="21"/>
                      <w:highlight w:val="none"/>
                      <w:u w:val="none" w:color="auto"/>
                    </w:rPr>
                  </w:pPr>
                  <w:r>
                    <w:rPr>
                      <w:rFonts w:hint="default" w:ascii="Times New Roman" w:hAnsi="Times New Roman" w:eastAsia="Arial" w:cs="Times New Roman"/>
                      <w:b w:val="0"/>
                      <w:bCs w:val="0"/>
                      <w:color w:val="auto"/>
                      <w:sz w:val="21"/>
                      <w:szCs w:val="21"/>
                    </w:rPr>
                    <w:t>60</w:t>
                  </w:r>
                </w:p>
              </w:tc>
              <w:tc>
                <w:tcPr>
                  <w:tcW w:w="550" w:type="pct"/>
                  <w:tcBorders>
                    <w:right w:val="single" w:color="auto" w:sz="12" w:space="0"/>
                  </w:tcBorders>
                  <w:vAlign w:val="center"/>
                </w:tcPr>
                <w:p w14:paraId="0D06C014">
                  <w:pPr>
                    <w:adjustRightInd w:val="0"/>
                    <w:snapToGrid w:val="0"/>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lang w:val="en-US" w:eastAsia="zh-CN"/>
                    </w:rPr>
                    <w:t>达标</w:t>
                  </w:r>
                </w:p>
              </w:tc>
            </w:tr>
            <w:tr w14:paraId="76BA6A9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67" w:type="pct"/>
                  <w:vMerge w:val="continue"/>
                  <w:tcBorders>
                    <w:left w:val="single" w:color="auto" w:sz="4" w:space="0"/>
                  </w:tcBorders>
                  <w:vAlign w:val="center"/>
                </w:tcPr>
                <w:p w14:paraId="33368D49">
                  <w:pPr>
                    <w:adjustRightInd w:val="0"/>
                    <w:snapToGrid w:val="0"/>
                    <w:jc w:val="center"/>
                    <w:rPr>
                      <w:rFonts w:hint="default" w:ascii="Times New Roman" w:hAnsi="Times New Roman" w:eastAsia="宋体" w:cs="Times New Roman"/>
                      <w:bCs/>
                      <w:color w:val="auto"/>
                      <w:sz w:val="21"/>
                      <w:szCs w:val="21"/>
                      <w:highlight w:val="none"/>
                      <w:u w:val="none" w:color="auto"/>
                    </w:rPr>
                  </w:pPr>
                </w:p>
              </w:tc>
              <w:tc>
                <w:tcPr>
                  <w:tcW w:w="412" w:type="pct"/>
                  <w:vAlign w:val="center"/>
                </w:tcPr>
                <w:p w14:paraId="71EF4A02">
                  <w:pPr>
                    <w:jc w:val="center"/>
                    <w:rPr>
                      <w:rFonts w:hint="default" w:ascii="Times New Roman" w:hAnsi="Times New Roman" w:eastAsia="宋体" w:cs="Times New Roman"/>
                      <w:b w:val="0"/>
                      <w:bCs w:val="0"/>
                      <w:color w:val="auto"/>
                      <w:sz w:val="21"/>
                      <w:szCs w:val="21"/>
                      <w:highlight w:val="none"/>
                      <w:u w:val="none" w:color="auto"/>
                    </w:rPr>
                  </w:pPr>
                  <w:r>
                    <w:rPr>
                      <w:rFonts w:hint="default" w:ascii="Times New Roman" w:hAnsi="Times New Roman" w:eastAsia="Arial" w:cs="Times New Roman"/>
                      <w:color w:val="auto"/>
                      <w:sz w:val="21"/>
                      <w:szCs w:val="21"/>
                    </w:rPr>
                    <w:t>96.5</w:t>
                  </w:r>
                </w:p>
              </w:tc>
              <w:tc>
                <w:tcPr>
                  <w:tcW w:w="440" w:type="pct"/>
                  <w:vAlign w:val="center"/>
                </w:tcPr>
                <w:p w14:paraId="681C3A08">
                  <w:pPr>
                    <w:jc w:val="center"/>
                    <w:rPr>
                      <w:rFonts w:hint="default" w:ascii="Times New Roman" w:hAnsi="Times New Roman" w:eastAsia="宋体" w:cs="Times New Roman"/>
                      <w:b w:val="0"/>
                      <w:bCs w:val="0"/>
                      <w:color w:val="auto"/>
                      <w:sz w:val="21"/>
                      <w:szCs w:val="21"/>
                      <w:highlight w:val="none"/>
                      <w:u w:val="none" w:color="auto"/>
                    </w:rPr>
                  </w:pPr>
                  <w:r>
                    <w:rPr>
                      <w:rFonts w:hint="default" w:ascii="Times New Roman" w:hAnsi="Times New Roman" w:eastAsia="Arial" w:cs="Times New Roman"/>
                      <w:color w:val="auto"/>
                      <w:sz w:val="21"/>
                      <w:szCs w:val="21"/>
                    </w:rPr>
                    <w:t>-79</w:t>
                  </w:r>
                </w:p>
              </w:tc>
              <w:tc>
                <w:tcPr>
                  <w:tcW w:w="412" w:type="pct"/>
                  <w:vAlign w:val="center"/>
                </w:tcPr>
                <w:p w14:paraId="636FBE27">
                  <w:pPr>
                    <w:jc w:val="center"/>
                    <w:rPr>
                      <w:rFonts w:hint="default" w:ascii="Times New Roman" w:hAnsi="Times New Roman" w:eastAsia="宋体" w:cs="Times New Roman"/>
                      <w:b w:val="0"/>
                      <w:bCs w:val="0"/>
                      <w:color w:val="auto"/>
                      <w:sz w:val="21"/>
                      <w:szCs w:val="21"/>
                      <w:highlight w:val="none"/>
                      <w:u w:val="none" w:color="auto"/>
                    </w:rPr>
                  </w:pPr>
                  <w:r>
                    <w:rPr>
                      <w:rFonts w:hint="default" w:ascii="Times New Roman" w:hAnsi="Times New Roman" w:eastAsia="Arial" w:cs="Times New Roman"/>
                      <w:color w:val="auto"/>
                      <w:sz w:val="21"/>
                      <w:szCs w:val="21"/>
                    </w:rPr>
                    <w:t>1.2</w:t>
                  </w:r>
                </w:p>
              </w:tc>
              <w:tc>
                <w:tcPr>
                  <w:tcW w:w="449" w:type="pct"/>
                  <w:shd w:val="clear" w:color="auto" w:fill="auto"/>
                  <w:vAlign w:val="center"/>
                </w:tcPr>
                <w:p w14:paraId="6F693AC4">
                  <w:pPr>
                    <w:adjustRightInd w:val="0"/>
                    <w:snapToGrid w:val="0"/>
                    <w:jc w:val="center"/>
                    <w:rPr>
                      <w:rFonts w:hint="default" w:ascii="Times New Roman" w:hAnsi="Times New Roman" w:eastAsia="宋体" w:cs="Times New Roman"/>
                      <w:bCs/>
                      <w:color w:val="auto"/>
                      <w:kern w:val="2"/>
                      <w:sz w:val="21"/>
                      <w:szCs w:val="21"/>
                      <w:highlight w:val="none"/>
                      <w:u w:val="none" w:color="auto"/>
                      <w:lang w:val="en-US" w:eastAsia="zh-CN" w:bidi="ar-SA"/>
                    </w:rPr>
                  </w:pPr>
                  <w:r>
                    <w:rPr>
                      <w:rFonts w:hint="default" w:ascii="Times New Roman" w:hAnsi="Times New Roman" w:eastAsia="宋体" w:cs="Times New Roman"/>
                      <w:bCs/>
                      <w:color w:val="auto"/>
                      <w:sz w:val="21"/>
                      <w:szCs w:val="21"/>
                      <w:highlight w:val="none"/>
                      <w:u w:val="none" w:color="auto"/>
                    </w:rPr>
                    <w:t>夜间</w:t>
                  </w:r>
                </w:p>
              </w:tc>
              <w:tc>
                <w:tcPr>
                  <w:tcW w:w="514" w:type="pct"/>
                  <w:vAlign w:val="center"/>
                </w:tcPr>
                <w:p w14:paraId="5D308C4A">
                  <w:pPr>
                    <w:jc w:val="center"/>
                    <w:rPr>
                      <w:rFonts w:hint="default" w:ascii="Times New Roman" w:hAnsi="Times New Roman" w:eastAsia="宋体" w:cs="Times New Roman"/>
                      <w:b w:val="0"/>
                      <w:bCs w:val="0"/>
                      <w:color w:val="auto"/>
                      <w:sz w:val="21"/>
                      <w:szCs w:val="21"/>
                      <w:highlight w:val="none"/>
                      <w:u w:val="none" w:color="auto"/>
                      <w:lang w:val="en-US" w:eastAsia="zh-CN"/>
                    </w:rPr>
                  </w:pPr>
                  <w:r>
                    <w:rPr>
                      <w:rFonts w:hint="eastAsia" w:cs="Times New Roman"/>
                      <w:b w:val="0"/>
                      <w:bCs w:val="0"/>
                      <w:color w:val="auto"/>
                      <w:sz w:val="21"/>
                      <w:szCs w:val="21"/>
                      <w:highlight w:val="none"/>
                      <w:u w:val="none" w:color="auto"/>
                      <w:lang w:val="en-US" w:eastAsia="zh-CN"/>
                    </w:rPr>
                    <w:t>44</w:t>
                  </w:r>
                </w:p>
              </w:tc>
              <w:tc>
                <w:tcPr>
                  <w:tcW w:w="514" w:type="pct"/>
                  <w:vAlign w:val="center"/>
                </w:tcPr>
                <w:p w14:paraId="06497244">
                  <w:pPr>
                    <w:jc w:val="center"/>
                    <w:rPr>
                      <w:rFonts w:hint="default" w:ascii="Times New Roman" w:hAnsi="Times New Roman" w:eastAsia="宋体" w:cs="Times New Roman"/>
                      <w:b w:val="0"/>
                      <w:bCs w:val="0"/>
                      <w:color w:val="auto"/>
                      <w:sz w:val="21"/>
                      <w:szCs w:val="21"/>
                      <w:lang w:val="en-US" w:eastAsia="zh-CN"/>
                    </w:rPr>
                  </w:pPr>
                  <w:r>
                    <w:rPr>
                      <w:rFonts w:hint="eastAsia" w:eastAsia="宋体" w:cs="Times New Roman"/>
                      <w:b w:val="0"/>
                      <w:bCs w:val="0"/>
                      <w:color w:val="auto"/>
                      <w:sz w:val="21"/>
                      <w:szCs w:val="21"/>
                      <w:lang w:val="en-US" w:eastAsia="zh-CN"/>
                    </w:rPr>
                    <w:t>17.5</w:t>
                  </w:r>
                </w:p>
              </w:tc>
              <w:tc>
                <w:tcPr>
                  <w:tcW w:w="516" w:type="pct"/>
                  <w:vAlign w:val="center"/>
                </w:tcPr>
                <w:p w14:paraId="0920EF50">
                  <w:pPr>
                    <w:jc w:val="center"/>
                    <w:rPr>
                      <w:rFonts w:hint="default" w:ascii="Times New Roman" w:hAnsi="Times New Roman" w:eastAsia="宋体" w:cs="Times New Roman"/>
                      <w:b w:val="0"/>
                      <w:bCs w:val="0"/>
                      <w:color w:val="auto"/>
                      <w:sz w:val="21"/>
                      <w:szCs w:val="21"/>
                      <w:lang w:val="en-US" w:eastAsia="zh-CN"/>
                    </w:rPr>
                  </w:pPr>
                  <w:r>
                    <w:rPr>
                      <w:rFonts w:hint="eastAsia" w:eastAsia="宋体" w:cs="Times New Roman"/>
                      <w:b w:val="0"/>
                      <w:bCs w:val="0"/>
                      <w:color w:val="auto"/>
                      <w:sz w:val="21"/>
                      <w:szCs w:val="21"/>
                      <w:lang w:val="en-US" w:eastAsia="zh-CN"/>
                    </w:rPr>
                    <w:t>44</w:t>
                  </w:r>
                </w:p>
              </w:tc>
              <w:tc>
                <w:tcPr>
                  <w:tcW w:w="721" w:type="pct"/>
                  <w:vAlign w:val="center"/>
                </w:tcPr>
                <w:p w14:paraId="16F655E5">
                  <w:pPr>
                    <w:jc w:val="center"/>
                    <w:rPr>
                      <w:rFonts w:hint="default" w:ascii="Times New Roman" w:hAnsi="Times New Roman" w:eastAsia="宋体" w:cs="Times New Roman"/>
                      <w:b w:val="0"/>
                      <w:bCs w:val="0"/>
                      <w:color w:val="auto"/>
                      <w:sz w:val="21"/>
                      <w:szCs w:val="21"/>
                      <w:highlight w:val="none"/>
                      <w:u w:val="none" w:color="auto"/>
                    </w:rPr>
                  </w:pPr>
                  <w:r>
                    <w:rPr>
                      <w:rFonts w:hint="default" w:ascii="Times New Roman" w:hAnsi="Times New Roman" w:eastAsia="Arial" w:cs="Times New Roman"/>
                      <w:b w:val="0"/>
                      <w:bCs w:val="0"/>
                      <w:color w:val="auto"/>
                      <w:sz w:val="21"/>
                      <w:szCs w:val="21"/>
                    </w:rPr>
                    <w:t>50</w:t>
                  </w:r>
                </w:p>
              </w:tc>
              <w:tc>
                <w:tcPr>
                  <w:tcW w:w="550" w:type="pct"/>
                  <w:tcBorders>
                    <w:right w:val="single" w:color="auto" w:sz="12" w:space="0"/>
                  </w:tcBorders>
                  <w:vAlign w:val="center"/>
                </w:tcPr>
                <w:p w14:paraId="294D72B3">
                  <w:pPr>
                    <w:adjustRightInd w:val="0"/>
                    <w:snapToGrid w:val="0"/>
                    <w:jc w:val="center"/>
                    <w:rPr>
                      <w:rFonts w:hint="default" w:ascii="Times New Roman" w:hAnsi="Times New Roman" w:eastAsia="宋体" w:cs="Times New Roman"/>
                      <w:bCs/>
                      <w:color w:val="auto"/>
                      <w:sz w:val="21"/>
                      <w:szCs w:val="21"/>
                      <w:highlight w:val="none"/>
                      <w:u w:val="none" w:color="auto"/>
                    </w:rPr>
                  </w:pPr>
                  <w:r>
                    <w:rPr>
                      <w:rFonts w:hint="default" w:ascii="Times New Roman" w:hAnsi="Times New Roman" w:eastAsia="宋体" w:cs="Times New Roman"/>
                      <w:bCs/>
                      <w:color w:val="auto"/>
                      <w:sz w:val="21"/>
                      <w:szCs w:val="21"/>
                      <w:highlight w:val="none"/>
                      <w:u w:val="none" w:color="auto"/>
                      <w:lang w:val="en-US" w:eastAsia="zh-CN"/>
                    </w:rPr>
                    <w:t>达标</w:t>
                  </w:r>
                </w:p>
              </w:tc>
            </w:tr>
          </w:tbl>
          <w:p w14:paraId="11FA523F">
            <w:pPr>
              <w:spacing w:line="360" w:lineRule="auto"/>
              <w:ind w:firstLine="480" w:firstLineChars="200"/>
              <w:rPr>
                <w:rStyle w:val="70"/>
                <w:rFonts w:hint="default" w:ascii="Times New Roman" w:hAnsi="Times New Roman" w:eastAsia="宋体" w:cs="Times New Roman"/>
                <w:b w:val="0"/>
                <w:bCs w:val="0"/>
                <w:color w:val="auto"/>
                <w:sz w:val="24"/>
                <w:szCs w:val="24"/>
                <w:highlight w:val="none"/>
                <w:u w:val="none" w:color="auto"/>
              </w:rPr>
            </w:pPr>
            <w:r>
              <w:rPr>
                <w:rFonts w:hint="default" w:ascii="Times New Roman" w:hAnsi="Times New Roman" w:eastAsia="宋体" w:cs="Times New Roman"/>
                <w:color w:val="auto"/>
                <w:highlight w:val="none"/>
                <w:u w:val="none" w:color="auto"/>
              </w:rPr>
              <w:t>由上述预测结果表明，通过优化工程总平面布置，采取选用低噪设备、合理布置噪声源、厂房隔声降噪，并对高产噪设备采取减振、隔声及距离衰减后，项目厂界噪声能够满足《工业企业厂界环境噪声排放标准》（GB12348-2008）</w:t>
            </w:r>
            <w:r>
              <w:rPr>
                <w:rFonts w:hint="eastAsia" w:cs="Times New Roman"/>
                <w:color w:val="auto"/>
                <w:highlight w:val="none"/>
                <w:u w:val="none" w:color="auto"/>
                <w:lang w:val="en-US" w:eastAsia="zh-CN"/>
              </w:rPr>
              <w:t>2</w:t>
            </w:r>
            <w:r>
              <w:rPr>
                <w:rFonts w:hint="default" w:ascii="Times New Roman" w:hAnsi="Times New Roman" w:eastAsia="宋体" w:cs="Times New Roman"/>
                <w:color w:val="auto"/>
                <w:highlight w:val="none"/>
                <w:u w:val="none" w:color="auto"/>
              </w:rPr>
              <w:t>类标准，</w:t>
            </w:r>
            <w:r>
              <w:rPr>
                <w:rFonts w:hint="eastAsia" w:cs="Times New Roman"/>
                <w:color w:val="auto"/>
                <w:highlight w:val="none"/>
                <w:u w:val="none" w:color="auto"/>
                <w:lang w:eastAsia="zh-CN"/>
              </w:rPr>
              <w:t>村委会噪声能满足《声环境质量标准》（</w:t>
            </w:r>
            <w:r>
              <w:rPr>
                <w:rFonts w:hint="eastAsia" w:cs="Times New Roman"/>
                <w:color w:val="auto"/>
                <w:highlight w:val="none"/>
                <w:u w:val="none" w:color="auto"/>
                <w:lang w:val="en-US" w:eastAsia="zh-CN"/>
              </w:rPr>
              <w:t>GB3096-2008</w:t>
            </w:r>
            <w:r>
              <w:rPr>
                <w:rFonts w:hint="eastAsia" w:cs="Times New Roman"/>
                <w:color w:val="auto"/>
                <w:highlight w:val="none"/>
                <w:u w:val="none" w:color="auto"/>
                <w:lang w:eastAsia="zh-CN"/>
              </w:rPr>
              <w:t>）</w:t>
            </w:r>
            <w:r>
              <w:rPr>
                <w:rFonts w:hint="eastAsia" w:cs="Times New Roman"/>
                <w:color w:val="auto"/>
                <w:highlight w:val="none"/>
                <w:u w:val="none" w:color="auto"/>
                <w:lang w:val="en-US" w:eastAsia="zh-CN"/>
              </w:rPr>
              <w:t>2类标准，</w:t>
            </w:r>
            <w:r>
              <w:rPr>
                <w:rFonts w:hint="default" w:ascii="Times New Roman" w:hAnsi="Times New Roman" w:eastAsia="宋体" w:cs="Times New Roman"/>
                <w:color w:val="auto"/>
                <w:highlight w:val="none"/>
                <w:u w:val="none" w:color="auto"/>
              </w:rPr>
              <w:t>项目噪声对外界环境影响较小</w:t>
            </w:r>
            <w:r>
              <w:rPr>
                <w:rStyle w:val="70"/>
                <w:rFonts w:hint="default" w:ascii="Times New Roman" w:hAnsi="Times New Roman" w:eastAsia="宋体" w:cs="Times New Roman"/>
                <w:b w:val="0"/>
                <w:bCs w:val="0"/>
                <w:color w:val="auto"/>
                <w:sz w:val="24"/>
                <w:szCs w:val="24"/>
                <w:highlight w:val="none"/>
                <w:u w:val="none" w:color="auto"/>
              </w:rPr>
              <w:t>。</w:t>
            </w:r>
          </w:p>
          <w:p w14:paraId="55B8023C">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Style w:val="70"/>
                <w:rFonts w:hint="default" w:ascii="Times New Roman" w:hAnsi="Times New Roman" w:eastAsia="宋体" w:cs="Times New Roman"/>
                <w:bCs w:val="0"/>
                <w:color w:val="auto"/>
                <w:sz w:val="24"/>
                <w:szCs w:val="24"/>
                <w:highlight w:val="none"/>
                <w:u w:val="none" w:color="auto"/>
              </w:rPr>
            </w:pPr>
            <w:r>
              <w:rPr>
                <w:rStyle w:val="70"/>
                <w:rFonts w:hint="default" w:ascii="Times New Roman" w:hAnsi="Times New Roman" w:eastAsia="宋体" w:cs="Times New Roman"/>
                <w:bCs w:val="0"/>
                <w:color w:val="auto"/>
                <w:sz w:val="24"/>
                <w:szCs w:val="24"/>
                <w:highlight w:val="none"/>
                <w:u w:val="none" w:color="auto"/>
              </w:rPr>
              <w:t>四、固体废物</w:t>
            </w:r>
          </w:p>
          <w:p w14:paraId="2B6FE34F">
            <w:pPr>
              <w:keepNext w:val="0"/>
              <w:keepLines w:val="0"/>
              <w:pageBreakBefore w:val="0"/>
              <w:widowControl w:val="0"/>
              <w:kinsoku/>
              <w:wordWrap/>
              <w:overflowPunct/>
              <w:topLinePunct w:val="0"/>
              <w:autoSpaceDE/>
              <w:autoSpaceDN/>
              <w:bidi w:val="0"/>
              <w:adjustRightInd/>
              <w:snapToGrid w:val="0"/>
              <w:spacing w:line="360" w:lineRule="auto"/>
              <w:ind w:firstLine="482" w:firstLineChars="200"/>
              <w:textAlignment w:val="auto"/>
              <w:rPr>
                <w:rStyle w:val="70"/>
                <w:rFonts w:hint="default" w:ascii="Times New Roman" w:hAnsi="Times New Roman" w:eastAsia="宋体" w:cs="Times New Roman"/>
                <w:bCs w:val="0"/>
                <w:color w:val="auto"/>
                <w:sz w:val="24"/>
                <w:szCs w:val="24"/>
                <w:highlight w:val="none"/>
                <w:u w:val="none" w:color="auto"/>
              </w:rPr>
            </w:pPr>
            <w:bookmarkStart w:id="13" w:name="OLE_LINK7"/>
            <w:r>
              <w:rPr>
                <w:rStyle w:val="70"/>
                <w:rFonts w:hint="default" w:ascii="Times New Roman" w:hAnsi="Times New Roman" w:eastAsia="宋体" w:cs="Times New Roman"/>
                <w:bCs w:val="0"/>
                <w:color w:val="auto"/>
                <w:sz w:val="24"/>
                <w:szCs w:val="24"/>
                <w:highlight w:val="none"/>
                <w:u w:val="none" w:color="auto"/>
              </w:rPr>
              <w:t>1、固体废物产生情况</w:t>
            </w:r>
          </w:p>
          <w:p w14:paraId="5BDF39E0">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Style w:val="70"/>
                <w:rFonts w:hint="default" w:ascii="Times New Roman" w:hAnsi="Times New Roman" w:eastAsia="宋体" w:cs="Times New Roman"/>
                <w:b w:val="0"/>
                <w:color w:val="auto"/>
                <w:sz w:val="24"/>
                <w:szCs w:val="24"/>
                <w:highlight w:val="none"/>
                <w:u w:val="none" w:color="auto"/>
              </w:rPr>
            </w:pPr>
            <w:r>
              <w:rPr>
                <w:rFonts w:hint="default" w:ascii="Times New Roman" w:hAnsi="Times New Roman" w:eastAsia="宋体" w:cs="Times New Roman"/>
                <w:bCs/>
                <w:color w:val="auto"/>
                <w:highlight w:val="none"/>
                <w:u w:val="none" w:color="auto"/>
              </w:rPr>
              <w:t>本项目营运过程中，产生的固体废物</w:t>
            </w:r>
            <w:r>
              <w:rPr>
                <w:rFonts w:hint="eastAsia" w:cs="Times New Roman"/>
                <w:bCs/>
                <w:color w:val="auto"/>
                <w:highlight w:val="none"/>
                <w:u w:val="none" w:color="auto"/>
                <w:lang w:eastAsia="zh-CN"/>
              </w:rPr>
              <w:t>主要有坏豆和沉渣、废包装材料、不合格产品、废弃食用油脂、污水处理污泥、废滤芯</w:t>
            </w:r>
            <w:r>
              <w:rPr>
                <w:rFonts w:hint="default" w:ascii="Times New Roman" w:hAnsi="Times New Roman" w:eastAsia="宋体" w:cs="Times New Roman"/>
                <w:bCs/>
                <w:color w:val="auto"/>
                <w:highlight w:val="none"/>
                <w:u w:val="none" w:color="auto"/>
                <w:lang w:val="en-US" w:eastAsia="zh-CN"/>
              </w:rPr>
              <w:t>及生活垃圾</w:t>
            </w:r>
            <w:r>
              <w:rPr>
                <w:rFonts w:hint="default" w:ascii="Times New Roman" w:hAnsi="Times New Roman" w:eastAsia="宋体" w:cs="Times New Roman"/>
                <w:bCs/>
                <w:color w:val="auto"/>
                <w:highlight w:val="none"/>
                <w:u w:val="none" w:color="auto"/>
              </w:rPr>
              <w:t>。</w:t>
            </w:r>
          </w:p>
          <w:p w14:paraId="48063825">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eastAsia="宋体" w:cs="Times New Roman"/>
                <w:color w:val="auto"/>
                <w:highlight w:val="none"/>
                <w:u w:val="none" w:color="auto"/>
                <w:lang w:eastAsia="zh-CN"/>
              </w:rPr>
            </w:pPr>
            <w:r>
              <w:rPr>
                <w:rFonts w:hint="eastAsia" w:cs="Times New Roman"/>
                <w:color w:val="auto"/>
                <w:highlight w:val="none"/>
                <w:u w:val="none" w:color="auto"/>
                <w:lang w:eastAsia="zh-CN"/>
              </w:rPr>
              <w:t>（</w:t>
            </w:r>
            <w:r>
              <w:rPr>
                <w:rFonts w:hint="eastAsia" w:cs="Times New Roman"/>
                <w:color w:val="auto"/>
                <w:highlight w:val="none"/>
                <w:u w:val="none" w:color="auto"/>
                <w:lang w:val="en-US" w:eastAsia="zh-CN"/>
              </w:rPr>
              <w:t>1</w:t>
            </w:r>
            <w:r>
              <w:rPr>
                <w:rFonts w:hint="eastAsia" w:cs="Times New Roman"/>
                <w:color w:val="auto"/>
                <w:highlight w:val="none"/>
                <w:u w:val="none" w:color="auto"/>
                <w:lang w:eastAsia="zh-CN"/>
              </w:rPr>
              <w:t>）坏豆和沉渣</w:t>
            </w:r>
          </w:p>
          <w:p w14:paraId="35EAD08A">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highlight w:val="none"/>
                <w:u w:val="none" w:color="auto"/>
                <w:lang w:val="en-US" w:eastAsia="zh-CN"/>
              </w:rPr>
            </w:pPr>
            <w:r>
              <w:rPr>
                <w:rFonts w:hint="eastAsia" w:cs="Times New Roman"/>
                <w:color w:val="auto"/>
                <w:highlight w:val="none"/>
                <w:u w:val="none" w:color="auto"/>
                <w:lang w:eastAsia="zh-CN"/>
              </w:rPr>
              <w:t>本项目豆制品使用的大豆由供应商精选后的优质大豆，在浸泡、清洗过程中有部分坏豆、沉渣等杂质产生，产生量约为原料用量的</w:t>
            </w:r>
            <w:r>
              <w:rPr>
                <w:rFonts w:hint="eastAsia" w:cs="Times New Roman"/>
                <w:color w:val="auto"/>
                <w:highlight w:val="none"/>
                <w:u w:val="none" w:color="auto"/>
                <w:lang w:val="en-US" w:eastAsia="zh-CN"/>
              </w:rPr>
              <w:t>0.05%，本项目年用大豆1750t，则坏豆、沉渣产生量为0.875t/a，收集后交由环卫部门统一清运。</w:t>
            </w:r>
          </w:p>
          <w:p w14:paraId="1C1C1785">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eastAsia="宋体" w:cs="Times New Roman"/>
                <w:color w:val="auto"/>
                <w:highlight w:val="none"/>
                <w:u w:val="none" w:color="auto"/>
                <w:lang w:eastAsia="zh-CN"/>
              </w:rPr>
            </w:pPr>
            <w:r>
              <w:rPr>
                <w:rFonts w:hint="eastAsia" w:cs="Times New Roman"/>
                <w:color w:val="auto"/>
                <w:highlight w:val="none"/>
                <w:u w:val="none" w:color="auto"/>
                <w:lang w:eastAsia="zh-CN"/>
              </w:rPr>
              <w:t>（</w:t>
            </w:r>
            <w:r>
              <w:rPr>
                <w:rFonts w:hint="eastAsia" w:cs="Times New Roman"/>
                <w:color w:val="auto"/>
                <w:highlight w:val="none"/>
                <w:u w:val="none" w:color="auto"/>
                <w:lang w:val="en-US" w:eastAsia="zh-CN"/>
              </w:rPr>
              <w:t>2</w:t>
            </w:r>
            <w:r>
              <w:rPr>
                <w:rFonts w:hint="eastAsia" w:cs="Times New Roman"/>
                <w:color w:val="auto"/>
                <w:highlight w:val="none"/>
                <w:u w:val="none" w:color="auto"/>
                <w:lang w:eastAsia="zh-CN"/>
              </w:rPr>
              <w:t>）豆渣</w:t>
            </w:r>
          </w:p>
          <w:p w14:paraId="7D8382CA">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rPr>
              <w:t>本项目豆制品生产过滤工序会渣，依据《豆制品加工技术》(赵良忠，尹乐斌著)，豆渣产生量为干豆量的1.5倍，本项目干豆年用量为</w:t>
            </w:r>
            <w:r>
              <w:rPr>
                <w:rFonts w:hint="eastAsia" w:cs="Times New Roman"/>
                <w:color w:val="auto"/>
                <w:highlight w:val="none"/>
                <w:u w:val="none" w:color="auto"/>
                <w:lang w:val="en-US" w:eastAsia="zh-CN"/>
              </w:rPr>
              <w:t>1750t，则豆渣产生量为2625t/a，豆渣含水率约80%。收集后存放在一般固废暂存间，做到日清日常，减少存放产生的异味。外售给养殖场作为饲料综合利用。</w:t>
            </w:r>
          </w:p>
          <w:p w14:paraId="69B16F29">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eastAsia="宋体" w:cs="Times New Roman"/>
                <w:color w:val="auto"/>
                <w:highlight w:val="none"/>
                <w:u w:val="none" w:color="auto"/>
                <w:lang w:eastAsia="zh-CN"/>
              </w:rPr>
            </w:pPr>
            <w:r>
              <w:rPr>
                <w:rFonts w:hint="eastAsia" w:cs="Times New Roman"/>
                <w:color w:val="auto"/>
                <w:highlight w:val="none"/>
                <w:u w:val="none" w:color="auto"/>
                <w:lang w:eastAsia="zh-CN"/>
              </w:rPr>
              <w:t>（</w:t>
            </w:r>
            <w:r>
              <w:rPr>
                <w:rFonts w:hint="eastAsia" w:cs="Times New Roman"/>
                <w:color w:val="auto"/>
                <w:highlight w:val="none"/>
                <w:u w:val="none" w:color="auto"/>
                <w:lang w:val="en-US" w:eastAsia="zh-CN"/>
              </w:rPr>
              <w:t>3</w:t>
            </w:r>
            <w:r>
              <w:rPr>
                <w:rFonts w:hint="eastAsia" w:cs="Times New Roman"/>
                <w:color w:val="auto"/>
                <w:highlight w:val="none"/>
                <w:u w:val="none" w:color="auto"/>
                <w:lang w:eastAsia="zh-CN"/>
              </w:rPr>
              <w:t>）废边角料及不合格产品</w:t>
            </w:r>
          </w:p>
          <w:p w14:paraId="140FFEA5">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highlight w:val="none"/>
                <w:u w:val="none" w:color="auto"/>
                <w:lang w:val="en-US" w:eastAsia="zh-CN"/>
              </w:rPr>
            </w:pPr>
            <w:r>
              <w:rPr>
                <w:rFonts w:hint="eastAsia" w:cs="Times New Roman"/>
                <w:color w:val="auto"/>
                <w:highlight w:val="none"/>
                <w:u w:val="none" w:color="auto"/>
                <w:lang w:eastAsia="zh-CN"/>
              </w:rPr>
              <w:t>本项目豆制品在凝固成型过程中，会产生少量边角料或不合格产品，产生量约占成品的</w:t>
            </w:r>
            <w:r>
              <w:rPr>
                <w:rFonts w:hint="eastAsia" w:cs="Times New Roman"/>
                <w:color w:val="auto"/>
                <w:highlight w:val="none"/>
                <w:u w:val="none" w:color="auto"/>
                <w:lang w:val="en-US" w:eastAsia="zh-CN"/>
              </w:rPr>
              <w:t>0.05%，本项目年产豆制品3000t，则本项目豆制品生产废边角料及不合格产品的产生量为1.5t/a。肉制品生产在原料清洗、机器搅拌等会产生少量的废食物渣及不合格产品，产生量约为产量的0.05%，则本项目肉制品产生的食物残渣及不合格产品产生量为1.25t/a。本项目为食品加工行业，产生的边角料及不合格产品收集后暂存于一般固废暂存间，日产日清，外售给养殖场做饲料综合利用。</w:t>
            </w:r>
          </w:p>
          <w:p w14:paraId="1A028B9F">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eastAsia="宋体" w:cs="Times New Roman"/>
                <w:color w:val="auto"/>
                <w:highlight w:val="none"/>
                <w:u w:val="none" w:color="auto"/>
                <w:lang w:eastAsia="zh-CN"/>
              </w:rPr>
            </w:pPr>
            <w:r>
              <w:rPr>
                <w:rFonts w:hint="eastAsia" w:cs="Times New Roman"/>
                <w:color w:val="auto"/>
                <w:highlight w:val="none"/>
                <w:u w:val="none" w:color="auto"/>
                <w:lang w:eastAsia="zh-CN"/>
              </w:rPr>
              <w:t>（</w:t>
            </w:r>
            <w:r>
              <w:rPr>
                <w:rFonts w:hint="eastAsia" w:cs="Times New Roman"/>
                <w:color w:val="auto"/>
                <w:highlight w:val="none"/>
                <w:u w:val="none" w:color="auto"/>
                <w:lang w:val="en-US" w:eastAsia="zh-CN"/>
              </w:rPr>
              <w:t>4</w:t>
            </w:r>
            <w:r>
              <w:rPr>
                <w:rFonts w:hint="eastAsia" w:cs="Times New Roman"/>
                <w:color w:val="auto"/>
                <w:highlight w:val="none"/>
                <w:u w:val="none" w:color="auto"/>
                <w:lang w:eastAsia="zh-CN"/>
              </w:rPr>
              <w:t>）废弃食用油脂</w:t>
            </w:r>
          </w:p>
          <w:p w14:paraId="1FFAB0BA">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highlight w:val="none"/>
                <w:u w:val="none" w:color="auto"/>
                <w:lang w:val="en-US" w:eastAsia="zh-CN"/>
              </w:rPr>
            </w:pPr>
            <w:r>
              <w:rPr>
                <w:rFonts w:hint="eastAsia" w:cs="Times New Roman"/>
                <w:color w:val="auto"/>
                <w:highlight w:val="none"/>
                <w:u w:val="none" w:color="auto"/>
                <w:lang w:eastAsia="zh-CN"/>
              </w:rPr>
              <w:t>项目废弃食用油脂主要为虎皮豆腐油炸时更换的废食用油及油烟净化装置定期清理出来的废弃食用油脂。油炸工序废食用油的产生量占食用油量的</w:t>
            </w:r>
            <w:r>
              <w:rPr>
                <w:rFonts w:hint="eastAsia" w:cs="Times New Roman"/>
                <w:color w:val="auto"/>
                <w:highlight w:val="none"/>
                <w:u w:val="none" w:color="auto"/>
                <w:lang w:val="en-US" w:eastAsia="zh-CN"/>
              </w:rPr>
              <w:t>80%，食用油年用量为35t，则油炸工序废弃食用油脂产生量为28t，根据废气源强分析，静电除油装置收集的油烟量约为0.061t/a，故本项目废弃食用油脂合计产生量约为28.061t/a，根据《固体废物分类与代码目录》（2024年），食品加工产生的废弃食用油脂属于一般固废，废物代码为900-002-S61，收集后交由专门的废弃食用油回收公司处理。</w:t>
            </w:r>
          </w:p>
          <w:p w14:paraId="04F62BC2">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eastAsia="宋体" w:cs="Times New Roman"/>
                <w:color w:val="auto"/>
                <w:highlight w:val="none"/>
                <w:u w:val="none" w:color="auto"/>
                <w:lang w:eastAsia="zh-CN"/>
              </w:rPr>
            </w:pPr>
            <w:r>
              <w:rPr>
                <w:rFonts w:hint="eastAsia" w:cs="Times New Roman"/>
                <w:color w:val="auto"/>
                <w:highlight w:val="none"/>
                <w:u w:val="none" w:color="auto"/>
                <w:lang w:eastAsia="zh-CN"/>
              </w:rPr>
              <w:t>（</w:t>
            </w:r>
            <w:r>
              <w:rPr>
                <w:rFonts w:hint="eastAsia" w:cs="Times New Roman"/>
                <w:color w:val="auto"/>
                <w:highlight w:val="none"/>
                <w:u w:val="none" w:color="auto"/>
                <w:lang w:val="en-US" w:eastAsia="zh-CN"/>
              </w:rPr>
              <w:t>5</w:t>
            </w:r>
            <w:r>
              <w:rPr>
                <w:rFonts w:hint="eastAsia" w:cs="Times New Roman"/>
                <w:color w:val="auto"/>
                <w:highlight w:val="none"/>
                <w:u w:val="none" w:color="auto"/>
                <w:lang w:eastAsia="zh-CN"/>
              </w:rPr>
              <w:t>）废包装材料</w:t>
            </w:r>
          </w:p>
          <w:p w14:paraId="3FE190BC">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highlight w:val="none"/>
                <w:u w:val="none" w:color="auto"/>
                <w:lang w:val="en-US" w:eastAsia="zh-CN"/>
              </w:rPr>
            </w:pPr>
            <w:r>
              <w:rPr>
                <w:rFonts w:hint="eastAsia" w:cs="Times New Roman"/>
                <w:color w:val="auto"/>
                <w:highlight w:val="none"/>
                <w:u w:val="none" w:color="auto"/>
                <w:lang w:eastAsia="zh-CN"/>
              </w:rPr>
              <w:t>原材料在拆封及成品包装时会产生一定废包装材料，产生量约为</w:t>
            </w:r>
            <w:r>
              <w:rPr>
                <w:rFonts w:hint="eastAsia" w:cs="Times New Roman"/>
                <w:color w:val="auto"/>
                <w:highlight w:val="none"/>
                <w:u w:val="none" w:color="auto"/>
                <w:lang w:val="en-US" w:eastAsia="zh-CN"/>
              </w:rPr>
              <w:t>2t/a。收集后可回收利用的外售资源回收部门，不能利用的交由环卫部门统一清运。</w:t>
            </w:r>
          </w:p>
          <w:p w14:paraId="457A99BF">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eastAsia="宋体" w:cs="Times New Roman"/>
                <w:color w:val="auto"/>
                <w:highlight w:val="none"/>
                <w:u w:val="none" w:color="auto"/>
                <w:lang w:eastAsia="zh-CN"/>
              </w:rPr>
            </w:pPr>
            <w:r>
              <w:rPr>
                <w:rFonts w:hint="eastAsia" w:cs="Times New Roman"/>
                <w:color w:val="auto"/>
                <w:highlight w:val="none"/>
                <w:u w:val="none" w:color="auto"/>
                <w:lang w:eastAsia="zh-CN"/>
              </w:rPr>
              <w:t>（</w:t>
            </w:r>
            <w:r>
              <w:rPr>
                <w:rFonts w:hint="eastAsia" w:cs="Times New Roman"/>
                <w:color w:val="auto"/>
                <w:highlight w:val="none"/>
                <w:u w:val="none" w:color="auto"/>
                <w:lang w:val="en-US" w:eastAsia="zh-CN"/>
              </w:rPr>
              <w:t>6</w:t>
            </w:r>
            <w:r>
              <w:rPr>
                <w:rFonts w:hint="eastAsia" w:cs="Times New Roman"/>
                <w:color w:val="auto"/>
                <w:highlight w:val="none"/>
                <w:u w:val="none" w:color="auto"/>
                <w:lang w:eastAsia="zh-CN"/>
              </w:rPr>
              <w:t>）污水处理污泥</w:t>
            </w:r>
          </w:p>
          <w:p w14:paraId="33CF393D">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cs="Times New Roman"/>
                <w:color w:val="auto"/>
                <w:highlight w:val="none"/>
                <w:u w:val="none" w:color="auto"/>
                <w:lang w:val="en-US" w:eastAsia="zh-CN"/>
              </w:rPr>
            </w:pPr>
            <w:r>
              <w:rPr>
                <w:rFonts w:hint="eastAsia" w:cs="Times New Roman"/>
                <w:color w:val="auto"/>
                <w:highlight w:val="none"/>
                <w:u w:val="none" w:color="auto"/>
                <w:lang w:val="en-US" w:eastAsia="zh-CN"/>
              </w:rPr>
              <w:t>生产废水处理设施产生的污泥每隔一段时间就要清理，污泥产生量参考《集中式污染治理设施产排污系数手册》（环境保护部华南环境科学研究所，2010年修订）中表3城镇污水处理厂和工业废水集中处理设施的化学污泥产生系数，取含水75%污泥产生系数为4.53t/万t-废水处理量，项目生产废水量为21614.4t/a，则废水处理设施产生的污泥约9.78t/a。本项目为食品加工行业，产生的污泥为一般固废，有机物含量较高，可交由环卫部门处置。</w:t>
            </w:r>
          </w:p>
          <w:p w14:paraId="3F846C8B">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eastAsia="宋体" w:cs="Times New Roman"/>
                <w:color w:val="auto"/>
                <w:highlight w:val="none"/>
                <w:u w:val="none" w:color="auto"/>
                <w:lang w:eastAsia="zh-CN"/>
              </w:rPr>
            </w:pPr>
            <w:r>
              <w:rPr>
                <w:rFonts w:hint="eastAsia" w:cs="Times New Roman"/>
                <w:color w:val="auto"/>
                <w:highlight w:val="none"/>
                <w:u w:val="none" w:color="auto"/>
                <w:lang w:eastAsia="zh-CN"/>
              </w:rPr>
              <w:t>（</w:t>
            </w:r>
            <w:r>
              <w:rPr>
                <w:rFonts w:hint="eastAsia" w:cs="Times New Roman"/>
                <w:color w:val="auto"/>
                <w:highlight w:val="none"/>
                <w:u w:val="none" w:color="auto"/>
                <w:lang w:val="en-US" w:eastAsia="zh-CN"/>
              </w:rPr>
              <w:t>7</w:t>
            </w:r>
            <w:r>
              <w:rPr>
                <w:rFonts w:hint="eastAsia" w:cs="Times New Roman"/>
                <w:color w:val="auto"/>
                <w:highlight w:val="none"/>
                <w:u w:val="none" w:color="auto"/>
                <w:lang w:eastAsia="zh-CN"/>
              </w:rPr>
              <w:t>）生物质蒸汽发生器软水制备废滤芯</w:t>
            </w:r>
          </w:p>
          <w:p w14:paraId="5A02F516">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highlight w:val="none"/>
                <w:u w:val="none" w:color="auto"/>
                <w:lang w:val="en-US" w:eastAsia="zh-CN"/>
              </w:rPr>
            </w:pPr>
            <w:r>
              <w:rPr>
                <w:rFonts w:hint="eastAsia" w:cs="Times New Roman"/>
                <w:color w:val="auto"/>
                <w:highlight w:val="none"/>
                <w:u w:val="none" w:color="auto"/>
                <w:lang w:val="en-US" w:eastAsia="zh-CN"/>
              </w:rPr>
              <w:t>本项目蒸汽发生器软水制备会产生一定量的废滤芯，产生量约为0.01t/a，收集后定期外售物资回收部门综合利用。</w:t>
            </w:r>
          </w:p>
          <w:p w14:paraId="338911A7">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eastAsia="宋体" w:cs="Times New Roman"/>
                <w:color w:val="auto"/>
                <w:highlight w:val="none"/>
                <w:u w:val="none" w:color="auto"/>
                <w:lang w:eastAsia="zh-CN"/>
              </w:rPr>
            </w:pPr>
            <w:r>
              <w:rPr>
                <w:rFonts w:hint="eastAsia" w:cs="Times New Roman"/>
                <w:color w:val="auto"/>
                <w:highlight w:val="none"/>
                <w:u w:val="none" w:color="auto"/>
                <w:lang w:eastAsia="zh-CN"/>
              </w:rPr>
              <w:t>（</w:t>
            </w:r>
            <w:r>
              <w:rPr>
                <w:rFonts w:hint="eastAsia" w:cs="Times New Roman"/>
                <w:color w:val="auto"/>
                <w:highlight w:val="none"/>
                <w:u w:val="none" w:color="auto"/>
                <w:lang w:val="en-US" w:eastAsia="zh-CN"/>
              </w:rPr>
              <w:t>8</w:t>
            </w:r>
            <w:r>
              <w:rPr>
                <w:rFonts w:hint="eastAsia" w:cs="Times New Roman"/>
                <w:color w:val="auto"/>
                <w:highlight w:val="none"/>
                <w:u w:val="none" w:color="auto"/>
                <w:lang w:eastAsia="zh-CN"/>
              </w:rPr>
              <w:t>）生活垃圾</w:t>
            </w:r>
          </w:p>
          <w:p w14:paraId="49199BF7">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cs="Times New Roman"/>
                <w:color w:val="auto"/>
                <w:highlight w:val="none"/>
                <w:u w:val="none" w:color="auto"/>
                <w:lang w:val="en-US" w:eastAsia="zh-CN"/>
              </w:rPr>
            </w:pPr>
            <w:r>
              <w:rPr>
                <w:rFonts w:hint="eastAsia" w:cs="Times New Roman"/>
                <w:color w:val="auto"/>
                <w:highlight w:val="none"/>
                <w:u w:val="none" w:color="auto"/>
                <w:lang w:eastAsia="zh-CN"/>
              </w:rPr>
              <w:t>本项目肉制品生产员工</w:t>
            </w:r>
            <w:r>
              <w:rPr>
                <w:rFonts w:hint="eastAsia" w:cs="Times New Roman"/>
                <w:color w:val="auto"/>
                <w:highlight w:val="none"/>
                <w:u w:val="none" w:color="auto"/>
                <w:lang w:val="en-US" w:eastAsia="zh-CN"/>
              </w:rPr>
              <w:t>65人，年工作280d，生活垃圾产生量按0.5kg/d人计，生活垃圾产量约为9.1t/a，豆制品生产员工65人，年工作350d，生活垃圾产生量按0.5kg/d人计，生活垃圾产量约为11.38t，则本项目生活垃圾产生量为20.48t/a，交由环卫部门统一清运。</w:t>
            </w:r>
          </w:p>
          <w:bookmarkEnd w:id="13"/>
          <w:p w14:paraId="1330DF98">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Times New Roman" w:hAnsi="Times New Roman" w:eastAsia="宋体" w:cs="Times New Roman"/>
                <w:color w:val="auto"/>
                <w:highlight w:val="none"/>
                <w:u w:val="none" w:color="auto"/>
                <w:lang w:eastAsia="zh-CN"/>
              </w:rPr>
            </w:pPr>
            <w:r>
              <w:rPr>
                <w:rFonts w:hint="eastAsia" w:cs="Times New Roman"/>
                <w:color w:val="auto"/>
                <w:highlight w:val="none"/>
                <w:u w:val="none" w:color="auto"/>
                <w:lang w:eastAsia="zh-CN"/>
              </w:rPr>
              <w:t>（</w:t>
            </w:r>
            <w:r>
              <w:rPr>
                <w:rFonts w:hint="eastAsia" w:cs="Times New Roman"/>
                <w:color w:val="auto"/>
                <w:highlight w:val="none"/>
                <w:u w:val="none" w:color="auto"/>
                <w:lang w:val="en-US" w:eastAsia="zh-CN"/>
              </w:rPr>
              <w:t>9</w:t>
            </w:r>
            <w:r>
              <w:rPr>
                <w:rFonts w:hint="eastAsia" w:cs="Times New Roman"/>
                <w:color w:val="auto"/>
                <w:highlight w:val="none"/>
                <w:u w:val="none" w:color="auto"/>
                <w:lang w:eastAsia="zh-CN"/>
              </w:rPr>
              <w:t>）废矿物油</w:t>
            </w:r>
          </w:p>
          <w:p w14:paraId="43D9CACF">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lang w:val="en-US" w:eastAsia="zh-CN"/>
              </w:rPr>
              <w:t>本项目机器维修时产生的废矿物油，产生量约为0.05t/a，</w:t>
            </w:r>
            <w:r>
              <w:rPr>
                <w:rFonts w:hint="default" w:ascii="Times New Roman" w:hAnsi="Times New Roman" w:eastAsia="宋体" w:cs="Times New Roman"/>
                <w:color w:val="auto"/>
                <w:highlight w:val="none"/>
                <w:u w:val="none" w:color="auto"/>
                <w:lang w:eastAsia="zh-CN"/>
              </w:rPr>
              <w:t>废矿物油</w:t>
            </w:r>
            <w:r>
              <w:rPr>
                <w:rFonts w:hint="default" w:ascii="Times New Roman" w:hAnsi="Times New Roman" w:eastAsia="宋体" w:cs="Times New Roman"/>
                <w:color w:val="auto"/>
                <w:highlight w:val="none"/>
                <w:u w:val="none" w:color="auto"/>
              </w:rPr>
              <w:t>属于危险废物，暂存于专门容器内，定期委托有关单位定期处理。根据《国家危险废物名录》（2021年），废矿物油分类编号为HW08废矿物油与含矿物油废物，危废代码900-249-08其他生产、销售、使用过程中产生的废矿物油及沾染矿物油的废弃包装物。</w:t>
            </w:r>
          </w:p>
          <w:p w14:paraId="7C1D08B9">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固体废物的统计及处置情况见表4-</w:t>
            </w:r>
            <w:r>
              <w:rPr>
                <w:rFonts w:hint="default" w:ascii="Times New Roman" w:hAnsi="Times New Roman" w:eastAsia="宋体" w:cs="Times New Roman"/>
                <w:color w:val="auto"/>
                <w:highlight w:val="none"/>
                <w:u w:val="none" w:color="auto"/>
                <w:lang w:val="en-US" w:eastAsia="zh-CN"/>
              </w:rPr>
              <w:t>1</w:t>
            </w:r>
            <w:r>
              <w:rPr>
                <w:rFonts w:hint="eastAsia" w:cs="Times New Roman"/>
                <w:color w:val="auto"/>
                <w:highlight w:val="none"/>
                <w:u w:val="none" w:color="auto"/>
                <w:lang w:val="en-US" w:eastAsia="zh-CN"/>
              </w:rPr>
              <w:t>9</w:t>
            </w:r>
            <w:r>
              <w:rPr>
                <w:rFonts w:hint="default" w:ascii="Times New Roman" w:hAnsi="Times New Roman" w:eastAsia="宋体" w:cs="Times New Roman"/>
                <w:color w:val="auto"/>
                <w:highlight w:val="none"/>
                <w:u w:val="none" w:color="auto"/>
              </w:rPr>
              <w:t>。</w:t>
            </w:r>
          </w:p>
          <w:p w14:paraId="6E95278B">
            <w:pPr>
              <w:pStyle w:val="262"/>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表4-</w:t>
            </w:r>
            <w:r>
              <w:rPr>
                <w:rFonts w:hint="default" w:ascii="Times New Roman" w:hAnsi="Times New Roman" w:eastAsia="宋体" w:cs="Times New Roman"/>
                <w:color w:val="auto"/>
                <w:sz w:val="21"/>
                <w:szCs w:val="21"/>
                <w:highlight w:val="none"/>
                <w:u w:val="none" w:color="auto"/>
                <w:lang w:val="en-US" w:eastAsia="zh-CN"/>
              </w:rPr>
              <w:t>1</w:t>
            </w:r>
            <w:r>
              <w:rPr>
                <w:rFonts w:hint="eastAsia" w:cs="Times New Roman"/>
                <w:color w:val="auto"/>
                <w:sz w:val="21"/>
                <w:szCs w:val="21"/>
                <w:highlight w:val="none"/>
                <w:u w:val="none" w:color="auto"/>
                <w:lang w:val="en-US" w:eastAsia="zh-CN"/>
              </w:rPr>
              <w:t>9</w:t>
            </w:r>
            <w:r>
              <w:rPr>
                <w:rFonts w:hint="default" w:ascii="Times New Roman" w:hAnsi="Times New Roman" w:eastAsia="宋体" w:cs="Times New Roman"/>
                <w:color w:val="auto"/>
                <w:sz w:val="21"/>
                <w:szCs w:val="21"/>
                <w:highlight w:val="none"/>
                <w:u w:val="none" w:color="auto"/>
              </w:rPr>
              <w:t xml:space="preserve"> 项目固废产生处置情况表</w:t>
            </w:r>
          </w:p>
          <w:tbl>
            <w:tblPr>
              <w:tblStyle w:val="42"/>
              <w:tblW w:w="4998"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74"/>
              <w:gridCol w:w="1588"/>
              <w:gridCol w:w="1375"/>
              <w:gridCol w:w="1925"/>
              <w:gridCol w:w="2411"/>
            </w:tblGrid>
            <w:tr w14:paraId="11E96B2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2" w:type="pct"/>
                  <w:tcBorders>
                    <w:tl2br w:val="nil"/>
                    <w:tr2bl w:val="nil"/>
                  </w:tcBorders>
                  <w:vAlign w:val="center"/>
                </w:tcPr>
                <w:p w14:paraId="2E26E74C">
                  <w:pPr>
                    <w:pStyle w:val="103"/>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序号</w:t>
                  </w:r>
                </w:p>
              </w:tc>
              <w:tc>
                <w:tcPr>
                  <w:tcW w:w="995" w:type="pct"/>
                  <w:tcBorders>
                    <w:tl2br w:val="nil"/>
                    <w:tr2bl w:val="nil"/>
                  </w:tcBorders>
                  <w:vAlign w:val="center"/>
                </w:tcPr>
                <w:p w14:paraId="2D4817AE">
                  <w:pPr>
                    <w:pStyle w:val="103"/>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类别</w:t>
                  </w:r>
                </w:p>
              </w:tc>
              <w:tc>
                <w:tcPr>
                  <w:tcW w:w="862" w:type="pct"/>
                  <w:tcBorders>
                    <w:tl2br w:val="nil"/>
                    <w:tr2bl w:val="nil"/>
                  </w:tcBorders>
                  <w:vAlign w:val="center"/>
                </w:tcPr>
                <w:p w14:paraId="1F618FCA">
                  <w:pPr>
                    <w:pStyle w:val="103"/>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rPr>
                    <w:t>产生量（t/a）</w:t>
                  </w:r>
                </w:p>
              </w:tc>
              <w:tc>
                <w:tcPr>
                  <w:tcW w:w="1207" w:type="pct"/>
                  <w:tcBorders>
                    <w:tl2br w:val="nil"/>
                    <w:tr2bl w:val="nil"/>
                  </w:tcBorders>
                  <w:vAlign w:val="center"/>
                </w:tcPr>
                <w:p w14:paraId="4A6DD9AA">
                  <w:pPr>
                    <w:pStyle w:val="103"/>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废物属性</w:t>
                  </w:r>
                </w:p>
              </w:tc>
              <w:tc>
                <w:tcPr>
                  <w:tcW w:w="1511" w:type="pct"/>
                  <w:tcBorders>
                    <w:tl2br w:val="nil"/>
                    <w:tr2bl w:val="nil"/>
                  </w:tcBorders>
                  <w:vAlign w:val="center"/>
                </w:tcPr>
                <w:p w14:paraId="4F51AB5E">
                  <w:pPr>
                    <w:pStyle w:val="103"/>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处理方式</w:t>
                  </w:r>
                </w:p>
              </w:tc>
            </w:tr>
            <w:tr w14:paraId="3B5F98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2" w:type="pct"/>
                  <w:tcBorders>
                    <w:tl2br w:val="nil"/>
                    <w:tr2bl w:val="nil"/>
                  </w:tcBorders>
                  <w:vAlign w:val="center"/>
                </w:tcPr>
                <w:p w14:paraId="49A852AD">
                  <w:pPr>
                    <w:pStyle w:val="103"/>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w:t>
                  </w:r>
                </w:p>
              </w:tc>
              <w:tc>
                <w:tcPr>
                  <w:tcW w:w="995" w:type="pct"/>
                  <w:tcBorders>
                    <w:tl2br w:val="nil"/>
                    <w:tr2bl w:val="nil"/>
                  </w:tcBorders>
                  <w:vAlign w:val="center"/>
                </w:tcPr>
                <w:p w14:paraId="18C9FF25">
                  <w:pPr>
                    <w:pStyle w:val="103"/>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生活垃圾</w:t>
                  </w:r>
                </w:p>
              </w:tc>
              <w:tc>
                <w:tcPr>
                  <w:tcW w:w="862" w:type="pct"/>
                  <w:tcBorders>
                    <w:tl2br w:val="nil"/>
                    <w:tr2bl w:val="nil"/>
                  </w:tcBorders>
                  <w:vAlign w:val="center"/>
                </w:tcPr>
                <w:p w14:paraId="2E994802">
                  <w:pPr>
                    <w:pStyle w:val="103"/>
                    <w:rPr>
                      <w:rFonts w:hint="default" w:ascii="Times New Roman" w:hAnsi="Times New Roman" w:eastAsia="宋体" w:cs="Times New Roman"/>
                      <w:color w:val="auto"/>
                      <w:sz w:val="21"/>
                      <w:szCs w:val="21"/>
                      <w:highlight w:val="none"/>
                      <w:u w:val="none" w:color="auto"/>
                      <w:lang w:val="en-US"/>
                    </w:rPr>
                  </w:pPr>
                  <w:r>
                    <w:rPr>
                      <w:rFonts w:hint="eastAsia" w:cs="Times New Roman"/>
                      <w:color w:val="auto"/>
                      <w:sz w:val="21"/>
                      <w:szCs w:val="21"/>
                      <w:highlight w:val="none"/>
                      <w:u w:val="none" w:color="auto"/>
                      <w:lang w:val="en-US" w:eastAsia="zh-CN"/>
                    </w:rPr>
                    <w:t>20.48</w:t>
                  </w:r>
                </w:p>
              </w:tc>
              <w:tc>
                <w:tcPr>
                  <w:tcW w:w="1207" w:type="pct"/>
                  <w:tcBorders>
                    <w:tl2br w:val="nil"/>
                    <w:tr2bl w:val="nil"/>
                  </w:tcBorders>
                  <w:vAlign w:val="center"/>
                </w:tcPr>
                <w:p w14:paraId="2FABB433">
                  <w:pPr>
                    <w:pStyle w:val="103"/>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一般固废</w:t>
                  </w:r>
                </w:p>
              </w:tc>
              <w:tc>
                <w:tcPr>
                  <w:tcW w:w="1511" w:type="pct"/>
                  <w:vMerge w:val="restart"/>
                  <w:tcBorders>
                    <w:tl2br w:val="nil"/>
                    <w:tr2bl w:val="nil"/>
                  </w:tcBorders>
                  <w:vAlign w:val="center"/>
                </w:tcPr>
                <w:p w14:paraId="17F9B114">
                  <w:pPr>
                    <w:pStyle w:val="103"/>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交由环卫部门处理</w:t>
                  </w:r>
                </w:p>
              </w:tc>
            </w:tr>
            <w:tr w14:paraId="2058637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2" w:type="pct"/>
                  <w:tcBorders>
                    <w:tl2br w:val="nil"/>
                    <w:tr2bl w:val="nil"/>
                  </w:tcBorders>
                  <w:vAlign w:val="center"/>
                </w:tcPr>
                <w:p w14:paraId="3BE0B0AB">
                  <w:pPr>
                    <w:pStyle w:val="103"/>
                    <w:rPr>
                      <w:rFonts w:hint="default" w:ascii="Times New Roman" w:hAnsi="Times New Roman" w:eastAsia="宋体" w:cs="Times New Roman"/>
                      <w:color w:val="auto"/>
                      <w:kern w:val="2"/>
                      <w:sz w:val="21"/>
                      <w:szCs w:val="21"/>
                      <w:highlight w:val="none"/>
                      <w:u w:val="none" w:color="auto"/>
                    </w:rPr>
                  </w:pPr>
                  <w:r>
                    <w:rPr>
                      <w:rFonts w:hint="default" w:ascii="Times New Roman" w:hAnsi="Times New Roman" w:eastAsia="宋体" w:cs="Times New Roman"/>
                      <w:color w:val="auto"/>
                      <w:sz w:val="21"/>
                      <w:szCs w:val="21"/>
                      <w:highlight w:val="none"/>
                      <w:u w:val="none" w:color="auto"/>
                    </w:rPr>
                    <w:t>2</w:t>
                  </w:r>
                </w:p>
              </w:tc>
              <w:tc>
                <w:tcPr>
                  <w:tcW w:w="995" w:type="pct"/>
                  <w:tcBorders>
                    <w:tl2br w:val="nil"/>
                    <w:tr2bl w:val="nil"/>
                  </w:tcBorders>
                  <w:vAlign w:val="center"/>
                </w:tcPr>
                <w:p w14:paraId="6CB11AC2">
                  <w:pPr>
                    <w:pStyle w:val="103"/>
                    <w:rPr>
                      <w:rFonts w:hint="eastAsia" w:ascii="Times New Roman" w:hAnsi="Times New Roman" w:eastAsia="宋体" w:cs="Times New Roman"/>
                      <w:color w:val="auto"/>
                      <w:kern w:val="2"/>
                      <w:sz w:val="21"/>
                      <w:szCs w:val="21"/>
                      <w:highlight w:val="none"/>
                      <w:u w:val="none" w:color="auto"/>
                      <w:lang w:eastAsia="zh-CN"/>
                    </w:rPr>
                  </w:pPr>
                  <w:r>
                    <w:rPr>
                      <w:rFonts w:hint="eastAsia" w:cs="Times New Roman"/>
                      <w:color w:val="auto"/>
                      <w:kern w:val="2"/>
                      <w:sz w:val="21"/>
                      <w:szCs w:val="21"/>
                      <w:highlight w:val="none"/>
                      <w:u w:val="none" w:color="auto"/>
                      <w:lang w:eastAsia="zh-CN"/>
                    </w:rPr>
                    <w:t>坏豆和沉渣</w:t>
                  </w:r>
                </w:p>
              </w:tc>
              <w:tc>
                <w:tcPr>
                  <w:tcW w:w="862" w:type="pct"/>
                  <w:tcBorders>
                    <w:tl2br w:val="nil"/>
                    <w:tr2bl w:val="nil"/>
                  </w:tcBorders>
                  <w:vAlign w:val="center"/>
                </w:tcPr>
                <w:p w14:paraId="0621E4ED">
                  <w:pPr>
                    <w:pStyle w:val="103"/>
                    <w:rPr>
                      <w:rFonts w:hint="default" w:ascii="Times New Roman" w:hAnsi="Times New Roman" w:eastAsia="宋体" w:cs="Times New Roman"/>
                      <w:color w:val="auto"/>
                      <w:kern w:val="2"/>
                      <w:sz w:val="21"/>
                      <w:szCs w:val="21"/>
                      <w:highlight w:val="none"/>
                      <w:u w:val="none" w:color="auto"/>
                      <w:lang w:val="en-US" w:eastAsia="zh-CN"/>
                    </w:rPr>
                  </w:pPr>
                  <w:r>
                    <w:rPr>
                      <w:rFonts w:hint="eastAsia" w:cs="Times New Roman"/>
                      <w:color w:val="auto"/>
                      <w:kern w:val="2"/>
                      <w:sz w:val="21"/>
                      <w:szCs w:val="21"/>
                      <w:highlight w:val="none"/>
                      <w:u w:val="none" w:color="auto"/>
                      <w:lang w:val="en-US" w:eastAsia="zh-CN"/>
                    </w:rPr>
                    <w:t>0.875</w:t>
                  </w:r>
                </w:p>
              </w:tc>
              <w:tc>
                <w:tcPr>
                  <w:tcW w:w="1207" w:type="pct"/>
                  <w:tcBorders>
                    <w:tl2br w:val="nil"/>
                    <w:tr2bl w:val="nil"/>
                  </w:tcBorders>
                  <w:vAlign w:val="center"/>
                </w:tcPr>
                <w:p w14:paraId="7FED5BCF">
                  <w:pPr>
                    <w:pStyle w:val="103"/>
                    <w:rPr>
                      <w:rFonts w:hint="eastAsia" w:ascii="Times New Roman" w:hAnsi="Times New Roman" w:eastAsia="宋体" w:cs="Times New Roman"/>
                      <w:color w:val="auto"/>
                      <w:kern w:val="2"/>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rPr>
                    <w:t>一般固废，编号为900-0</w:t>
                  </w:r>
                  <w:r>
                    <w:rPr>
                      <w:rFonts w:hint="eastAsia" w:cs="Times New Roman"/>
                      <w:color w:val="auto"/>
                      <w:sz w:val="21"/>
                      <w:szCs w:val="21"/>
                      <w:highlight w:val="none"/>
                      <w:u w:val="none" w:color="auto"/>
                      <w:lang w:val="en-US" w:eastAsia="zh-CN"/>
                    </w:rPr>
                    <w:t>99</w:t>
                  </w:r>
                  <w:r>
                    <w:rPr>
                      <w:rFonts w:hint="default" w:ascii="Times New Roman" w:hAnsi="Times New Roman" w:eastAsia="宋体" w:cs="Times New Roman"/>
                      <w:color w:val="auto"/>
                      <w:sz w:val="21"/>
                      <w:szCs w:val="21"/>
                      <w:highlight w:val="none"/>
                      <w:u w:val="none" w:color="auto"/>
                    </w:rPr>
                    <w:t>-S1</w:t>
                  </w:r>
                  <w:r>
                    <w:rPr>
                      <w:rFonts w:hint="eastAsia" w:cs="Times New Roman"/>
                      <w:color w:val="auto"/>
                      <w:sz w:val="21"/>
                      <w:szCs w:val="21"/>
                      <w:highlight w:val="none"/>
                      <w:u w:val="none" w:color="auto"/>
                      <w:lang w:val="en-US" w:eastAsia="zh-CN"/>
                    </w:rPr>
                    <w:t>3</w:t>
                  </w:r>
                </w:p>
              </w:tc>
              <w:tc>
                <w:tcPr>
                  <w:tcW w:w="1511" w:type="pct"/>
                  <w:vMerge w:val="continue"/>
                  <w:tcBorders>
                    <w:tl2br w:val="nil"/>
                    <w:tr2bl w:val="nil"/>
                  </w:tcBorders>
                  <w:vAlign w:val="center"/>
                </w:tcPr>
                <w:p w14:paraId="1A33F3A2">
                  <w:pPr>
                    <w:pStyle w:val="103"/>
                    <w:rPr>
                      <w:rFonts w:hint="default" w:ascii="Times New Roman" w:hAnsi="Times New Roman" w:eastAsia="宋体" w:cs="Times New Roman"/>
                      <w:color w:val="auto"/>
                      <w:kern w:val="2"/>
                      <w:sz w:val="21"/>
                      <w:szCs w:val="21"/>
                      <w:highlight w:val="none"/>
                      <w:u w:val="none" w:color="auto"/>
                    </w:rPr>
                  </w:pPr>
                </w:p>
              </w:tc>
            </w:tr>
            <w:tr w14:paraId="36E14AE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2" w:type="pct"/>
                  <w:tcBorders>
                    <w:tl2br w:val="nil"/>
                    <w:tr2bl w:val="nil"/>
                  </w:tcBorders>
                  <w:vAlign w:val="center"/>
                </w:tcPr>
                <w:p w14:paraId="56BE0305">
                  <w:pPr>
                    <w:pStyle w:val="103"/>
                    <w:rPr>
                      <w:rFonts w:hint="default" w:ascii="Times New Roman" w:hAnsi="Times New Roman" w:eastAsia="宋体" w:cs="Times New Roman"/>
                      <w:color w:val="auto"/>
                      <w:kern w:val="2"/>
                      <w:sz w:val="21"/>
                      <w:szCs w:val="21"/>
                      <w:highlight w:val="none"/>
                      <w:u w:val="none" w:color="auto"/>
                    </w:rPr>
                  </w:pPr>
                  <w:r>
                    <w:rPr>
                      <w:rFonts w:hint="default" w:ascii="Times New Roman" w:hAnsi="Times New Roman" w:eastAsia="宋体" w:cs="Times New Roman"/>
                      <w:color w:val="auto"/>
                      <w:sz w:val="21"/>
                      <w:szCs w:val="21"/>
                      <w:highlight w:val="none"/>
                      <w:u w:val="none" w:color="auto"/>
                    </w:rPr>
                    <w:t>3</w:t>
                  </w:r>
                </w:p>
              </w:tc>
              <w:tc>
                <w:tcPr>
                  <w:tcW w:w="995" w:type="pct"/>
                  <w:tcBorders>
                    <w:tl2br w:val="nil"/>
                    <w:tr2bl w:val="nil"/>
                  </w:tcBorders>
                  <w:vAlign w:val="center"/>
                </w:tcPr>
                <w:p w14:paraId="11AE0E45">
                  <w:pPr>
                    <w:pStyle w:val="103"/>
                    <w:rPr>
                      <w:rFonts w:hint="default" w:ascii="Times New Roman" w:hAnsi="Times New Roman" w:eastAsia="宋体" w:cs="Times New Roman"/>
                      <w:color w:val="auto"/>
                      <w:kern w:val="2"/>
                      <w:sz w:val="21"/>
                      <w:szCs w:val="21"/>
                      <w:highlight w:val="none"/>
                      <w:u w:val="none" w:color="auto"/>
                      <w:lang w:eastAsia="zh-CN"/>
                    </w:rPr>
                  </w:pPr>
                  <w:r>
                    <w:rPr>
                      <w:rFonts w:hint="eastAsia" w:cs="Times New Roman"/>
                      <w:color w:val="auto"/>
                      <w:kern w:val="2"/>
                      <w:sz w:val="21"/>
                      <w:szCs w:val="21"/>
                      <w:highlight w:val="none"/>
                      <w:u w:val="none" w:color="auto"/>
                      <w:lang w:eastAsia="zh-CN"/>
                    </w:rPr>
                    <w:t>豆渣</w:t>
                  </w:r>
                </w:p>
              </w:tc>
              <w:tc>
                <w:tcPr>
                  <w:tcW w:w="862" w:type="pct"/>
                  <w:tcBorders>
                    <w:tl2br w:val="nil"/>
                    <w:tr2bl w:val="nil"/>
                  </w:tcBorders>
                  <w:vAlign w:val="center"/>
                </w:tcPr>
                <w:p w14:paraId="4FF01E20">
                  <w:pPr>
                    <w:pStyle w:val="103"/>
                    <w:rPr>
                      <w:rFonts w:hint="default" w:ascii="Times New Roman" w:hAnsi="Times New Roman" w:eastAsia="宋体" w:cs="Times New Roman"/>
                      <w:color w:val="auto"/>
                      <w:kern w:val="2"/>
                      <w:sz w:val="21"/>
                      <w:szCs w:val="21"/>
                      <w:highlight w:val="none"/>
                      <w:u w:val="none" w:color="auto"/>
                      <w:lang w:val="en-US" w:eastAsia="zh-CN"/>
                    </w:rPr>
                  </w:pPr>
                  <w:r>
                    <w:rPr>
                      <w:rFonts w:hint="eastAsia" w:cs="Times New Roman"/>
                      <w:color w:val="auto"/>
                      <w:kern w:val="2"/>
                      <w:sz w:val="21"/>
                      <w:szCs w:val="21"/>
                      <w:highlight w:val="none"/>
                      <w:u w:val="none" w:color="auto"/>
                      <w:lang w:val="en-US" w:eastAsia="zh-CN"/>
                    </w:rPr>
                    <w:t>2625</w:t>
                  </w:r>
                </w:p>
              </w:tc>
              <w:tc>
                <w:tcPr>
                  <w:tcW w:w="1207" w:type="pct"/>
                  <w:tcBorders>
                    <w:tl2br w:val="nil"/>
                    <w:tr2bl w:val="nil"/>
                  </w:tcBorders>
                  <w:vAlign w:val="center"/>
                </w:tcPr>
                <w:p w14:paraId="52703344">
                  <w:pPr>
                    <w:pStyle w:val="103"/>
                    <w:rPr>
                      <w:rFonts w:hint="default" w:ascii="Times New Roman" w:hAnsi="Times New Roman" w:eastAsia="宋体" w:cs="Times New Roman"/>
                      <w:color w:val="auto"/>
                      <w:kern w:val="2"/>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一般固废，编号为900-099-S</w:t>
                  </w:r>
                  <w:r>
                    <w:rPr>
                      <w:rFonts w:hint="eastAsia" w:cs="Times New Roman"/>
                      <w:color w:val="auto"/>
                      <w:sz w:val="21"/>
                      <w:szCs w:val="21"/>
                      <w:highlight w:val="none"/>
                      <w:u w:val="none" w:color="auto"/>
                      <w:lang w:val="en-US" w:eastAsia="zh-CN"/>
                    </w:rPr>
                    <w:t>13</w:t>
                  </w:r>
                </w:p>
              </w:tc>
              <w:tc>
                <w:tcPr>
                  <w:tcW w:w="1511" w:type="pct"/>
                  <w:vMerge w:val="restart"/>
                  <w:tcBorders>
                    <w:tl2br w:val="nil"/>
                    <w:tr2bl w:val="nil"/>
                  </w:tcBorders>
                  <w:vAlign w:val="center"/>
                </w:tcPr>
                <w:p w14:paraId="5F36BC4B">
                  <w:pPr>
                    <w:pStyle w:val="103"/>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外售给养殖场作为饲料综合利用</w:t>
                  </w:r>
                </w:p>
              </w:tc>
            </w:tr>
            <w:tr w14:paraId="2423D0D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2" w:type="pct"/>
                  <w:vMerge w:val="restart"/>
                  <w:tcBorders>
                    <w:tl2br w:val="nil"/>
                    <w:tr2bl w:val="nil"/>
                  </w:tcBorders>
                  <w:vAlign w:val="center"/>
                </w:tcPr>
                <w:p w14:paraId="3C9D36F6">
                  <w:pPr>
                    <w:pStyle w:val="103"/>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4</w:t>
                  </w:r>
                </w:p>
              </w:tc>
              <w:tc>
                <w:tcPr>
                  <w:tcW w:w="995" w:type="pct"/>
                  <w:tcBorders>
                    <w:tl2br w:val="nil"/>
                    <w:tr2bl w:val="nil"/>
                  </w:tcBorders>
                  <w:vAlign w:val="center"/>
                </w:tcPr>
                <w:p w14:paraId="79C01D62">
                  <w:pPr>
                    <w:pStyle w:val="103"/>
                    <w:rPr>
                      <w:rFonts w:hint="default" w:ascii="Times New Roman" w:hAnsi="Times New Roman" w:eastAsia="宋体" w:cs="Times New Roman"/>
                      <w:color w:val="auto"/>
                      <w:kern w:val="2"/>
                      <w:sz w:val="21"/>
                      <w:szCs w:val="21"/>
                      <w:highlight w:val="none"/>
                      <w:u w:val="none" w:color="auto"/>
                      <w:lang w:val="en-US" w:eastAsia="zh-CN"/>
                    </w:rPr>
                  </w:pPr>
                  <w:r>
                    <w:rPr>
                      <w:rFonts w:hint="eastAsia" w:cs="Times New Roman"/>
                      <w:color w:val="auto"/>
                      <w:kern w:val="2"/>
                      <w:sz w:val="21"/>
                      <w:szCs w:val="21"/>
                      <w:highlight w:val="none"/>
                      <w:u w:val="none" w:color="auto"/>
                      <w:lang w:val="en-US" w:eastAsia="zh-CN"/>
                    </w:rPr>
                    <w:t>豆制品</w:t>
                  </w:r>
                  <w:r>
                    <w:rPr>
                      <w:rFonts w:hint="default" w:ascii="Times New Roman" w:hAnsi="Times New Roman" w:eastAsia="宋体" w:cs="Times New Roman"/>
                      <w:color w:val="auto"/>
                      <w:kern w:val="2"/>
                      <w:sz w:val="21"/>
                      <w:szCs w:val="21"/>
                      <w:highlight w:val="none"/>
                      <w:u w:val="none" w:color="auto"/>
                      <w:lang w:val="en-US" w:eastAsia="zh-CN"/>
                    </w:rPr>
                    <w:t>废边角料及不合格产品</w:t>
                  </w:r>
                </w:p>
              </w:tc>
              <w:tc>
                <w:tcPr>
                  <w:tcW w:w="862" w:type="pct"/>
                  <w:tcBorders>
                    <w:tl2br w:val="nil"/>
                    <w:tr2bl w:val="nil"/>
                  </w:tcBorders>
                  <w:vAlign w:val="center"/>
                </w:tcPr>
                <w:p w14:paraId="7673F634">
                  <w:pPr>
                    <w:pStyle w:val="103"/>
                    <w:rPr>
                      <w:rFonts w:hint="default" w:ascii="Times New Roman" w:hAnsi="Times New Roman" w:eastAsia="宋体" w:cs="Times New Roman"/>
                      <w:color w:val="auto"/>
                      <w:kern w:val="2"/>
                      <w:sz w:val="21"/>
                      <w:szCs w:val="21"/>
                      <w:highlight w:val="none"/>
                      <w:u w:val="none" w:color="auto"/>
                      <w:lang w:val="en-US" w:eastAsia="zh-CN"/>
                    </w:rPr>
                  </w:pPr>
                  <w:r>
                    <w:rPr>
                      <w:rFonts w:hint="eastAsia" w:cs="Times New Roman"/>
                      <w:color w:val="auto"/>
                      <w:kern w:val="2"/>
                      <w:sz w:val="21"/>
                      <w:szCs w:val="21"/>
                      <w:highlight w:val="none"/>
                      <w:u w:val="none" w:color="auto"/>
                      <w:lang w:val="en-US" w:eastAsia="zh-CN"/>
                    </w:rPr>
                    <w:t>1.5</w:t>
                  </w:r>
                </w:p>
              </w:tc>
              <w:tc>
                <w:tcPr>
                  <w:tcW w:w="1207" w:type="pct"/>
                  <w:tcBorders>
                    <w:tl2br w:val="nil"/>
                    <w:tr2bl w:val="nil"/>
                  </w:tcBorders>
                  <w:vAlign w:val="center"/>
                </w:tcPr>
                <w:p w14:paraId="553AB26A">
                  <w:pPr>
                    <w:pStyle w:val="103"/>
                    <w:rPr>
                      <w:rFonts w:hint="default" w:ascii="Times New Roman" w:hAnsi="Times New Roman" w:eastAsia="宋体" w:cs="Times New Roman"/>
                      <w:color w:val="auto"/>
                      <w:kern w:val="2"/>
                      <w:sz w:val="21"/>
                      <w:szCs w:val="21"/>
                      <w:highlight w:val="none"/>
                      <w:u w:val="none" w:color="auto"/>
                    </w:rPr>
                  </w:pPr>
                  <w:r>
                    <w:rPr>
                      <w:rFonts w:hint="default" w:ascii="Times New Roman" w:hAnsi="Times New Roman" w:eastAsia="宋体" w:cs="Times New Roman"/>
                      <w:color w:val="auto"/>
                      <w:sz w:val="21"/>
                      <w:szCs w:val="21"/>
                      <w:highlight w:val="none"/>
                      <w:u w:val="none" w:color="auto"/>
                    </w:rPr>
                    <w:t>一般固废，编号为</w:t>
                  </w:r>
                  <w:r>
                    <w:rPr>
                      <w:rFonts w:hint="default" w:ascii="Times New Roman" w:hAnsi="Times New Roman" w:eastAsia="宋体" w:cs="Times New Roman"/>
                      <w:color w:val="auto"/>
                      <w:sz w:val="21"/>
                      <w:szCs w:val="21"/>
                      <w:highlight w:val="none"/>
                      <w:u w:val="none" w:color="auto"/>
                      <w:lang w:val="en-US" w:eastAsia="zh-CN"/>
                    </w:rPr>
                    <w:t>900-099-S13</w:t>
                  </w:r>
                </w:p>
              </w:tc>
              <w:tc>
                <w:tcPr>
                  <w:tcW w:w="1511" w:type="pct"/>
                  <w:vMerge w:val="continue"/>
                  <w:tcBorders>
                    <w:tl2br w:val="nil"/>
                    <w:tr2bl w:val="nil"/>
                  </w:tcBorders>
                  <w:vAlign w:val="center"/>
                </w:tcPr>
                <w:p w14:paraId="7DB6C778">
                  <w:pPr>
                    <w:pStyle w:val="103"/>
                    <w:rPr>
                      <w:rFonts w:hint="default" w:ascii="Times New Roman" w:hAnsi="Times New Roman" w:eastAsia="宋体" w:cs="Times New Roman"/>
                      <w:color w:val="auto"/>
                      <w:kern w:val="2"/>
                      <w:sz w:val="21"/>
                      <w:szCs w:val="21"/>
                      <w:highlight w:val="none"/>
                      <w:u w:val="none" w:color="auto"/>
                    </w:rPr>
                  </w:pPr>
                </w:p>
              </w:tc>
            </w:tr>
            <w:tr w14:paraId="6CFA663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2" w:type="pct"/>
                  <w:vMerge w:val="continue"/>
                  <w:tcBorders>
                    <w:tl2br w:val="nil"/>
                    <w:tr2bl w:val="nil"/>
                  </w:tcBorders>
                  <w:vAlign w:val="center"/>
                </w:tcPr>
                <w:p w14:paraId="1B947F59">
                  <w:pPr>
                    <w:pStyle w:val="103"/>
                    <w:rPr>
                      <w:rFonts w:hint="default" w:ascii="Times New Roman" w:hAnsi="Times New Roman" w:eastAsia="宋体" w:cs="Times New Roman"/>
                      <w:color w:val="auto"/>
                      <w:sz w:val="21"/>
                      <w:szCs w:val="21"/>
                      <w:highlight w:val="none"/>
                      <w:u w:val="none" w:color="auto"/>
                    </w:rPr>
                  </w:pPr>
                </w:p>
              </w:tc>
              <w:tc>
                <w:tcPr>
                  <w:tcW w:w="995" w:type="pct"/>
                  <w:tcBorders>
                    <w:tl2br w:val="nil"/>
                    <w:tr2bl w:val="nil"/>
                  </w:tcBorders>
                  <w:vAlign w:val="center"/>
                </w:tcPr>
                <w:p w14:paraId="19848F8F">
                  <w:pPr>
                    <w:pStyle w:val="103"/>
                    <w:rPr>
                      <w:rFonts w:hint="default" w:ascii="Times New Roman" w:hAnsi="Times New Roman" w:eastAsia="宋体" w:cs="Times New Roman"/>
                      <w:color w:val="auto"/>
                      <w:kern w:val="2"/>
                      <w:sz w:val="21"/>
                      <w:szCs w:val="21"/>
                      <w:highlight w:val="none"/>
                      <w:u w:val="none" w:color="auto"/>
                      <w:lang w:val="en-US" w:eastAsia="zh-CN"/>
                    </w:rPr>
                  </w:pPr>
                  <w:r>
                    <w:rPr>
                      <w:rFonts w:hint="eastAsia" w:cs="Times New Roman"/>
                      <w:color w:val="auto"/>
                      <w:kern w:val="2"/>
                      <w:sz w:val="21"/>
                      <w:szCs w:val="21"/>
                      <w:highlight w:val="none"/>
                      <w:u w:val="none" w:color="auto"/>
                      <w:lang w:val="en-US" w:eastAsia="zh-CN"/>
                    </w:rPr>
                    <w:t>肉制品食物残渣及不合格产品</w:t>
                  </w:r>
                </w:p>
              </w:tc>
              <w:tc>
                <w:tcPr>
                  <w:tcW w:w="862" w:type="pct"/>
                  <w:tcBorders>
                    <w:tl2br w:val="nil"/>
                    <w:tr2bl w:val="nil"/>
                  </w:tcBorders>
                  <w:vAlign w:val="center"/>
                </w:tcPr>
                <w:p w14:paraId="6D10F173">
                  <w:pPr>
                    <w:pStyle w:val="103"/>
                    <w:rPr>
                      <w:rFonts w:hint="default" w:cs="Times New Roman"/>
                      <w:color w:val="auto"/>
                      <w:kern w:val="2"/>
                      <w:sz w:val="21"/>
                      <w:szCs w:val="21"/>
                      <w:highlight w:val="none"/>
                      <w:u w:val="none" w:color="auto"/>
                      <w:lang w:val="en-US" w:eastAsia="zh-CN"/>
                    </w:rPr>
                  </w:pPr>
                  <w:r>
                    <w:rPr>
                      <w:rFonts w:hint="eastAsia" w:cs="Times New Roman"/>
                      <w:color w:val="auto"/>
                      <w:kern w:val="2"/>
                      <w:sz w:val="21"/>
                      <w:szCs w:val="21"/>
                      <w:highlight w:val="none"/>
                      <w:u w:val="none" w:color="auto"/>
                      <w:lang w:val="en-US" w:eastAsia="zh-CN"/>
                    </w:rPr>
                    <w:t>1.25</w:t>
                  </w:r>
                </w:p>
              </w:tc>
              <w:tc>
                <w:tcPr>
                  <w:tcW w:w="1207" w:type="pct"/>
                  <w:tcBorders>
                    <w:tl2br w:val="nil"/>
                    <w:tr2bl w:val="nil"/>
                  </w:tcBorders>
                  <w:vAlign w:val="center"/>
                </w:tcPr>
                <w:p w14:paraId="297BE85C">
                  <w:pPr>
                    <w:pStyle w:val="103"/>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一般固废，编号为</w:t>
                  </w:r>
                  <w:r>
                    <w:rPr>
                      <w:rFonts w:hint="eastAsia" w:cs="Times New Roman"/>
                      <w:color w:val="auto"/>
                      <w:sz w:val="21"/>
                      <w:szCs w:val="21"/>
                      <w:highlight w:val="none"/>
                      <w:u w:val="none" w:color="auto"/>
                      <w:lang w:val="en-US" w:eastAsia="zh-CN"/>
                    </w:rPr>
                    <w:t>135</w:t>
                  </w:r>
                  <w:r>
                    <w:rPr>
                      <w:rFonts w:hint="default" w:ascii="Times New Roman" w:hAnsi="Times New Roman" w:eastAsia="宋体" w:cs="Times New Roman"/>
                      <w:color w:val="auto"/>
                      <w:sz w:val="21"/>
                      <w:szCs w:val="21"/>
                      <w:highlight w:val="none"/>
                      <w:u w:val="none" w:color="auto"/>
                      <w:lang w:val="en-US" w:eastAsia="zh-CN"/>
                    </w:rPr>
                    <w:t>-0</w:t>
                  </w:r>
                  <w:r>
                    <w:rPr>
                      <w:rFonts w:hint="eastAsia" w:cs="Times New Roman"/>
                      <w:color w:val="auto"/>
                      <w:sz w:val="21"/>
                      <w:szCs w:val="21"/>
                      <w:highlight w:val="none"/>
                      <w:u w:val="none" w:color="auto"/>
                      <w:lang w:val="en-US" w:eastAsia="zh-CN"/>
                    </w:rPr>
                    <w:t>02</w:t>
                  </w:r>
                  <w:r>
                    <w:rPr>
                      <w:rFonts w:hint="default" w:ascii="Times New Roman" w:hAnsi="Times New Roman" w:eastAsia="宋体" w:cs="Times New Roman"/>
                      <w:color w:val="auto"/>
                      <w:sz w:val="21"/>
                      <w:szCs w:val="21"/>
                      <w:highlight w:val="none"/>
                      <w:u w:val="none" w:color="auto"/>
                      <w:lang w:val="en-US" w:eastAsia="zh-CN"/>
                    </w:rPr>
                    <w:t>-S13</w:t>
                  </w:r>
                </w:p>
              </w:tc>
              <w:tc>
                <w:tcPr>
                  <w:tcW w:w="1511" w:type="pct"/>
                  <w:vMerge w:val="continue"/>
                  <w:tcBorders>
                    <w:tl2br w:val="nil"/>
                    <w:tr2bl w:val="nil"/>
                  </w:tcBorders>
                  <w:vAlign w:val="center"/>
                </w:tcPr>
                <w:p w14:paraId="5E826542">
                  <w:pPr>
                    <w:pStyle w:val="103"/>
                    <w:rPr>
                      <w:rFonts w:hint="default" w:ascii="Times New Roman" w:hAnsi="Times New Roman" w:eastAsia="宋体" w:cs="Times New Roman"/>
                      <w:color w:val="auto"/>
                      <w:sz w:val="21"/>
                      <w:szCs w:val="21"/>
                      <w:highlight w:val="none"/>
                      <w:u w:val="none" w:color="auto"/>
                    </w:rPr>
                  </w:pPr>
                </w:p>
              </w:tc>
            </w:tr>
            <w:tr w14:paraId="229F59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2" w:type="pct"/>
                  <w:tcBorders>
                    <w:tl2br w:val="nil"/>
                    <w:tr2bl w:val="nil"/>
                  </w:tcBorders>
                  <w:vAlign w:val="center"/>
                </w:tcPr>
                <w:p w14:paraId="08BE57AB">
                  <w:pPr>
                    <w:pStyle w:val="103"/>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5</w:t>
                  </w:r>
                </w:p>
              </w:tc>
              <w:tc>
                <w:tcPr>
                  <w:tcW w:w="995" w:type="pct"/>
                  <w:tcBorders>
                    <w:tl2br w:val="nil"/>
                    <w:tr2bl w:val="nil"/>
                  </w:tcBorders>
                  <w:vAlign w:val="center"/>
                </w:tcPr>
                <w:p w14:paraId="0C337E98">
                  <w:pPr>
                    <w:pStyle w:val="103"/>
                    <w:rPr>
                      <w:rFonts w:hint="default" w:ascii="Times New Roman" w:hAnsi="Times New Roman" w:eastAsia="宋体" w:cs="Times New Roman"/>
                      <w:color w:val="auto"/>
                      <w:kern w:val="2"/>
                      <w:sz w:val="21"/>
                      <w:szCs w:val="21"/>
                      <w:highlight w:val="none"/>
                      <w:u w:val="none" w:color="auto"/>
                      <w:lang w:eastAsia="zh-CN"/>
                    </w:rPr>
                  </w:pPr>
                  <w:r>
                    <w:rPr>
                      <w:rFonts w:hint="eastAsia" w:cs="Times New Roman"/>
                      <w:color w:val="auto"/>
                      <w:kern w:val="2"/>
                      <w:sz w:val="21"/>
                      <w:szCs w:val="21"/>
                      <w:highlight w:val="none"/>
                      <w:u w:val="none" w:color="auto"/>
                      <w:lang w:eastAsia="zh-CN"/>
                    </w:rPr>
                    <w:t>废弃食用油脂</w:t>
                  </w:r>
                </w:p>
              </w:tc>
              <w:tc>
                <w:tcPr>
                  <w:tcW w:w="862" w:type="pct"/>
                  <w:tcBorders>
                    <w:tl2br w:val="nil"/>
                    <w:tr2bl w:val="nil"/>
                  </w:tcBorders>
                  <w:vAlign w:val="center"/>
                </w:tcPr>
                <w:p w14:paraId="3396BFD0">
                  <w:pPr>
                    <w:pStyle w:val="103"/>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28.06</w:t>
                  </w:r>
                </w:p>
              </w:tc>
              <w:tc>
                <w:tcPr>
                  <w:tcW w:w="1207" w:type="pct"/>
                  <w:tcBorders>
                    <w:tl2br w:val="nil"/>
                    <w:tr2bl w:val="nil"/>
                  </w:tcBorders>
                  <w:vAlign w:val="center"/>
                </w:tcPr>
                <w:p w14:paraId="0671D572">
                  <w:pPr>
                    <w:pStyle w:val="103"/>
                    <w:rPr>
                      <w:rFonts w:hint="default" w:ascii="Times New Roman" w:hAnsi="Times New Roman" w:eastAsia="宋体" w:cs="Times New Roman"/>
                      <w:color w:val="auto"/>
                      <w:sz w:val="21"/>
                      <w:szCs w:val="21"/>
                      <w:highlight w:val="none"/>
                      <w:u w:val="none" w:color="auto"/>
                      <w:lang w:val="en-US"/>
                    </w:rPr>
                  </w:pPr>
                  <w:r>
                    <w:rPr>
                      <w:rFonts w:hint="default" w:ascii="Times New Roman" w:hAnsi="Times New Roman" w:eastAsia="宋体" w:cs="Times New Roman"/>
                      <w:color w:val="auto"/>
                      <w:sz w:val="21"/>
                      <w:szCs w:val="21"/>
                      <w:highlight w:val="none"/>
                      <w:u w:val="none" w:color="auto"/>
                    </w:rPr>
                    <w:t>一般固废，编号为</w:t>
                  </w:r>
                  <w:r>
                    <w:rPr>
                      <w:rFonts w:hint="default" w:ascii="Times New Roman" w:hAnsi="Times New Roman" w:eastAsia="宋体" w:cs="Times New Roman"/>
                      <w:color w:val="auto"/>
                      <w:sz w:val="21"/>
                      <w:szCs w:val="21"/>
                      <w:highlight w:val="none"/>
                      <w:u w:val="none" w:color="auto"/>
                      <w:lang w:val="en-US" w:eastAsia="zh-CN"/>
                    </w:rPr>
                    <w:t>900-0</w:t>
                  </w:r>
                  <w:r>
                    <w:rPr>
                      <w:rFonts w:hint="eastAsia" w:cs="Times New Roman"/>
                      <w:color w:val="auto"/>
                      <w:sz w:val="21"/>
                      <w:szCs w:val="21"/>
                      <w:highlight w:val="none"/>
                      <w:u w:val="none" w:color="auto"/>
                      <w:lang w:val="en-US" w:eastAsia="zh-CN"/>
                    </w:rPr>
                    <w:t>02-</w:t>
                  </w:r>
                  <w:r>
                    <w:rPr>
                      <w:rFonts w:hint="default" w:ascii="Times New Roman" w:hAnsi="Times New Roman" w:eastAsia="宋体" w:cs="Times New Roman"/>
                      <w:color w:val="auto"/>
                      <w:sz w:val="21"/>
                      <w:szCs w:val="21"/>
                      <w:highlight w:val="none"/>
                      <w:u w:val="none" w:color="auto"/>
                      <w:lang w:val="en-US" w:eastAsia="zh-CN"/>
                    </w:rPr>
                    <w:t>S</w:t>
                  </w:r>
                  <w:r>
                    <w:rPr>
                      <w:rFonts w:hint="eastAsia" w:cs="Times New Roman"/>
                      <w:color w:val="auto"/>
                      <w:sz w:val="21"/>
                      <w:szCs w:val="21"/>
                      <w:highlight w:val="none"/>
                      <w:u w:val="none" w:color="auto"/>
                      <w:lang w:val="en-US" w:eastAsia="zh-CN"/>
                    </w:rPr>
                    <w:t>61</w:t>
                  </w:r>
                </w:p>
              </w:tc>
              <w:tc>
                <w:tcPr>
                  <w:tcW w:w="1511" w:type="pct"/>
                  <w:tcBorders>
                    <w:tl2br w:val="nil"/>
                    <w:tr2bl w:val="nil"/>
                  </w:tcBorders>
                  <w:vAlign w:val="center"/>
                </w:tcPr>
                <w:p w14:paraId="2FFCFBD5">
                  <w:pPr>
                    <w:pStyle w:val="103"/>
                    <w:rPr>
                      <w:rFonts w:hint="default" w:ascii="Times New Roman" w:hAnsi="Times New Roman" w:eastAsia="宋体" w:cs="Times New Roman"/>
                      <w:color w:val="auto"/>
                      <w:kern w:val="2"/>
                      <w:sz w:val="21"/>
                      <w:szCs w:val="21"/>
                      <w:highlight w:val="none"/>
                      <w:u w:val="none" w:color="auto"/>
                      <w:lang w:val="en-US" w:eastAsia="zh-CN"/>
                    </w:rPr>
                  </w:pPr>
                  <w:r>
                    <w:rPr>
                      <w:rFonts w:hint="eastAsia" w:cs="Times New Roman"/>
                      <w:color w:val="auto"/>
                      <w:sz w:val="21"/>
                      <w:szCs w:val="21"/>
                      <w:highlight w:val="none"/>
                      <w:u w:val="none" w:color="auto"/>
                      <w:lang w:val="en-US" w:eastAsia="zh-CN"/>
                    </w:rPr>
                    <w:t>交由专门的废弃食用油回收公司处理</w:t>
                  </w:r>
                </w:p>
              </w:tc>
            </w:tr>
            <w:tr w14:paraId="7386576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2" w:type="pct"/>
                  <w:tcBorders>
                    <w:tl2br w:val="nil"/>
                    <w:tr2bl w:val="nil"/>
                  </w:tcBorders>
                  <w:vAlign w:val="center"/>
                </w:tcPr>
                <w:p w14:paraId="5EC6BF03">
                  <w:pPr>
                    <w:pStyle w:val="103"/>
                    <w:rPr>
                      <w:rFonts w:hint="eastAsia"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6</w:t>
                  </w:r>
                </w:p>
              </w:tc>
              <w:tc>
                <w:tcPr>
                  <w:tcW w:w="995" w:type="pct"/>
                  <w:tcBorders>
                    <w:tl2br w:val="nil"/>
                    <w:tr2bl w:val="nil"/>
                  </w:tcBorders>
                  <w:vAlign w:val="center"/>
                </w:tcPr>
                <w:p w14:paraId="7A9123C5">
                  <w:pPr>
                    <w:pStyle w:val="103"/>
                    <w:rPr>
                      <w:rFonts w:hint="default" w:ascii="Times New Roman" w:hAnsi="Times New Roman" w:eastAsia="宋体" w:cs="Times New Roman"/>
                      <w:color w:val="auto"/>
                      <w:kern w:val="2"/>
                      <w:sz w:val="21"/>
                      <w:szCs w:val="21"/>
                      <w:highlight w:val="none"/>
                      <w:u w:val="none" w:color="auto"/>
                      <w:lang w:eastAsia="zh-CN"/>
                    </w:rPr>
                  </w:pPr>
                  <w:r>
                    <w:rPr>
                      <w:rFonts w:hint="eastAsia" w:cs="Times New Roman"/>
                      <w:color w:val="auto"/>
                      <w:kern w:val="2"/>
                      <w:sz w:val="21"/>
                      <w:szCs w:val="21"/>
                      <w:highlight w:val="none"/>
                      <w:u w:val="none" w:color="auto"/>
                      <w:lang w:eastAsia="zh-CN"/>
                    </w:rPr>
                    <w:t>废包装材料</w:t>
                  </w:r>
                </w:p>
              </w:tc>
              <w:tc>
                <w:tcPr>
                  <w:tcW w:w="862" w:type="pct"/>
                  <w:tcBorders>
                    <w:tl2br w:val="nil"/>
                    <w:tr2bl w:val="nil"/>
                  </w:tcBorders>
                  <w:vAlign w:val="center"/>
                </w:tcPr>
                <w:p w14:paraId="204D3D75">
                  <w:pPr>
                    <w:pStyle w:val="103"/>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2</w:t>
                  </w:r>
                </w:p>
              </w:tc>
              <w:tc>
                <w:tcPr>
                  <w:tcW w:w="1207" w:type="pct"/>
                  <w:tcBorders>
                    <w:tl2br w:val="nil"/>
                    <w:tr2bl w:val="nil"/>
                  </w:tcBorders>
                  <w:vAlign w:val="center"/>
                </w:tcPr>
                <w:p w14:paraId="2975A840">
                  <w:pPr>
                    <w:pStyle w:val="103"/>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一般固废，编号为900-00</w:t>
                  </w:r>
                  <w:r>
                    <w:rPr>
                      <w:rFonts w:hint="eastAsia" w:cs="Times New Roman"/>
                      <w:color w:val="auto"/>
                      <w:sz w:val="21"/>
                      <w:szCs w:val="21"/>
                      <w:highlight w:val="none"/>
                      <w:u w:val="none" w:color="auto"/>
                      <w:lang w:val="en-US" w:eastAsia="zh-CN"/>
                    </w:rPr>
                    <w:t>3</w:t>
                  </w:r>
                  <w:r>
                    <w:rPr>
                      <w:rFonts w:hint="default" w:ascii="Times New Roman" w:hAnsi="Times New Roman" w:eastAsia="宋体" w:cs="Times New Roman"/>
                      <w:color w:val="auto"/>
                      <w:sz w:val="21"/>
                      <w:szCs w:val="21"/>
                      <w:highlight w:val="none"/>
                      <w:u w:val="none" w:color="auto"/>
                      <w:lang w:val="en-US" w:eastAsia="zh-CN"/>
                    </w:rPr>
                    <w:t>-S</w:t>
                  </w:r>
                  <w:r>
                    <w:rPr>
                      <w:rFonts w:hint="eastAsia" w:cs="Times New Roman"/>
                      <w:color w:val="auto"/>
                      <w:sz w:val="21"/>
                      <w:szCs w:val="21"/>
                      <w:highlight w:val="none"/>
                      <w:u w:val="none" w:color="auto"/>
                      <w:lang w:val="en-US" w:eastAsia="zh-CN"/>
                    </w:rPr>
                    <w:t>17</w:t>
                  </w:r>
                </w:p>
              </w:tc>
              <w:tc>
                <w:tcPr>
                  <w:tcW w:w="1511" w:type="pct"/>
                  <w:tcBorders>
                    <w:tl2br w:val="nil"/>
                    <w:tr2bl w:val="nil"/>
                  </w:tcBorders>
                  <w:vAlign w:val="center"/>
                </w:tcPr>
                <w:p w14:paraId="573071F8">
                  <w:pPr>
                    <w:pStyle w:val="103"/>
                    <w:rPr>
                      <w:rFonts w:hint="default" w:ascii="Times New Roman" w:hAnsi="Times New Roman" w:eastAsia="宋体" w:cs="Times New Roman"/>
                      <w:color w:val="auto"/>
                      <w:kern w:val="2"/>
                      <w:sz w:val="21"/>
                      <w:szCs w:val="21"/>
                      <w:highlight w:val="none"/>
                      <w:u w:val="none" w:color="auto"/>
                      <w:lang w:val="en-US" w:eastAsia="zh-CN"/>
                    </w:rPr>
                  </w:pPr>
                  <w:r>
                    <w:rPr>
                      <w:rFonts w:hint="default" w:ascii="Times New Roman" w:hAnsi="Times New Roman" w:eastAsia="宋体" w:cs="Times New Roman"/>
                      <w:color w:val="auto"/>
                      <w:kern w:val="2"/>
                      <w:sz w:val="21"/>
                      <w:szCs w:val="21"/>
                      <w:highlight w:val="none"/>
                      <w:u w:val="none" w:color="auto"/>
                      <w:lang w:val="en-US" w:eastAsia="zh-CN"/>
                    </w:rPr>
                    <w:t>可回收利用的外售资源回收部门，不能利用的交由环卫部门统一清运</w:t>
                  </w:r>
                </w:p>
              </w:tc>
            </w:tr>
            <w:tr w14:paraId="7E14425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2" w:type="pct"/>
                  <w:tcBorders>
                    <w:tl2br w:val="nil"/>
                    <w:tr2bl w:val="nil"/>
                  </w:tcBorders>
                  <w:vAlign w:val="center"/>
                </w:tcPr>
                <w:p w14:paraId="19ED32C6">
                  <w:pPr>
                    <w:pStyle w:val="103"/>
                    <w:rPr>
                      <w:rFonts w:hint="eastAsia"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7</w:t>
                  </w:r>
                </w:p>
              </w:tc>
              <w:tc>
                <w:tcPr>
                  <w:tcW w:w="995" w:type="pct"/>
                  <w:tcBorders>
                    <w:tl2br w:val="nil"/>
                    <w:tr2bl w:val="nil"/>
                  </w:tcBorders>
                  <w:vAlign w:val="center"/>
                </w:tcPr>
                <w:p w14:paraId="10A87D5F">
                  <w:pPr>
                    <w:pStyle w:val="103"/>
                    <w:rPr>
                      <w:rFonts w:hint="default" w:ascii="Times New Roman" w:hAnsi="Times New Roman" w:eastAsia="宋体" w:cs="Times New Roman"/>
                      <w:color w:val="auto"/>
                      <w:kern w:val="2"/>
                      <w:sz w:val="21"/>
                      <w:szCs w:val="21"/>
                      <w:highlight w:val="none"/>
                      <w:u w:val="none" w:color="auto"/>
                      <w:lang w:eastAsia="zh-CN"/>
                    </w:rPr>
                  </w:pPr>
                  <w:r>
                    <w:rPr>
                      <w:rFonts w:hint="eastAsia" w:cs="Times New Roman"/>
                      <w:color w:val="auto"/>
                      <w:kern w:val="2"/>
                      <w:sz w:val="21"/>
                      <w:szCs w:val="21"/>
                      <w:highlight w:val="none"/>
                      <w:u w:val="none" w:color="auto"/>
                      <w:lang w:eastAsia="zh-CN"/>
                    </w:rPr>
                    <w:t>污泥处理污泥</w:t>
                  </w:r>
                </w:p>
              </w:tc>
              <w:tc>
                <w:tcPr>
                  <w:tcW w:w="862" w:type="pct"/>
                  <w:tcBorders>
                    <w:tl2br w:val="nil"/>
                    <w:tr2bl w:val="nil"/>
                  </w:tcBorders>
                  <w:vAlign w:val="center"/>
                </w:tcPr>
                <w:p w14:paraId="488A3949">
                  <w:pPr>
                    <w:pStyle w:val="103"/>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9.78</w:t>
                  </w:r>
                </w:p>
              </w:tc>
              <w:tc>
                <w:tcPr>
                  <w:tcW w:w="1207" w:type="pct"/>
                  <w:tcBorders>
                    <w:tl2br w:val="nil"/>
                    <w:tr2bl w:val="nil"/>
                  </w:tcBorders>
                  <w:vAlign w:val="center"/>
                </w:tcPr>
                <w:p w14:paraId="683B032B">
                  <w:pPr>
                    <w:pStyle w:val="103"/>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一般固废，编号为</w:t>
                  </w:r>
                  <w:r>
                    <w:rPr>
                      <w:rFonts w:hint="eastAsia" w:cs="Times New Roman"/>
                      <w:color w:val="auto"/>
                      <w:sz w:val="21"/>
                      <w:szCs w:val="21"/>
                      <w:highlight w:val="none"/>
                      <w:u w:val="none" w:color="auto"/>
                      <w:lang w:val="en-US" w:eastAsia="zh-CN"/>
                    </w:rPr>
                    <w:t>140-001-S07</w:t>
                  </w:r>
                </w:p>
              </w:tc>
              <w:tc>
                <w:tcPr>
                  <w:tcW w:w="1511" w:type="pct"/>
                  <w:tcBorders>
                    <w:tl2br w:val="nil"/>
                    <w:tr2bl w:val="nil"/>
                  </w:tcBorders>
                  <w:vAlign w:val="center"/>
                </w:tcPr>
                <w:p w14:paraId="4DEF8CB2">
                  <w:pPr>
                    <w:pStyle w:val="103"/>
                    <w:rPr>
                      <w:rFonts w:hint="default" w:ascii="Times New Roman" w:hAnsi="Times New Roman" w:eastAsia="宋体" w:cs="Times New Roman"/>
                      <w:color w:val="auto"/>
                      <w:kern w:val="2"/>
                      <w:sz w:val="21"/>
                      <w:szCs w:val="21"/>
                      <w:highlight w:val="none"/>
                      <w:u w:val="none" w:color="auto"/>
                      <w:lang w:val="en-US" w:eastAsia="zh-CN"/>
                    </w:rPr>
                  </w:pPr>
                  <w:r>
                    <w:rPr>
                      <w:rFonts w:hint="default" w:ascii="Times New Roman" w:hAnsi="Times New Roman" w:eastAsia="宋体" w:cs="Times New Roman"/>
                      <w:color w:val="auto"/>
                      <w:kern w:val="2"/>
                      <w:sz w:val="21"/>
                      <w:szCs w:val="21"/>
                      <w:highlight w:val="none"/>
                      <w:u w:val="none" w:color="auto"/>
                      <w:lang w:val="en-US" w:eastAsia="zh-CN"/>
                    </w:rPr>
                    <w:t>交由环卫部门处理</w:t>
                  </w:r>
                </w:p>
              </w:tc>
            </w:tr>
            <w:tr w14:paraId="47BF2E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2" w:type="pct"/>
                  <w:tcBorders>
                    <w:tl2br w:val="nil"/>
                    <w:tr2bl w:val="nil"/>
                  </w:tcBorders>
                  <w:shd w:val="clear" w:color="auto" w:fill="auto"/>
                  <w:vAlign w:val="center"/>
                </w:tcPr>
                <w:p w14:paraId="1900BE7D">
                  <w:pPr>
                    <w:pStyle w:val="103"/>
                    <w:rPr>
                      <w:rFonts w:hint="default" w:ascii="Times New Roman" w:hAnsi="Times New Roman" w:eastAsia="宋体" w:cs="Times New Roman"/>
                      <w:color w:val="auto"/>
                      <w:kern w:val="0"/>
                      <w:sz w:val="21"/>
                      <w:szCs w:val="21"/>
                      <w:highlight w:val="none"/>
                      <w:u w:val="none" w:color="auto"/>
                      <w:lang w:val="en-US" w:eastAsia="zh-CN" w:bidi="ar-SA"/>
                    </w:rPr>
                  </w:pPr>
                  <w:r>
                    <w:rPr>
                      <w:rFonts w:hint="eastAsia" w:cs="Times New Roman"/>
                      <w:color w:val="auto"/>
                      <w:sz w:val="21"/>
                      <w:szCs w:val="21"/>
                      <w:highlight w:val="none"/>
                      <w:u w:val="none" w:color="auto"/>
                      <w:lang w:val="en-US" w:eastAsia="zh-CN"/>
                    </w:rPr>
                    <w:t>8</w:t>
                  </w:r>
                </w:p>
              </w:tc>
              <w:tc>
                <w:tcPr>
                  <w:tcW w:w="995" w:type="pct"/>
                  <w:tcBorders>
                    <w:tl2br w:val="nil"/>
                    <w:tr2bl w:val="nil"/>
                  </w:tcBorders>
                  <w:shd w:val="clear" w:color="auto" w:fill="auto"/>
                  <w:vAlign w:val="center"/>
                </w:tcPr>
                <w:p w14:paraId="12EA3490">
                  <w:pPr>
                    <w:pStyle w:val="103"/>
                    <w:rPr>
                      <w:rFonts w:hint="default" w:ascii="Times New Roman" w:hAnsi="Times New Roman" w:eastAsia="宋体" w:cs="Times New Roman"/>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1"/>
                      <w:highlight w:val="none"/>
                      <w:u w:val="none" w:color="auto"/>
                      <w:lang w:eastAsia="zh-CN"/>
                    </w:rPr>
                    <w:t>废滤芯</w:t>
                  </w:r>
                </w:p>
              </w:tc>
              <w:tc>
                <w:tcPr>
                  <w:tcW w:w="862" w:type="pct"/>
                  <w:tcBorders>
                    <w:tl2br w:val="nil"/>
                    <w:tr2bl w:val="nil"/>
                  </w:tcBorders>
                  <w:vAlign w:val="center"/>
                </w:tcPr>
                <w:p w14:paraId="19DA97B8">
                  <w:pPr>
                    <w:pStyle w:val="103"/>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0.01</w:t>
                  </w:r>
                </w:p>
              </w:tc>
              <w:tc>
                <w:tcPr>
                  <w:tcW w:w="1207" w:type="pct"/>
                  <w:tcBorders>
                    <w:tl2br w:val="nil"/>
                    <w:tr2bl w:val="nil"/>
                  </w:tcBorders>
                  <w:vAlign w:val="center"/>
                </w:tcPr>
                <w:p w14:paraId="6E33F0DD">
                  <w:pPr>
                    <w:pStyle w:val="103"/>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一般固废，编号为900-00</w:t>
                  </w:r>
                  <w:r>
                    <w:rPr>
                      <w:rFonts w:hint="eastAsia" w:cs="Times New Roman"/>
                      <w:color w:val="auto"/>
                      <w:sz w:val="21"/>
                      <w:szCs w:val="21"/>
                      <w:highlight w:val="none"/>
                      <w:u w:val="none" w:color="auto"/>
                      <w:lang w:val="en-US" w:eastAsia="zh-CN"/>
                    </w:rPr>
                    <w:t>8</w:t>
                  </w:r>
                  <w:r>
                    <w:rPr>
                      <w:rFonts w:hint="default" w:ascii="Times New Roman" w:hAnsi="Times New Roman" w:eastAsia="宋体" w:cs="Times New Roman"/>
                      <w:color w:val="auto"/>
                      <w:sz w:val="21"/>
                      <w:szCs w:val="21"/>
                      <w:highlight w:val="none"/>
                      <w:u w:val="none" w:color="auto"/>
                      <w:lang w:val="en-US" w:eastAsia="zh-CN"/>
                    </w:rPr>
                    <w:t>-S</w:t>
                  </w:r>
                  <w:r>
                    <w:rPr>
                      <w:rFonts w:hint="eastAsia" w:cs="Times New Roman"/>
                      <w:color w:val="auto"/>
                      <w:sz w:val="21"/>
                      <w:szCs w:val="21"/>
                      <w:highlight w:val="none"/>
                      <w:u w:val="none" w:color="auto"/>
                      <w:lang w:val="en-US" w:eastAsia="zh-CN"/>
                    </w:rPr>
                    <w:t>59</w:t>
                  </w:r>
                </w:p>
              </w:tc>
              <w:tc>
                <w:tcPr>
                  <w:tcW w:w="1511" w:type="pct"/>
                  <w:tcBorders>
                    <w:tl2br w:val="nil"/>
                    <w:tr2bl w:val="nil"/>
                  </w:tcBorders>
                  <w:vAlign w:val="center"/>
                </w:tcPr>
                <w:p w14:paraId="2D6475D4">
                  <w:pPr>
                    <w:pStyle w:val="103"/>
                    <w:rPr>
                      <w:rFonts w:hint="default" w:ascii="Times New Roman" w:hAnsi="Times New Roman" w:eastAsia="宋体" w:cs="Times New Roman"/>
                      <w:color w:val="auto"/>
                      <w:kern w:val="2"/>
                      <w:sz w:val="21"/>
                      <w:szCs w:val="21"/>
                      <w:highlight w:val="none"/>
                      <w:u w:val="none" w:color="auto"/>
                      <w:lang w:val="en-US" w:eastAsia="zh-CN"/>
                    </w:rPr>
                  </w:pPr>
                  <w:r>
                    <w:rPr>
                      <w:rFonts w:hint="eastAsia" w:cs="Times New Roman"/>
                      <w:color w:val="auto"/>
                      <w:kern w:val="2"/>
                      <w:sz w:val="21"/>
                      <w:szCs w:val="21"/>
                      <w:highlight w:val="none"/>
                      <w:u w:val="none" w:color="auto"/>
                      <w:lang w:val="en-US" w:eastAsia="zh-CN"/>
                    </w:rPr>
                    <w:t>外售资源回收部门综合利用</w:t>
                  </w:r>
                </w:p>
              </w:tc>
            </w:tr>
            <w:tr w14:paraId="4D56025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22" w:type="pct"/>
                  <w:tcBorders>
                    <w:tl2br w:val="nil"/>
                    <w:tr2bl w:val="nil"/>
                  </w:tcBorders>
                  <w:shd w:val="clear" w:color="auto" w:fill="auto"/>
                  <w:vAlign w:val="center"/>
                </w:tcPr>
                <w:p w14:paraId="4065A8E4">
                  <w:pPr>
                    <w:pStyle w:val="103"/>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9</w:t>
                  </w:r>
                </w:p>
              </w:tc>
              <w:tc>
                <w:tcPr>
                  <w:tcW w:w="995" w:type="pct"/>
                  <w:tcBorders>
                    <w:tl2br w:val="nil"/>
                    <w:tr2bl w:val="nil"/>
                  </w:tcBorders>
                  <w:shd w:val="clear" w:color="auto" w:fill="auto"/>
                  <w:vAlign w:val="center"/>
                </w:tcPr>
                <w:p w14:paraId="55703EF2">
                  <w:pPr>
                    <w:pStyle w:val="103"/>
                    <w:rPr>
                      <w:rFonts w:hint="default" w:ascii="Times New Roman" w:hAnsi="Times New Roman" w:eastAsia="宋体" w:cs="Times New Roman"/>
                      <w:color w:val="auto"/>
                      <w:kern w:val="2"/>
                      <w:sz w:val="21"/>
                      <w:szCs w:val="21"/>
                      <w:highlight w:val="none"/>
                      <w:u w:val="none" w:color="auto"/>
                      <w:lang w:eastAsia="zh-CN"/>
                    </w:rPr>
                  </w:pPr>
                  <w:r>
                    <w:rPr>
                      <w:rFonts w:hint="eastAsia" w:cs="Times New Roman"/>
                      <w:color w:val="auto"/>
                      <w:kern w:val="2"/>
                      <w:sz w:val="21"/>
                      <w:szCs w:val="21"/>
                      <w:highlight w:val="none"/>
                      <w:u w:val="none" w:color="auto"/>
                      <w:lang w:eastAsia="zh-CN"/>
                    </w:rPr>
                    <w:t>废矿物油</w:t>
                  </w:r>
                </w:p>
              </w:tc>
              <w:tc>
                <w:tcPr>
                  <w:tcW w:w="862" w:type="pct"/>
                  <w:tcBorders>
                    <w:tl2br w:val="nil"/>
                    <w:tr2bl w:val="nil"/>
                  </w:tcBorders>
                  <w:vAlign w:val="center"/>
                </w:tcPr>
                <w:p w14:paraId="5296E323">
                  <w:pPr>
                    <w:pStyle w:val="103"/>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0.05</w:t>
                  </w:r>
                </w:p>
              </w:tc>
              <w:tc>
                <w:tcPr>
                  <w:tcW w:w="1207" w:type="pct"/>
                  <w:tcBorders>
                    <w:tl2br w:val="nil"/>
                    <w:tr2bl w:val="nil"/>
                  </w:tcBorders>
                  <w:vAlign w:val="center"/>
                </w:tcPr>
                <w:p w14:paraId="14E012D2">
                  <w:pPr>
                    <w:pStyle w:val="103"/>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危险废物，编号为HW08，900-214-08</w:t>
                  </w:r>
                </w:p>
              </w:tc>
              <w:tc>
                <w:tcPr>
                  <w:tcW w:w="1511" w:type="pct"/>
                  <w:tcBorders>
                    <w:tl2br w:val="nil"/>
                    <w:tr2bl w:val="nil"/>
                  </w:tcBorders>
                  <w:vAlign w:val="center"/>
                </w:tcPr>
                <w:p w14:paraId="3D632051">
                  <w:pPr>
                    <w:pStyle w:val="103"/>
                    <w:rPr>
                      <w:rFonts w:hint="eastAsia" w:cs="Times New Roman"/>
                      <w:color w:val="auto"/>
                      <w:kern w:val="2"/>
                      <w:sz w:val="21"/>
                      <w:szCs w:val="21"/>
                      <w:highlight w:val="none"/>
                      <w:u w:val="none" w:color="auto"/>
                      <w:lang w:val="en-US" w:eastAsia="zh-CN"/>
                    </w:rPr>
                  </w:pPr>
                  <w:r>
                    <w:rPr>
                      <w:rFonts w:hint="eastAsia" w:cs="Times New Roman"/>
                      <w:color w:val="auto"/>
                      <w:kern w:val="2"/>
                      <w:sz w:val="21"/>
                      <w:szCs w:val="21"/>
                      <w:highlight w:val="none"/>
                      <w:u w:val="none" w:color="auto"/>
                      <w:lang w:val="en-US" w:eastAsia="zh-CN"/>
                    </w:rPr>
                    <w:t>交由有资质的单位处置</w:t>
                  </w:r>
                </w:p>
              </w:tc>
            </w:tr>
          </w:tbl>
          <w:p w14:paraId="4724E5D5">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textAlignment w:val="auto"/>
              <w:rPr>
                <w:rFonts w:hint="default" w:ascii="Times New Roman" w:hAnsi="Times New Roman" w:eastAsia="宋体" w:cs="Times New Roman"/>
                <w:b/>
                <w:bCs/>
                <w:color w:val="auto"/>
                <w:highlight w:val="none"/>
                <w:u w:val="none" w:color="auto"/>
                <w:lang w:eastAsia="zh-CN"/>
              </w:rPr>
            </w:pPr>
            <w:r>
              <w:rPr>
                <w:rFonts w:hint="default" w:ascii="Times New Roman" w:hAnsi="Times New Roman" w:eastAsia="宋体" w:cs="Times New Roman"/>
                <w:b/>
                <w:bCs/>
                <w:color w:val="auto"/>
                <w:highlight w:val="none"/>
                <w:u w:val="none" w:color="auto"/>
                <w:lang w:val="en-US" w:eastAsia="zh-CN"/>
              </w:rPr>
              <w:t>2</w:t>
            </w:r>
            <w:r>
              <w:rPr>
                <w:rFonts w:hint="default" w:ascii="Times New Roman" w:hAnsi="Times New Roman" w:eastAsia="宋体" w:cs="Times New Roman"/>
                <w:b/>
                <w:bCs/>
                <w:color w:val="auto"/>
                <w:highlight w:val="none"/>
                <w:u w:val="none" w:color="auto"/>
              </w:rPr>
              <w:t>、固体废物处置</w:t>
            </w:r>
            <w:r>
              <w:rPr>
                <w:rFonts w:hint="default" w:ascii="Times New Roman" w:hAnsi="Times New Roman" w:eastAsia="宋体" w:cs="Times New Roman"/>
                <w:b/>
                <w:bCs/>
                <w:color w:val="auto"/>
                <w:highlight w:val="none"/>
                <w:u w:val="none" w:color="auto"/>
                <w:lang w:val="en-US" w:eastAsia="zh-CN"/>
              </w:rPr>
              <w:t>措施</w:t>
            </w:r>
          </w:p>
          <w:p w14:paraId="775BDFB5">
            <w:pPr>
              <w:pStyle w:val="100"/>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Times New Roman" w:hAnsi="Times New Roman" w:eastAsia="宋体" w:cs="Times New Roman"/>
                <w:color w:val="auto"/>
                <w:sz w:val="24"/>
                <w:szCs w:val="24"/>
                <w:highlight w:val="none"/>
                <w:u w:val="none" w:color="auto"/>
                <w:lang w:eastAsia="zh-CN"/>
              </w:rPr>
            </w:pPr>
            <w:r>
              <w:rPr>
                <w:rFonts w:hint="eastAsia" w:ascii="Times New Roman" w:hAnsi="Times New Roman" w:eastAsia="宋体" w:cs="Times New Roman"/>
                <w:color w:val="auto"/>
                <w:sz w:val="24"/>
                <w:szCs w:val="24"/>
                <w:highlight w:val="none"/>
                <w:u w:val="none" w:color="auto"/>
                <w:lang w:eastAsia="zh-CN"/>
              </w:rPr>
              <w:t>（</w:t>
            </w:r>
            <w:r>
              <w:rPr>
                <w:rFonts w:hint="eastAsia" w:ascii="Times New Roman" w:hAnsi="Times New Roman" w:eastAsia="宋体" w:cs="Times New Roman"/>
                <w:color w:val="auto"/>
                <w:sz w:val="24"/>
                <w:szCs w:val="24"/>
                <w:highlight w:val="none"/>
                <w:u w:val="none" w:color="auto"/>
                <w:lang w:val="en-US" w:eastAsia="zh-CN"/>
              </w:rPr>
              <w:t>1</w:t>
            </w:r>
            <w:r>
              <w:rPr>
                <w:rFonts w:hint="eastAsia" w:ascii="Times New Roman" w:hAnsi="Times New Roman" w:eastAsia="宋体" w:cs="Times New Roman"/>
                <w:color w:val="auto"/>
                <w:sz w:val="24"/>
                <w:szCs w:val="24"/>
                <w:highlight w:val="none"/>
                <w:u w:val="none" w:color="auto"/>
                <w:lang w:eastAsia="zh-CN"/>
              </w:rPr>
              <w:t>）危险废物处置措施</w:t>
            </w:r>
          </w:p>
          <w:p w14:paraId="0FA4BC18">
            <w:pPr>
              <w:pStyle w:val="100"/>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vertAlign w:val="baseline"/>
                <w:lang w:val="en-US"/>
              </w:rPr>
            </w:pPr>
            <w:r>
              <w:rPr>
                <w:rFonts w:hint="default" w:ascii="Times New Roman" w:hAnsi="Times New Roman" w:eastAsia="宋体" w:cs="Times New Roman"/>
                <w:color w:val="auto"/>
                <w:sz w:val="24"/>
                <w:szCs w:val="24"/>
                <w:highlight w:val="none"/>
                <w:u w:val="none" w:color="auto"/>
                <w:lang w:val="en-US" w:eastAsia="zh-CN"/>
              </w:rPr>
              <w:t>本项目运营过程中废矿物油属于危险废物，应集中收集后委托有资质的单位进行处置。本项目需按照《危险废物贮存污染控制标准》（GB18597-2023）要求建设的危险废物暂存间。本项目产生的各类危险废物按其性质在危废暂存间内分类堆存。</w:t>
            </w:r>
            <w:r>
              <w:rPr>
                <w:rFonts w:hint="eastAsia" w:ascii="Times New Roman" w:hAnsi="Times New Roman" w:eastAsia="宋体" w:cs="Times New Roman"/>
                <w:color w:val="auto"/>
                <w:sz w:val="24"/>
                <w:szCs w:val="24"/>
                <w:highlight w:val="none"/>
                <w:u w:val="none" w:color="auto"/>
                <w:lang w:val="en-US" w:eastAsia="zh-CN"/>
              </w:rPr>
              <w:t>拟在厂区东侧综合楼设置危险废物暂存间，占地面积5m</w:t>
            </w:r>
            <w:r>
              <w:rPr>
                <w:rFonts w:hint="eastAsia" w:ascii="Times New Roman" w:hAnsi="Times New Roman" w:eastAsia="宋体" w:cs="Times New Roman"/>
                <w:color w:val="auto"/>
                <w:sz w:val="24"/>
                <w:szCs w:val="24"/>
                <w:highlight w:val="none"/>
                <w:u w:val="none" w:color="auto"/>
                <w:vertAlign w:val="superscript"/>
                <w:lang w:val="en-US" w:eastAsia="zh-CN"/>
              </w:rPr>
              <w:t>2</w:t>
            </w:r>
            <w:r>
              <w:rPr>
                <w:rFonts w:hint="eastAsia" w:ascii="Times New Roman" w:hAnsi="Times New Roman" w:eastAsia="宋体" w:cs="Times New Roman"/>
                <w:color w:val="auto"/>
                <w:sz w:val="24"/>
                <w:szCs w:val="24"/>
                <w:highlight w:val="none"/>
                <w:u w:val="none" w:color="auto"/>
                <w:vertAlign w:val="baseline"/>
                <w:lang w:val="en-US" w:eastAsia="zh-CN"/>
              </w:rPr>
              <w:t>。</w:t>
            </w:r>
          </w:p>
          <w:p w14:paraId="7EFC659A">
            <w:pPr>
              <w:pStyle w:val="100"/>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根据《危险废物贮存污染控制标准》（GB18597-2023）、《危险废物收集贮存运输技术规范》（HJ2025-2012）、《危险废物转移管理办法》、《湖南省危险废物专项整治三年行动实施方案》、《湖南省“十四五”危险废物工业固体废物污染环境防治规划》，对危险废物的收集、暂存和运输按国家标准有如下要求：</w:t>
            </w:r>
          </w:p>
          <w:p w14:paraId="286DDF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Cs w:val="24"/>
                <w:highlight w:val="none"/>
                <w:u w:val="none" w:color="auto"/>
              </w:rPr>
            </w:pPr>
            <w:r>
              <w:rPr>
                <w:rFonts w:hint="default" w:ascii="Times New Roman" w:hAnsi="Times New Roman" w:eastAsia="宋体" w:cs="Times New Roman"/>
                <w:color w:val="auto"/>
                <w:szCs w:val="24"/>
                <w:highlight w:val="none"/>
                <w:u w:val="none" w:color="auto"/>
              </w:rPr>
              <w:t>①危险废物的收集包装</w:t>
            </w:r>
          </w:p>
          <w:p w14:paraId="2E94B06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Cs w:val="24"/>
                <w:highlight w:val="none"/>
                <w:u w:val="none" w:color="auto"/>
              </w:rPr>
            </w:pPr>
            <w:r>
              <w:rPr>
                <w:rFonts w:hint="default" w:ascii="Times New Roman" w:hAnsi="Times New Roman" w:eastAsia="宋体" w:cs="Times New Roman"/>
                <w:color w:val="auto"/>
                <w:szCs w:val="24"/>
                <w:highlight w:val="none"/>
                <w:u w:val="none" w:color="auto"/>
              </w:rPr>
              <w:t>a 容器和包装物材质、内衬应与盛装的危险废物相容。</w:t>
            </w:r>
          </w:p>
          <w:p w14:paraId="7211004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Cs w:val="24"/>
                <w:highlight w:val="none"/>
                <w:u w:val="none" w:color="auto"/>
              </w:rPr>
            </w:pPr>
            <w:r>
              <w:rPr>
                <w:rFonts w:hint="default" w:ascii="Times New Roman" w:hAnsi="Times New Roman" w:eastAsia="宋体" w:cs="Times New Roman"/>
                <w:color w:val="auto"/>
                <w:szCs w:val="24"/>
                <w:highlight w:val="none"/>
                <w:u w:val="none" w:color="auto"/>
              </w:rPr>
              <w:t>b 针对不同类别、形态、物理化学性质的危险废物，其容器和包装物应满足相应的防渗、防漏、防腐和强度等要求。</w:t>
            </w:r>
          </w:p>
          <w:p w14:paraId="673F54E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Cs w:val="24"/>
                <w:highlight w:val="none"/>
                <w:u w:val="none" w:color="auto"/>
              </w:rPr>
            </w:pPr>
            <w:r>
              <w:rPr>
                <w:rFonts w:hint="default" w:ascii="Times New Roman" w:hAnsi="Times New Roman" w:eastAsia="宋体" w:cs="Times New Roman"/>
                <w:color w:val="auto"/>
                <w:szCs w:val="24"/>
                <w:highlight w:val="none"/>
                <w:u w:val="none" w:color="auto"/>
              </w:rPr>
              <w:t>c 硬质容器和包装物及其支护结构堆叠码放时不应有明显变形，无破损泄漏。</w:t>
            </w:r>
          </w:p>
          <w:p w14:paraId="39CF1FB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Cs w:val="24"/>
                <w:highlight w:val="none"/>
                <w:u w:val="none" w:color="auto"/>
              </w:rPr>
            </w:pPr>
            <w:r>
              <w:rPr>
                <w:rFonts w:hint="default" w:ascii="Times New Roman" w:hAnsi="Times New Roman" w:eastAsia="宋体" w:cs="Times New Roman"/>
                <w:color w:val="auto"/>
                <w:szCs w:val="24"/>
                <w:highlight w:val="none"/>
                <w:u w:val="none" w:color="auto"/>
              </w:rPr>
              <w:t>d 柔性容器和包装物堆叠码放时应封口严密，无破损泄漏。</w:t>
            </w:r>
          </w:p>
          <w:p w14:paraId="68EC4E6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Cs w:val="24"/>
                <w:highlight w:val="none"/>
                <w:u w:val="none" w:color="auto"/>
              </w:rPr>
            </w:pPr>
            <w:r>
              <w:rPr>
                <w:rFonts w:hint="default" w:ascii="Times New Roman" w:hAnsi="Times New Roman" w:eastAsia="宋体" w:cs="Times New Roman"/>
                <w:color w:val="auto"/>
                <w:szCs w:val="24"/>
                <w:highlight w:val="none"/>
                <w:u w:val="none" w:color="auto"/>
              </w:rPr>
              <w:t>e 使用容器盛装液态、半固态危险废物时，容器内部应留有适当的空间，以适应因温度变化等可能引发的收缩和膨胀，防止其导致容器渗漏或永久变形。</w:t>
            </w:r>
          </w:p>
          <w:p w14:paraId="6BBE24B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Cs w:val="24"/>
                <w:highlight w:val="none"/>
                <w:u w:val="none" w:color="auto"/>
              </w:rPr>
            </w:pPr>
            <w:r>
              <w:rPr>
                <w:rFonts w:hint="default" w:ascii="Times New Roman" w:hAnsi="Times New Roman" w:eastAsia="宋体" w:cs="Times New Roman"/>
                <w:color w:val="auto"/>
                <w:szCs w:val="24"/>
                <w:highlight w:val="none"/>
                <w:u w:val="none" w:color="auto"/>
              </w:rPr>
              <w:t>f 容器和包装物外表面应保持清洁。</w:t>
            </w:r>
          </w:p>
          <w:p w14:paraId="5E78CE7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Cs w:val="24"/>
                <w:highlight w:val="none"/>
                <w:u w:val="none" w:color="auto"/>
              </w:rPr>
            </w:pPr>
            <w:r>
              <w:rPr>
                <w:rFonts w:hint="default" w:ascii="Times New Roman" w:hAnsi="Times New Roman" w:eastAsia="宋体" w:cs="Times New Roman"/>
                <w:color w:val="auto"/>
                <w:szCs w:val="24"/>
                <w:highlight w:val="none"/>
                <w:u w:val="none" w:color="auto"/>
              </w:rPr>
              <w:t>②危险废物的暂存要求</w:t>
            </w:r>
          </w:p>
          <w:p w14:paraId="56ACEBD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Cs w:val="24"/>
                <w:highlight w:val="none"/>
                <w:u w:val="none" w:color="auto"/>
              </w:rPr>
            </w:pPr>
            <w:r>
              <w:rPr>
                <w:rFonts w:hint="default" w:ascii="Times New Roman" w:hAnsi="Times New Roman" w:eastAsia="宋体" w:cs="Times New Roman"/>
                <w:color w:val="auto"/>
                <w:szCs w:val="24"/>
                <w:highlight w:val="none"/>
                <w:u w:val="none" w:color="auto"/>
              </w:rPr>
              <w:t>危险废物堆放场所应满足《危险废物贮存污染控制标准》</w:t>
            </w:r>
            <w:r>
              <w:rPr>
                <w:rFonts w:hint="eastAsia" w:ascii="Times New Roman" w:hAnsi="Times New Roman" w:eastAsia="宋体" w:cs="Times New Roman"/>
                <w:color w:val="auto"/>
                <w:szCs w:val="24"/>
                <w:highlight w:val="none"/>
                <w:u w:val="none" w:color="auto"/>
                <w:lang w:eastAsia="zh-CN"/>
              </w:rPr>
              <w:t>（</w:t>
            </w:r>
            <w:r>
              <w:rPr>
                <w:rFonts w:hint="default" w:ascii="Times New Roman" w:hAnsi="Times New Roman" w:eastAsia="宋体" w:cs="Times New Roman"/>
                <w:color w:val="auto"/>
                <w:szCs w:val="24"/>
                <w:highlight w:val="none"/>
                <w:u w:val="none" w:color="auto"/>
              </w:rPr>
              <w:t>GB18597-2023</w:t>
            </w:r>
            <w:r>
              <w:rPr>
                <w:rFonts w:hint="eastAsia" w:ascii="Times New Roman" w:hAnsi="Times New Roman" w:eastAsia="宋体" w:cs="Times New Roman"/>
                <w:color w:val="auto"/>
                <w:szCs w:val="24"/>
                <w:highlight w:val="none"/>
                <w:u w:val="none" w:color="auto"/>
                <w:lang w:eastAsia="zh-CN"/>
              </w:rPr>
              <w:t>）</w:t>
            </w:r>
            <w:r>
              <w:rPr>
                <w:rFonts w:hint="default" w:ascii="Times New Roman" w:hAnsi="Times New Roman" w:eastAsia="宋体" w:cs="Times New Roman"/>
                <w:color w:val="auto"/>
                <w:szCs w:val="24"/>
                <w:highlight w:val="none"/>
                <w:u w:val="none" w:color="auto"/>
              </w:rPr>
              <w:t>中的有关规定：</w:t>
            </w:r>
          </w:p>
          <w:p w14:paraId="016EC54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Cs w:val="24"/>
                <w:highlight w:val="none"/>
                <w:u w:val="none" w:color="auto"/>
              </w:rPr>
            </w:pPr>
            <w:r>
              <w:rPr>
                <w:rFonts w:hint="default" w:ascii="Times New Roman" w:hAnsi="Times New Roman" w:eastAsia="宋体" w:cs="Times New Roman"/>
                <w:color w:val="auto"/>
                <w:szCs w:val="24"/>
                <w:highlight w:val="none"/>
                <w:u w:val="none" w:color="auto"/>
              </w:rPr>
              <w:t>a.采取必要的防风、防晒、防雨、防漏、防渗、防腐以及其他环境污染防治措施。</w:t>
            </w:r>
          </w:p>
          <w:p w14:paraId="2C1DD37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Cs w:val="24"/>
                <w:highlight w:val="none"/>
                <w:u w:val="none" w:color="auto"/>
              </w:rPr>
            </w:pPr>
            <w:r>
              <w:rPr>
                <w:rFonts w:hint="default" w:ascii="Times New Roman" w:hAnsi="Times New Roman" w:eastAsia="宋体" w:cs="Times New Roman"/>
                <w:color w:val="auto"/>
                <w:szCs w:val="24"/>
                <w:highlight w:val="none"/>
                <w:u w:val="none" w:color="auto"/>
              </w:rPr>
              <w:t>b.贮存设施应根据危险废物的类别、数量、形态、物理化学性质和污染防治等要求设置必要的贮存分区，避免不相容的危险废物接触、混合。</w:t>
            </w:r>
          </w:p>
          <w:p w14:paraId="0ACC78C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Cs w:val="24"/>
                <w:highlight w:val="none"/>
                <w:u w:val="none" w:color="auto"/>
              </w:rPr>
            </w:pPr>
            <w:r>
              <w:rPr>
                <w:rFonts w:hint="default" w:ascii="Times New Roman" w:hAnsi="Times New Roman" w:eastAsia="宋体" w:cs="Times New Roman"/>
                <w:color w:val="auto"/>
                <w:szCs w:val="24"/>
                <w:highlight w:val="none"/>
                <w:u w:val="none" w:color="auto"/>
              </w:rPr>
              <w:t>c</w:t>
            </w:r>
            <w:r>
              <w:rPr>
                <w:rFonts w:hint="eastAsia" w:ascii="Times New Roman" w:hAnsi="Times New Roman" w:eastAsia="宋体" w:cs="Times New Roman"/>
                <w:color w:val="auto"/>
                <w:szCs w:val="24"/>
                <w:highlight w:val="none"/>
                <w:u w:val="none" w:color="auto"/>
                <w:lang w:val="en-US" w:eastAsia="zh-CN"/>
              </w:rPr>
              <w:t>.</w:t>
            </w:r>
            <w:r>
              <w:rPr>
                <w:rFonts w:hint="default" w:ascii="Times New Roman" w:hAnsi="Times New Roman" w:eastAsia="宋体" w:cs="Times New Roman"/>
                <w:color w:val="auto"/>
                <w:szCs w:val="24"/>
                <w:highlight w:val="none"/>
                <w:u w:val="none" w:color="auto"/>
              </w:rPr>
              <w:t>贮存设施或贮存分区内地面、墙面裙脚、堵截泄漏的围堰、接触危险废物的隔板和墙体等应采用坚固的材料建造，表面无裂缝。</w:t>
            </w:r>
          </w:p>
          <w:p w14:paraId="0215238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Cs w:val="24"/>
                <w:highlight w:val="none"/>
                <w:u w:val="none" w:color="auto"/>
              </w:rPr>
            </w:pPr>
            <w:r>
              <w:rPr>
                <w:rFonts w:hint="default" w:ascii="Times New Roman" w:hAnsi="Times New Roman" w:eastAsia="宋体" w:cs="Times New Roman"/>
                <w:color w:val="auto"/>
                <w:szCs w:val="24"/>
                <w:highlight w:val="none"/>
                <w:u w:val="none" w:color="auto"/>
              </w:rPr>
              <w:t>d</w:t>
            </w:r>
            <w:r>
              <w:rPr>
                <w:rFonts w:hint="eastAsia" w:ascii="Times New Roman" w:hAnsi="Times New Roman" w:eastAsia="宋体" w:cs="Times New Roman"/>
                <w:color w:val="auto"/>
                <w:szCs w:val="24"/>
                <w:highlight w:val="none"/>
                <w:u w:val="none" w:color="auto"/>
                <w:lang w:val="en-US" w:eastAsia="zh-CN"/>
              </w:rPr>
              <w:t>.</w:t>
            </w:r>
            <w:r>
              <w:rPr>
                <w:rFonts w:hint="default" w:ascii="Times New Roman" w:hAnsi="Times New Roman" w:eastAsia="宋体" w:cs="Times New Roman"/>
                <w:color w:val="auto"/>
                <w:szCs w:val="24"/>
                <w:highlight w:val="none"/>
                <w:u w:val="none" w:color="auto"/>
              </w:rPr>
              <w:t>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 1m 厚黏土层（渗透系数不大于10</w:t>
            </w:r>
            <w:r>
              <w:rPr>
                <w:rFonts w:hint="default" w:ascii="Times New Roman" w:hAnsi="Times New Roman" w:eastAsia="宋体" w:cs="Times New Roman"/>
                <w:color w:val="auto"/>
                <w:szCs w:val="24"/>
                <w:highlight w:val="none"/>
                <w:u w:val="none" w:color="auto"/>
                <w:vertAlign w:val="superscript"/>
              </w:rPr>
              <w:t>-7</w:t>
            </w:r>
            <w:r>
              <w:rPr>
                <w:rFonts w:hint="default" w:ascii="Times New Roman" w:hAnsi="Times New Roman" w:eastAsia="宋体" w:cs="Times New Roman"/>
                <w:color w:val="auto"/>
                <w:szCs w:val="24"/>
                <w:highlight w:val="none"/>
                <w:u w:val="none" w:color="auto"/>
              </w:rPr>
              <w:t xml:space="preserve"> cm/s），或至少2mm厚高密度聚乙烯膜等人工防渗材料（渗透系数不大于10</w:t>
            </w:r>
            <w:r>
              <w:rPr>
                <w:rFonts w:hint="default" w:ascii="Times New Roman" w:hAnsi="Times New Roman" w:eastAsia="宋体" w:cs="Times New Roman"/>
                <w:color w:val="auto"/>
                <w:szCs w:val="24"/>
                <w:highlight w:val="none"/>
                <w:u w:val="none" w:color="auto"/>
                <w:vertAlign w:val="superscript"/>
              </w:rPr>
              <w:t>-10</w:t>
            </w:r>
            <w:r>
              <w:rPr>
                <w:rFonts w:hint="default" w:ascii="Times New Roman" w:hAnsi="Times New Roman" w:eastAsia="宋体" w:cs="Times New Roman"/>
                <w:color w:val="auto"/>
                <w:szCs w:val="24"/>
                <w:highlight w:val="none"/>
                <w:u w:val="none" w:color="auto"/>
              </w:rPr>
              <w:t>cm/s），或其他防渗性能等效的材料。</w:t>
            </w:r>
          </w:p>
          <w:p w14:paraId="776BBBA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Cs w:val="24"/>
                <w:highlight w:val="none"/>
                <w:u w:val="none" w:color="auto"/>
              </w:rPr>
            </w:pPr>
            <w:r>
              <w:rPr>
                <w:rFonts w:hint="default" w:ascii="Times New Roman" w:hAnsi="Times New Roman" w:eastAsia="宋体" w:cs="Times New Roman"/>
                <w:color w:val="auto"/>
                <w:szCs w:val="24"/>
                <w:highlight w:val="none"/>
                <w:u w:val="none" w:color="auto"/>
              </w:rPr>
              <w:t>e</w:t>
            </w:r>
            <w:r>
              <w:rPr>
                <w:rFonts w:hint="eastAsia" w:ascii="Times New Roman" w:hAnsi="Times New Roman" w:eastAsia="宋体" w:cs="Times New Roman"/>
                <w:color w:val="auto"/>
                <w:szCs w:val="24"/>
                <w:highlight w:val="none"/>
                <w:u w:val="none" w:color="auto"/>
                <w:lang w:val="en-US" w:eastAsia="zh-CN"/>
              </w:rPr>
              <w:t>.</w:t>
            </w:r>
            <w:r>
              <w:rPr>
                <w:rFonts w:hint="default" w:ascii="Times New Roman" w:hAnsi="Times New Roman" w:eastAsia="宋体" w:cs="Times New Roman"/>
                <w:color w:val="auto"/>
                <w:szCs w:val="24"/>
                <w:highlight w:val="none"/>
                <w:u w:val="none" w:color="auto"/>
              </w:rPr>
              <w:t>同一贮存设施宜采用相同的防渗、防腐工艺（包括防渗、防腐结构或材料），防渗、防腐材料应覆盖所有可能与废物及其渗滤液、渗漏液等接触的构筑物表面；采用不同防渗、防腐工艺应分别建设贮存分区。</w:t>
            </w:r>
          </w:p>
          <w:p w14:paraId="3A9755A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Cs w:val="24"/>
                <w:highlight w:val="none"/>
                <w:u w:val="none" w:color="auto"/>
              </w:rPr>
            </w:pPr>
            <w:r>
              <w:rPr>
                <w:rFonts w:hint="default" w:ascii="Times New Roman" w:hAnsi="Times New Roman" w:eastAsia="宋体" w:cs="Times New Roman"/>
                <w:color w:val="auto"/>
                <w:szCs w:val="24"/>
                <w:highlight w:val="none"/>
                <w:u w:val="none" w:color="auto"/>
              </w:rPr>
              <w:t>f</w:t>
            </w:r>
            <w:r>
              <w:rPr>
                <w:rFonts w:hint="eastAsia" w:ascii="Times New Roman" w:hAnsi="Times New Roman" w:eastAsia="宋体" w:cs="Times New Roman"/>
                <w:color w:val="auto"/>
                <w:szCs w:val="24"/>
                <w:highlight w:val="none"/>
                <w:u w:val="none" w:color="auto"/>
                <w:lang w:val="en-US" w:eastAsia="zh-CN"/>
              </w:rPr>
              <w:t>.</w:t>
            </w:r>
            <w:r>
              <w:rPr>
                <w:rFonts w:hint="default" w:ascii="Times New Roman" w:hAnsi="Times New Roman" w:eastAsia="宋体" w:cs="Times New Roman"/>
                <w:color w:val="auto"/>
                <w:szCs w:val="24"/>
                <w:highlight w:val="none"/>
                <w:u w:val="none" w:color="auto"/>
              </w:rPr>
              <w:t>贮存设施应采取技术和管理措施防止无关人员进入。</w:t>
            </w:r>
          </w:p>
          <w:p w14:paraId="152BE53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Cs w:val="24"/>
                <w:highlight w:val="none"/>
                <w:u w:val="none" w:color="auto"/>
              </w:rPr>
            </w:pPr>
            <w:r>
              <w:rPr>
                <w:rFonts w:hint="default" w:ascii="Times New Roman" w:hAnsi="Times New Roman" w:eastAsia="宋体" w:cs="Times New Roman"/>
                <w:color w:val="auto"/>
                <w:szCs w:val="24"/>
                <w:highlight w:val="none"/>
                <w:u w:val="none" w:color="auto"/>
              </w:rPr>
              <w:t>③危险废物的运输要求</w:t>
            </w:r>
          </w:p>
          <w:p w14:paraId="3B13E6C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Cs w:val="24"/>
                <w:highlight w:val="none"/>
                <w:u w:val="none" w:color="auto"/>
              </w:rPr>
            </w:pPr>
            <w:r>
              <w:rPr>
                <w:rFonts w:hint="default" w:ascii="Times New Roman" w:hAnsi="Times New Roman" w:eastAsia="宋体" w:cs="Times New Roman"/>
                <w:color w:val="auto"/>
                <w:szCs w:val="24"/>
                <w:highlight w:val="none"/>
                <w:u w:val="none" w:color="auto"/>
              </w:rPr>
              <w:t>危险废物的运输应符合《危险废物转移管理办法》，保证运输安全，防止非法转移和非法处置，保证危险废物的安全监控，防止危险废物污染事故发生。</w:t>
            </w:r>
          </w:p>
          <w:p w14:paraId="66AA3EC4">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auto"/>
                <w:kern w:val="0"/>
                <w:sz w:val="24"/>
                <w:szCs w:val="20"/>
                <w:highlight w:val="none"/>
                <w:u w:val="none" w:color="auto"/>
                <w:lang w:val="en-US" w:eastAsia="zh-CN" w:bidi="ar-SA"/>
              </w:rPr>
            </w:pPr>
            <w:r>
              <w:rPr>
                <w:rFonts w:hint="default" w:ascii="Times New Roman" w:hAnsi="Times New Roman" w:eastAsia="宋体" w:cs="Times New Roman"/>
                <w:color w:val="auto"/>
                <w:kern w:val="0"/>
                <w:sz w:val="24"/>
                <w:szCs w:val="20"/>
                <w:highlight w:val="none"/>
                <w:u w:val="none" w:color="auto"/>
                <w:lang w:val="en-US" w:eastAsia="zh-CN" w:bidi="ar-SA"/>
              </w:rPr>
              <w:t>本项目建设5m</w:t>
            </w:r>
            <w:r>
              <w:rPr>
                <w:rFonts w:hint="default" w:ascii="Times New Roman" w:hAnsi="Times New Roman" w:eastAsia="宋体" w:cs="Times New Roman"/>
                <w:color w:val="auto"/>
                <w:kern w:val="0"/>
                <w:sz w:val="24"/>
                <w:szCs w:val="20"/>
                <w:highlight w:val="none"/>
                <w:u w:val="none" w:color="auto"/>
                <w:vertAlign w:val="superscript"/>
                <w:lang w:val="en-US" w:eastAsia="zh-CN" w:bidi="ar-SA"/>
              </w:rPr>
              <w:t>2</w:t>
            </w:r>
            <w:r>
              <w:rPr>
                <w:rFonts w:hint="default" w:ascii="Times New Roman" w:hAnsi="Times New Roman" w:eastAsia="宋体" w:cs="Times New Roman"/>
                <w:color w:val="auto"/>
                <w:kern w:val="0"/>
                <w:sz w:val="24"/>
                <w:szCs w:val="20"/>
                <w:highlight w:val="none"/>
                <w:u w:val="none" w:color="auto"/>
                <w:lang w:val="en-US" w:eastAsia="zh-CN" w:bidi="ar-SA"/>
              </w:rPr>
              <w:t>的危险废物暂存间，位于</w:t>
            </w:r>
            <w:r>
              <w:rPr>
                <w:rFonts w:hint="eastAsia" w:ascii="Times New Roman" w:hAnsi="Times New Roman" w:eastAsia="宋体" w:cs="Times New Roman"/>
                <w:color w:val="auto"/>
                <w:kern w:val="0"/>
                <w:sz w:val="24"/>
                <w:szCs w:val="20"/>
                <w:highlight w:val="none"/>
                <w:u w:val="none" w:color="auto"/>
                <w:lang w:val="en-US" w:eastAsia="zh-CN" w:bidi="ar-SA"/>
              </w:rPr>
              <w:t>厂区东侧综合楼</w:t>
            </w:r>
            <w:r>
              <w:rPr>
                <w:rFonts w:hint="default" w:ascii="Times New Roman" w:hAnsi="Times New Roman" w:eastAsia="宋体" w:cs="Times New Roman"/>
                <w:color w:val="auto"/>
                <w:kern w:val="0"/>
                <w:sz w:val="24"/>
                <w:szCs w:val="20"/>
                <w:highlight w:val="none"/>
                <w:u w:val="none" w:color="auto"/>
                <w:lang w:val="en-US" w:eastAsia="zh-CN" w:bidi="ar-SA"/>
              </w:rPr>
              <w:t>，对项目产生的危废进行分类暂存。</w:t>
            </w:r>
          </w:p>
          <w:p w14:paraId="01F60CC8">
            <w:pPr>
              <w:keepNext w:val="0"/>
              <w:keepLines w:val="0"/>
              <w:suppressLineNumbers w:val="0"/>
              <w:bidi w:val="0"/>
              <w:adjustRightInd w:val="0"/>
              <w:snapToGrid w:val="0"/>
              <w:spacing w:before="0" w:beforeAutospacing="0" w:after="0" w:afterAutospacing="0" w:line="240" w:lineRule="auto"/>
              <w:ind w:left="0" w:right="0" w:firstLine="422" w:firstLineChars="200"/>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表4-</w:t>
            </w:r>
            <w:r>
              <w:rPr>
                <w:rFonts w:hint="eastAsia" w:ascii="Times New Roman" w:hAnsi="Times New Roman" w:eastAsia="宋体" w:cs="Times New Roman"/>
                <w:b/>
                <w:bCs/>
                <w:color w:val="auto"/>
                <w:sz w:val="21"/>
                <w:szCs w:val="21"/>
                <w:u w:val="none" w:color="auto"/>
                <w:lang w:val="en-US" w:eastAsia="zh-CN"/>
              </w:rPr>
              <w:t>20</w:t>
            </w:r>
            <w:r>
              <w:rPr>
                <w:rFonts w:hint="default" w:ascii="Times New Roman" w:hAnsi="Times New Roman" w:eastAsia="宋体" w:cs="Times New Roman"/>
                <w:b/>
                <w:bCs/>
                <w:color w:val="auto"/>
                <w:sz w:val="21"/>
                <w:szCs w:val="21"/>
                <w:u w:val="none" w:color="auto"/>
              </w:rPr>
              <w:t>项目危险废物贮存场所情况表</w:t>
            </w:r>
          </w:p>
          <w:tbl>
            <w:tblPr>
              <w:tblStyle w:val="42"/>
              <w:tblW w:w="4994"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84"/>
              <w:gridCol w:w="694"/>
              <w:gridCol w:w="945"/>
              <w:gridCol w:w="782"/>
              <w:gridCol w:w="1087"/>
              <w:gridCol w:w="638"/>
              <w:gridCol w:w="592"/>
              <w:gridCol w:w="742"/>
              <w:gridCol w:w="606"/>
              <w:gridCol w:w="746"/>
              <w:gridCol w:w="750"/>
            </w:tblGrid>
            <w:tr w14:paraId="2412A6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240" w:type="pct"/>
                  <w:tcBorders>
                    <w:tl2br w:val="nil"/>
                    <w:tr2bl w:val="nil"/>
                  </w:tcBorders>
                  <w:noWrap w:val="0"/>
                  <w:vAlign w:val="center"/>
                </w:tcPr>
                <w:p w14:paraId="4C34FA4D">
                  <w:pPr>
                    <w:keepNext w:val="0"/>
                    <w:keepLines w:val="0"/>
                    <w:suppressLineNumbers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序号</w:t>
                  </w:r>
                </w:p>
              </w:tc>
              <w:tc>
                <w:tcPr>
                  <w:tcW w:w="435" w:type="pct"/>
                  <w:tcBorders>
                    <w:tl2br w:val="nil"/>
                    <w:tr2bl w:val="nil"/>
                  </w:tcBorders>
                  <w:noWrap w:val="0"/>
                  <w:vAlign w:val="center"/>
                </w:tcPr>
                <w:p w14:paraId="5A6BF936">
                  <w:pPr>
                    <w:keepNext w:val="0"/>
                    <w:keepLines w:val="0"/>
                    <w:suppressLineNumbers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贮存场所名称</w:t>
                  </w:r>
                </w:p>
              </w:tc>
              <w:tc>
                <w:tcPr>
                  <w:tcW w:w="593" w:type="pct"/>
                  <w:tcBorders>
                    <w:tl2br w:val="nil"/>
                    <w:tr2bl w:val="nil"/>
                  </w:tcBorders>
                  <w:noWrap w:val="0"/>
                  <w:vAlign w:val="center"/>
                </w:tcPr>
                <w:p w14:paraId="5B866207">
                  <w:pPr>
                    <w:keepNext w:val="0"/>
                    <w:keepLines w:val="0"/>
                    <w:suppressLineNumbers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危险废物名称</w:t>
                  </w:r>
                </w:p>
              </w:tc>
              <w:tc>
                <w:tcPr>
                  <w:tcW w:w="490" w:type="pct"/>
                  <w:tcBorders>
                    <w:tl2br w:val="nil"/>
                    <w:tr2bl w:val="nil"/>
                  </w:tcBorders>
                  <w:noWrap w:val="0"/>
                  <w:vAlign w:val="center"/>
                </w:tcPr>
                <w:p w14:paraId="2D8C7EDB">
                  <w:pPr>
                    <w:keepNext w:val="0"/>
                    <w:keepLines w:val="0"/>
                    <w:suppressLineNumbers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危险废物类别</w:t>
                  </w:r>
                </w:p>
              </w:tc>
              <w:tc>
                <w:tcPr>
                  <w:tcW w:w="682" w:type="pct"/>
                  <w:tcBorders>
                    <w:tl2br w:val="nil"/>
                    <w:tr2bl w:val="nil"/>
                  </w:tcBorders>
                  <w:noWrap w:val="0"/>
                  <w:vAlign w:val="center"/>
                </w:tcPr>
                <w:p w14:paraId="1BB4EB64">
                  <w:pPr>
                    <w:keepNext w:val="0"/>
                    <w:keepLines w:val="0"/>
                    <w:suppressLineNumbers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危险废物代码</w:t>
                  </w:r>
                </w:p>
              </w:tc>
              <w:tc>
                <w:tcPr>
                  <w:tcW w:w="400" w:type="pct"/>
                  <w:tcBorders>
                    <w:tl2br w:val="nil"/>
                    <w:tr2bl w:val="nil"/>
                  </w:tcBorders>
                  <w:noWrap w:val="0"/>
                  <w:vAlign w:val="center"/>
                </w:tcPr>
                <w:p w14:paraId="5E42B2DF">
                  <w:pPr>
                    <w:keepNext w:val="0"/>
                    <w:keepLines w:val="0"/>
                    <w:suppressLineNumbers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位置</w:t>
                  </w:r>
                </w:p>
              </w:tc>
              <w:tc>
                <w:tcPr>
                  <w:tcW w:w="371" w:type="pct"/>
                  <w:tcBorders>
                    <w:tl2br w:val="nil"/>
                    <w:tr2bl w:val="nil"/>
                  </w:tcBorders>
                  <w:noWrap w:val="0"/>
                  <w:vAlign w:val="center"/>
                </w:tcPr>
                <w:p w14:paraId="777BFB5F">
                  <w:pPr>
                    <w:keepNext w:val="0"/>
                    <w:keepLines w:val="0"/>
                    <w:suppressLineNumbers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占地</w:t>
                  </w:r>
                </w:p>
                <w:p w14:paraId="0DEB7FB5">
                  <w:pPr>
                    <w:keepNext w:val="0"/>
                    <w:keepLines w:val="0"/>
                    <w:suppressLineNumbers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面积</w:t>
                  </w:r>
                </w:p>
              </w:tc>
              <w:tc>
                <w:tcPr>
                  <w:tcW w:w="465" w:type="pct"/>
                  <w:tcBorders>
                    <w:tl2br w:val="nil"/>
                    <w:tr2bl w:val="nil"/>
                  </w:tcBorders>
                  <w:noWrap w:val="0"/>
                  <w:vAlign w:val="center"/>
                </w:tcPr>
                <w:p w14:paraId="3788635A">
                  <w:pPr>
                    <w:keepNext w:val="0"/>
                    <w:keepLines w:val="0"/>
                    <w:suppressLineNumbers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贮存</w:t>
                  </w:r>
                </w:p>
                <w:p w14:paraId="7F019444">
                  <w:pPr>
                    <w:keepNext w:val="0"/>
                    <w:keepLines w:val="0"/>
                    <w:suppressLineNumbers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方式</w:t>
                  </w:r>
                </w:p>
              </w:tc>
              <w:tc>
                <w:tcPr>
                  <w:tcW w:w="380" w:type="pct"/>
                  <w:tcBorders>
                    <w:tl2br w:val="nil"/>
                    <w:tr2bl w:val="nil"/>
                  </w:tcBorders>
                  <w:noWrap w:val="0"/>
                  <w:vAlign w:val="center"/>
                </w:tcPr>
                <w:p w14:paraId="64B2107D">
                  <w:pPr>
                    <w:keepNext w:val="0"/>
                    <w:keepLines w:val="0"/>
                    <w:suppressLineNumbers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贮存</w:t>
                  </w:r>
                </w:p>
                <w:p w14:paraId="6A479920">
                  <w:pPr>
                    <w:keepNext w:val="0"/>
                    <w:keepLines w:val="0"/>
                    <w:suppressLineNumbers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能力</w:t>
                  </w:r>
                </w:p>
              </w:tc>
              <w:tc>
                <w:tcPr>
                  <w:tcW w:w="468" w:type="pct"/>
                  <w:tcBorders>
                    <w:tl2br w:val="nil"/>
                    <w:tr2bl w:val="nil"/>
                  </w:tcBorders>
                  <w:noWrap w:val="0"/>
                  <w:vAlign w:val="center"/>
                </w:tcPr>
                <w:p w14:paraId="29D86E75">
                  <w:pPr>
                    <w:keepNext w:val="0"/>
                    <w:keepLines w:val="0"/>
                    <w:suppressLineNumbers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处理量（t/a）</w:t>
                  </w:r>
                </w:p>
              </w:tc>
              <w:tc>
                <w:tcPr>
                  <w:tcW w:w="470" w:type="pct"/>
                  <w:tcBorders>
                    <w:tl2br w:val="nil"/>
                    <w:tr2bl w:val="nil"/>
                  </w:tcBorders>
                  <w:noWrap w:val="0"/>
                  <w:vAlign w:val="center"/>
                </w:tcPr>
                <w:p w14:paraId="7F3A99AF">
                  <w:pPr>
                    <w:keepNext w:val="0"/>
                    <w:keepLines w:val="0"/>
                    <w:suppressLineNumbers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u w:val="none" w:color="auto"/>
                      <w:lang w:val="en-US" w:eastAsia="zh-CN"/>
                    </w:rPr>
                  </w:pPr>
                  <w:r>
                    <w:rPr>
                      <w:rFonts w:hint="default" w:ascii="Times New Roman" w:hAnsi="Times New Roman" w:eastAsia="宋体" w:cs="Times New Roman"/>
                      <w:b/>
                      <w:bCs/>
                      <w:color w:val="auto"/>
                      <w:sz w:val="21"/>
                      <w:szCs w:val="21"/>
                      <w:u w:val="none" w:color="auto"/>
                      <w:lang w:val="en-US" w:eastAsia="zh-CN"/>
                    </w:rPr>
                    <w:t>最大</w:t>
                  </w:r>
                </w:p>
                <w:p w14:paraId="521CA42C">
                  <w:pPr>
                    <w:keepNext w:val="0"/>
                    <w:keepLines w:val="0"/>
                    <w:suppressLineNumbers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贮存</w:t>
                  </w:r>
                </w:p>
                <w:p w14:paraId="7D532404">
                  <w:pPr>
                    <w:keepNext w:val="0"/>
                    <w:keepLines w:val="0"/>
                    <w:suppressLineNumbers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b/>
                      <w:bCs/>
                      <w:color w:val="auto"/>
                      <w:sz w:val="21"/>
                      <w:szCs w:val="21"/>
                      <w:u w:val="none" w:color="auto"/>
                    </w:rPr>
                  </w:pPr>
                  <w:r>
                    <w:rPr>
                      <w:rFonts w:hint="default" w:ascii="Times New Roman" w:hAnsi="Times New Roman" w:eastAsia="宋体" w:cs="Times New Roman"/>
                      <w:b/>
                      <w:bCs/>
                      <w:color w:val="auto"/>
                      <w:sz w:val="21"/>
                      <w:szCs w:val="21"/>
                      <w:u w:val="none" w:color="auto"/>
                    </w:rPr>
                    <w:t>周期</w:t>
                  </w:r>
                </w:p>
              </w:tc>
            </w:tr>
            <w:tr w14:paraId="2DDF131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240" w:type="pct"/>
                  <w:tcBorders>
                    <w:tl2br w:val="nil"/>
                    <w:tr2bl w:val="nil"/>
                  </w:tcBorders>
                  <w:noWrap w:val="0"/>
                  <w:vAlign w:val="center"/>
                </w:tcPr>
                <w:p w14:paraId="79FB871E">
                  <w:pPr>
                    <w:keepNext w:val="0"/>
                    <w:keepLines w:val="0"/>
                    <w:suppressLineNumbers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lang w:eastAsia="zh-CN"/>
                    </w:rPr>
                  </w:pPr>
                  <w:r>
                    <w:rPr>
                      <w:rFonts w:hint="default" w:ascii="Times New Roman" w:hAnsi="Times New Roman" w:eastAsia="宋体" w:cs="Times New Roman"/>
                      <w:color w:val="auto"/>
                      <w:sz w:val="21"/>
                      <w:szCs w:val="21"/>
                      <w:u w:val="none" w:color="auto"/>
                      <w:lang w:val="en-US" w:eastAsia="zh-CN"/>
                    </w:rPr>
                    <w:t>2</w:t>
                  </w:r>
                </w:p>
              </w:tc>
              <w:tc>
                <w:tcPr>
                  <w:tcW w:w="435" w:type="pct"/>
                  <w:tcBorders>
                    <w:tl2br w:val="nil"/>
                    <w:tr2bl w:val="nil"/>
                  </w:tcBorders>
                  <w:noWrap w:val="0"/>
                  <w:vAlign w:val="center"/>
                </w:tcPr>
                <w:p w14:paraId="67BD9053">
                  <w:pPr>
                    <w:keepNext w:val="0"/>
                    <w:keepLines w:val="0"/>
                    <w:suppressLineNumbers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危险废物暂存间</w:t>
                  </w:r>
                </w:p>
              </w:tc>
              <w:tc>
                <w:tcPr>
                  <w:tcW w:w="593" w:type="pct"/>
                  <w:tcBorders>
                    <w:tl2br w:val="nil"/>
                    <w:tr2bl w:val="nil"/>
                  </w:tcBorders>
                  <w:noWrap w:val="0"/>
                  <w:vAlign w:val="center"/>
                </w:tcPr>
                <w:p w14:paraId="2F482085">
                  <w:pPr>
                    <w:keepNext w:val="0"/>
                    <w:keepLines w:val="0"/>
                    <w:suppressLineNumbers w:val="0"/>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rPr>
                    <w:t>废</w:t>
                  </w:r>
                  <w:r>
                    <w:rPr>
                      <w:rFonts w:hint="default" w:ascii="Times New Roman" w:hAnsi="Times New Roman" w:eastAsia="宋体" w:cs="Times New Roman"/>
                      <w:color w:val="auto"/>
                      <w:sz w:val="21"/>
                      <w:szCs w:val="21"/>
                      <w:u w:val="none" w:color="auto"/>
                      <w:lang w:val="en-US" w:eastAsia="zh-CN"/>
                    </w:rPr>
                    <w:t>矿物油</w:t>
                  </w:r>
                </w:p>
              </w:tc>
              <w:tc>
                <w:tcPr>
                  <w:tcW w:w="490" w:type="pct"/>
                  <w:tcBorders>
                    <w:tl2br w:val="nil"/>
                    <w:tr2bl w:val="nil"/>
                  </w:tcBorders>
                  <w:noWrap w:val="0"/>
                  <w:vAlign w:val="center"/>
                </w:tcPr>
                <w:p w14:paraId="69158D36">
                  <w:pPr>
                    <w:keepNext w:val="0"/>
                    <w:keepLines w:val="0"/>
                    <w:suppressLineNumbers w:val="0"/>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rPr>
                    <w:t>HW08</w:t>
                  </w:r>
                </w:p>
              </w:tc>
              <w:tc>
                <w:tcPr>
                  <w:tcW w:w="682" w:type="pct"/>
                  <w:tcBorders>
                    <w:tl2br w:val="nil"/>
                    <w:tr2bl w:val="nil"/>
                  </w:tcBorders>
                  <w:noWrap w:val="0"/>
                  <w:vAlign w:val="center"/>
                </w:tcPr>
                <w:p w14:paraId="0910CAA9">
                  <w:pPr>
                    <w:keepNext w:val="0"/>
                    <w:keepLines w:val="0"/>
                    <w:suppressLineNumbers w:val="0"/>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rPr>
                    <w:t>900-214-08</w:t>
                  </w:r>
                </w:p>
              </w:tc>
              <w:tc>
                <w:tcPr>
                  <w:tcW w:w="400" w:type="pct"/>
                  <w:tcBorders>
                    <w:tl2br w:val="nil"/>
                    <w:tr2bl w:val="nil"/>
                  </w:tcBorders>
                  <w:noWrap w:val="0"/>
                  <w:vAlign w:val="center"/>
                </w:tcPr>
                <w:p w14:paraId="32C4C47A">
                  <w:pPr>
                    <w:keepNext w:val="0"/>
                    <w:keepLines w:val="0"/>
                    <w:suppressLineNumbers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kern w:val="2"/>
                      <w:sz w:val="21"/>
                      <w:szCs w:val="21"/>
                      <w:u w:val="none" w:color="auto"/>
                      <w:lang w:val="en-US" w:eastAsia="zh-CN" w:bidi="ar-SA"/>
                    </w:rPr>
                    <w:t>车间</w:t>
                  </w:r>
                  <w:r>
                    <w:rPr>
                      <w:rFonts w:hint="eastAsia" w:ascii="Times New Roman" w:hAnsi="Times New Roman" w:eastAsia="宋体" w:cs="Times New Roman"/>
                      <w:color w:val="auto"/>
                      <w:kern w:val="2"/>
                      <w:sz w:val="21"/>
                      <w:szCs w:val="21"/>
                      <w:u w:val="none" w:color="auto"/>
                      <w:lang w:val="en-US" w:eastAsia="zh-CN" w:bidi="ar-SA"/>
                    </w:rPr>
                    <w:t>东侧</w:t>
                  </w:r>
                  <w:r>
                    <w:rPr>
                      <w:rFonts w:hint="default" w:ascii="Times New Roman" w:hAnsi="Times New Roman" w:eastAsia="宋体" w:cs="Times New Roman"/>
                      <w:color w:val="auto"/>
                      <w:kern w:val="2"/>
                      <w:sz w:val="21"/>
                      <w:szCs w:val="21"/>
                      <w:u w:val="none" w:color="auto"/>
                      <w:lang w:val="en-US" w:eastAsia="zh-CN" w:bidi="ar-SA"/>
                    </w:rPr>
                    <w:t>5m</w:t>
                  </w:r>
                  <w:r>
                    <w:rPr>
                      <w:rFonts w:hint="default" w:ascii="Times New Roman" w:hAnsi="Times New Roman" w:eastAsia="宋体" w:cs="Times New Roman"/>
                      <w:color w:val="auto"/>
                      <w:kern w:val="2"/>
                      <w:sz w:val="21"/>
                      <w:szCs w:val="21"/>
                      <w:u w:val="none" w:color="auto"/>
                      <w:vertAlign w:val="superscript"/>
                      <w:lang w:val="en-US" w:eastAsia="zh-CN" w:bidi="ar-SA"/>
                    </w:rPr>
                    <w:t>2</w:t>
                  </w:r>
                </w:p>
              </w:tc>
              <w:tc>
                <w:tcPr>
                  <w:tcW w:w="371" w:type="pct"/>
                  <w:tcBorders>
                    <w:tl2br w:val="nil"/>
                    <w:tr2bl w:val="nil"/>
                  </w:tcBorders>
                  <w:noWrap w:val="0"/>
                  <w:vAlign w:val="center"/>
                </w:tcPr>
                <w:p w14:paraId="2C652716">
                  <w:pPr>
                    <w:keepNext w:val="0"/>
                    <w:keepLines w:val="0"/>
                    <w:suppressLineNumbers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sz w:val="21"/>
                      <w:szCs w:val="21"/>
                      <w:u w:val="none" w:color="auto"/>
                      <w:lang w:val="en-US" w:eastAsia="zh-CN"/>
                    </w:rPr>
                  </w:pPr>
                  <w:r>
                    <w:rPr>
                      <w:rFonts w:hint="default" w:ascii="Times New Roman" w:hAnsi="Times New Roman" w:eastAsia="宋体" w:cs="Times New Roman"/>
                      <w:color w:val="auto"/>
                      <w:sz w:val="21"/>
                      <w:szCs w:val="21"/>
                      <w:u w:val="none" w:color="auto"/>
                      <w:lang w:val="en-US" w:eastAsia="zh-CN"/>
                    </w:rPr>
                    <w:t>5m</w:t>
                  </w:r>
                  <w:r>
                    <w:rPr>
                      <w:rFonts w:hint="default" w:ascii="Times New Roman" w:hAnsi="Times New Roman" w:eastAsia="宋体" w:cs="Times New Roman"/>
                      <w:color w:val="auto"/>
                      <w:sz w:val="21"/>
                      <w:szCs w:val="21"/>
                      <w:u w:val="none" w:color="auto"/>
                      <w:vertAlign w:val="superscript"/>
                      <w:lang w:val="en-US" w:eastAsia="zh-CN"/>
                    </w:rPr>
                    <w:t>2</w:t>
                  </w:r>
                </w:p>
              </w:tc>
              <w:tc>
                <w:tcPr>
                  <w:tcW w:w="465" w:type="pct"/>
                  <w:tcBorders>
                    <w:tl2br w:val="nil"/>
                    <w:tr2bl w:val="nil"/>
                  </w:tcBorders>
                  <w:noWrap w:val="0"/>
                  <w:vAlign w:val="center"/>
                </w:tcPr>
                <w:p w14:paraId="3668ADC0">
                  <w:pPr>
                    <w:keepNext w:val="0"/>
                    <w:keepLines w:val="0"/>
                    <w:suppressLineNumbers w:val="0"/>
                    <w:bidi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rPr>
                    <w:t>专用桶</w:t>
                  </w:r>
                </w:p>
              </w:tc>
              <w:tc>
                <w:tcPr>
                  <w:tcW w:w="380" w:type="pct"/>
                  <w:tcBorders>
                    <w:tl2br w:val="nil"/>
                    <w:tr2bl w:val="nil"/>
                  </w:tcBorders>
                  <w:noWrap w:val="0"/>
                  <w:vAlign w:val="center"/>
                </w:tcPr>
                <w:p w14:paraId="41BE3287">
                  <w:pPr>
                    <w:keepNext w:val="0"/>
                    <w:keepLines w:val="0"/>
                    <w:suppressLineNumbers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5</w:t>
                  </w:r>
                  <w:r>
                    <w:rPr>
                      <w:rFonts w:hint="default" w:ascii="Times New Roman" w:hAnsi="Times New Roman" w:eastAsia="宋体" w:cs="Times New Roman"/>
                      <w:color w:val="auto"/>
                      <w:sz w:val="21"/>
                      <w:szCs w:val="21"/>
                      <w:u w:val="none" w:color="auto"/>
                    </w:rPr>
                    <w:t>t</w:t>
                  </w:r>
                </w:p>
              </w:tc>
              <w:tc>
                <w:tcPr>
                  <w:tcW w:w="468" w:type="pct"/>
                  <w:tcBorders>
                    <w:tl2br w:val="nil"/>
                    <w:tr2bl w:val="nil"/>
                  </w:tcBorders>
                  <w:noWrap w:val="0"/>
                  <w:vAlign w:val="center"/>
                </w:tcPr>
                <w:p w14:paraId="352FDA9D">
                  <w:pPr>
                    <w:keepNext w:val="0"/>
                    <w:keepLines w:val="0"/>
                    <w:suppressLineNumbers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eastAsia" w:ascii="Times New Roman" w:hAnsi="Times New Roman" w:eastAsia="宋体" w:cs="Times New Roman"/>
                      <w:color w:val="auto"/>
                      <w:sz w:val="21"/>
                      <w:szCs w:val="21"/>
                      <w:u w:val="none" w:color="auto"/>
                      <w:lang w:val="en-US" w:eastAsia="zh-CN"/>
                    </w:rPr>
                    <w:t>0.05</w:t>
                  </w:r>
                </w:p>
              </w:tc>
              <w:tc>
                <w:tcPr>
                  <w:tcW w:w="470" w:type="pct"/>
                  <w:tcBorders>
                    <w:tl2br w:val="nil"/>
                    <w:tr2bl w:val="nil"/>
                  </w:tcBorders>
                  <w:noWrap w:val="0"/>
                  <w:vAlign w:val="center"/>
                </w:tcPr>
                <w:p w14:paraId="7CFD0A40">
                  <w:pPr>
                    <w:keepNext w:val="0"/>
                    <w:keepLines w:val="0"/>
                    <w:suppressLineNumbers w:val="0"/>
                    <w:bidi w:val="0"/>
                    <w:adjustRightInd w:val="0"/>
                    <w:snapToGrid w:val="0"/>
                    <w:spacing w:before="0" w:beforeAutospacing="0" w:after="0" w:afterAutospacing="0" w:line="240" w:lineRule="auto"/>
                    <w:ind w:left="0" w:right="0" w:firstLine="0" w:firstLineChars="0"/>
                    <w:jc w:val="center"/>
                    <w:rPr>
                      <w:rFonts w:hint="default" w:ascii="Times New Roman" w:hAnsi="Times New Roman" w:eastAsia="宋体" w:cs="Times New Roman"/>
                      <w:color w:val="auto"/>
                      <w:kern w:val="2"/>
                      <w:sz w:val="21"/>
                      <w:szCs w:val="21"/>
                      <w:u w:val="none" w:color="auto"/>
                      <w:lang w:val="en-US" w:eastAsia="zh-CN" w:bidi="ar-SA"/>
                    </w:rPr>
                  </w:pPr>
                  <w:r>
                    <w:rPr>
                      <w:rFonts w:hint="default" w:ascii="Times New Roman" w:hAnsi="Times New Roman" w:eastAsia="宋体" w:cs="Times New Roman"/>
                      <w:color w:val="auto"/>
                      <w:sz w:val="21"/>
                      <w:szCs w:val="21"/>
                      <w:u w:val="none" w:color="auto"/>
                      <w:lang w:val="en-US" w:eastAsia="zh-CN"/>
                    </w:rPr>
                    <w:t>1年</w:t>
                  </w:r>
                </w:p>
              </w:tc>
            </w:tr>
          </w:tbl>
          <w:p w14:paraId="6AABB664">
            <w:pPr>
              <w:pStyle w:val="100"/>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eastAsia" w:ascii="Times New Roman" w:hAnsi="Times New Roman" w:eastAsia="宋体" w:cs="Times New Roman"/>
                <w:color w:val="auto"/>
                <w:sz w:val="24"/>
                <w:szCs w:val="24"/>
                <w:highlight w:val="none"/>
                <w:u w:val="none" w:color="auto"/>
                <w:lang w:eastAsia="zh-CN"/>
              </w:rPr>
            </w:pPr>
            <w:r>
              <w:rPr>
                <w:rFonts w:hint="eastAsia" w:ascii="Times New Roman" w:hAnsi="Times New Roman" w:eastAsia="宋体" w:cs="Times New Roman"/>
                <w:color w:val="auto"/>
                <w:sz w:val="24"/>
                <w:szCs w:val="24"/>
                <w:highlight w:val="none"/>
                <w:u w:val="none" w:color="auto"/>
                <w:lang w:eastAsia="zh-CN"/>
              </w:rPr>
              <w:t>（</w:t>
            </w:r>
            <w:r>
              <w:rPr>
                <w:rFonts w:hint="eastAsia" w:ascii="Times New Roman" w:hAnsi="Times New Roman" w:eastAsia="宋体" w:cs="Times New Roman"/>
                <w:color w:val="auto"/>
                <w:sz w:val="24"/>
                <w:szCs w:val="24"/>
                <w:highlight w:val="none"/>
                <w:u w:val="none" w:color="auto"/>
                <w:lang w:val="en-US" w:eastAsia="zh-CN"/>
              </w:rPr>
              <w:t>2</w:t>
            </w:r>
            <w:r>
              <w:rPr>
                <w:rFonts w:hint="eastAsia" w:ascii="Times New Roman" w:hAnsi="Times New Roman" w:eastAsia="宋体" w:cs="Times New Roman"/>
                <w:color w:val="auto"/>
                <w:sz w:val="24"/>
                <w:szCs w:val="24"/>
                <w:highlight w:val="none"/>
                <w:u w:val="none" w:color="auto"/>
                <w:lang w:eastAsia="zh-CN"/>
              </w:rPr>
              <w:t>）一般工业固废处置措施</w:t>
            </w:r>
          </w:p>
          <w:p w14:paraId="3F5C1849">
            <w:pPr>
              <w:pStyle w:val="100"/>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对于一般工业废物，根据《一般工业固体废物贮存和填埋污染控制标准》(GB18599-2020)及相关国家及地方法律法规，提出如下环保措施：</w:t>
            </w:r>
          </w:p>
          <w:p w14:paraId="1FE26315">
            <w:pPr>
              <w:pStyle w:val="100"/>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①为加强监督管理，贮存、处置场应按 GB15562.2设置环境保护图形标志。按照GB18599-2020要求，采取必要的防渗（地面进行防渗处理，防渗层渗透系数≤1×10</w:t>
            </w:r>
            <w:r>
              <w:rPr>
                <w:rFonts w:hint="default" w:ascii="Times New Roman" w:hAnsi="Times New Roman" w:eastAsia="宋体" w:cs="Times New Roman"/>
                <w:color w:val="auto"/>
                <w:sz w:val="24"/>
                <w:szCs w:val="24"/>
                <w:highlight w:val="none"/>
                <w:u w:val="none" w:color="auto"/>
                <w:vertAlign w:val="superscript"/>
              </w:rPr>
              <w:t>-7</w:t>
            </w:r>
            <w:r>
              <w:rPr>
                <w:rFonts w:hint="default" w:ascii="Times New Roman" w:hAnsi="Times New Roman" w:eastAsia="宋体" w:cs="Times New Roman"/>
                <w:color w:val="auto"/>
                <w:sz w:val="24"/>
                <w:szCs w:val="24"/>
                <w:highlight w:val="none"/>
                <w:u w:val="none" w:color="auto"/>
              </w:rPr>
              <w:t>cm/s）、防风、防雨、防晒措施，并采取相应的防尘措施。</w:t>
            </w:r>
          </w:p>
          <w:p w14:paraId="0185B323">
            <w:pPr>
              <w:pStyle w:val="100"/>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②所有固体废物分类贮存和标识</w:t>
            </w:r>
            <w:r>
              <w:rPr>
                <w:rFonts w:hint="eastAsia" w:ascii="Times New Roman" w:hAnsi="Times New Roman" w:eastAsia="宋体" w:cs="Times New Roman"/>
                <w:color w:val="auto"/>
                <w:sz w:val="24"/>
                <w:szCs w:val="24"/>
                <w:highlight w:val="none"/>
                <w:u w:val="none" w:color="auto"/>
                <w:lang w:eastAsia="zh-CN"/>
              </w:rPr>
              <w:t>，密封收集</w:t>
            </w:r>
            <w:r>
              <w:rPr>
                <w:rFonts w:hint="default" w:ascii="Times New Roman" w:hAnsi="Times New Roman" w:eastAsia="宋体" w:cs="Times New Roman"/>
                <w:color w:val="auto"/>
                <w:sz w:val="24"/>
                <w:szCs w:val="24"/>
                <w:highlight w:val="none"/>
                <w:u w:val="none" w:color="auto"/>
              </w:rPr>
              <w:t>。</w:t>
            </w:r>
          </w:p>
          <w:p w14:paraId="27084162">
            <w:pPr>
              <w:pStyle w:val="100"/>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③本评价要求企业建立档案制度。按照《一般工业固体废物管理台账制定指南（试行）》将入场的一般工业固体废物的种类和数量等，详细记录在案，长期保存，供随时查阅。</w:t>
            </w:r>
          </w:p>
          <w:p w14:paraId="7EA66164">
            <w:pPr>
              <w:pStyle w:val="100"/>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④严格按照转运计划清运厂内堆存的一般生产性固废，建议企业积极开展固废综合利用的相关调研工作，通过综合利用增加企业经济附加值。</w:t>
            </w:r>
          </w:p>
          <w:p w14:paraId="5012A92F">
            <w:pPr>
              <w:pStyle w:val="100"/>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lang w:val="en-US" w:eastAsia="zh-CN"/>
              </w:rPr>
            </w:pPr>
            <w:r>
              <w:rPr>
                <w:rFonts w:hint="eastAsia" w:ascii="Times New Roman" w:hAnsi="Times New Roman" w:eastAsia="宋体" w:cs="Times New Roman"/>
                <w:color w:val="auto"/>
                <w:sz w:val="24"/>
                <w:szCs w:val="24"/>
                <w:highlight w:val="none"/>
                <w:u w:val="none" w:color="auto"/>
                <w:lang w:val="en-US" w:eastAsia="zh-CN"/>
              </w:rPr>
              <w:t>⑤产生的豆渣等食品类固废日产日清，及时清运。</w:t>
            </w:r>
          </w:p>
          <w:p w14:paraId="2138858E">
            <w:pPr>
              <w:pStyle w:val="100"/>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lang w:val="en-US" w:eastAsia="zh-CN"/>
              </w:rPr>
            </w:pPr>
            <w:r>
              <w:rPr>
                <w:rFonts w:hint="default" w:ascii="Times New Roman" w:hAnsi="Times New Roman" w:eastAsia="宋体" w:cs="Times New Roman"/>
                <w:color w:val="auto"/>
                <w:sz w:val="24"/>
                <w:szCs w:val="24"/>
                <w:highlight w:val="none"/>
                <w:u w:val="none" w:color="auto"/>
                <w:lang w:eastAsia="zh-CN"/>
              </w:rPr>
              <w:t>（</w:t>
            </w:r>
            <w:r>
              <w:rPr>
                <w:rFonts w:hint="eastAsia" w:ascii="Times New Roman" w:hAnsi="Times New Roman" w:eastAsia="宋体" w:cs="Times New Roman"/>
                <w:color w:val="auto"/>
                <w:sz w:val="24"/>
                <w:szCs w:val="24"/>
                <w:highlight w:val="none"/>
                <w:u w:val="none" w:color="auto"/>
                <w:lang w:val="en-US" w:eastAsia="zh-CN"/>
              </w:rPr>
              <w:t>2</w:t>
            </w:r>
            <w:r>
              <w:rPr>
                <w:rFonts w:hint="default"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lang w:val="en-US" w:eastAsia="zh-CN"/>
              </w:rPr>
              <w:t>生活垃圾处置措施</w:t>
            </w:r>
          </w:p>
          <w:p w14:paraId="481988F0">
            <w:pPr>
              <w:pStyle w:val="100"/>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项目生活垃圾集中收集（如放置于垃圾桶）后由环卫部门统一清运。</w:t>
            </w:r>
          </w:p>
          <w:p w14:paraId="7F8C3BBD">
            <w:pPr>
              <w:pStyle w:val="100"/>
              <w:keepNext w:val="0"/>
              <w:keepLines w:val="0"/>
              <w:pageBreakBefore w:val="0"/>
              <w:widowControl w:val="0"/>
              <w:kinsoku/>
              <w:wordWrap/>
              <w:overflowPunct/>
              <w:topLinePunct w:val="0"/>
              <w:autoSpaceDE/>
              <w:autoSpaceDN/>
              <w:bidi w:val="0"/>
              <w:adjustRightInd w:val="0"/>
              <w:snapToGrid/>
              <w:spacing w:line="360" w:lineRule="auto"/>
              <w:ind w:firstLine="480" w:firstLineChars="200"/>
              <w:textAlignment w:val="auto"/>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lang w:val="en-US" w:eastAsia="zh-CN"/>
              </w:rPr>
              <w:t>综上所述，本项目固体废物处理处置符合国家《固体废物污染环境防治法》规定的原则，符合《一般固体废物贮存和填埋污染控制标准》（GB18599-2020）、《危险废物贮存污染控制标准》（GB18597-2023），采取上述措施后，本工程固体废物可得到妥善的处理，对周围环境造成的影响很小</w:t>
            </w:r>
            <w:r>
              <w:rPr>
                <w:rFonts w:hint="default" w:ascii="Times New Roman" w:hAnsi="Times New Roman" w:eastAsia="宋体" w:cs="Times New Roman"/>
                <w:color w:val="auto"/>
                <w:sz w:val="24"/>
                <w:szCs w:val="24"/>
                <w:highlight w:val="none"/>
                <w:u w:val="none" w:color="auto"/>
              </w:rPr>
              <w:t>。</w:t>
            </w:r>
          </w:p>
          <w:p w14:paraId="0690E507">
            <w:pPr>
              <w:pStyle w:val="282"/>
              <w:keepNext w:val="0"/>
              <w:keepLines w:val="0"/>
              <w:pageBreakBefore w:val="0"/>
              <w:widowControl w:val="0"/>
              <w:kinsoku/>
              <w:wordWrap/>
              <w:overflowPunct/>
              <w:topLinePunct w:val="0"/>
              <w:autoSpaceDE/>
              <w:autoSpaceDN/>
              <w:bidi w:val="0"/>
              <w:snapToGrid/>
              <w:spacing w:line="360" w:lineRule="auto"/>
              <w:ind w:firstLine="480"/>
              <w:textAlignment w:val="auto"/>
              <w:rPr>
                <w:rFonts w:hint="default" w:ascii="Times New Roman" w:hAnsi="Times New Roman" w:eastAsia="宋体" w:cs="Times New Roman"/>
                <w:b/>
                <w:bCs/>
                <w:color w:val="auto"/>
                <w:highlight w:val="none"/>
                <w:u w:val="none" w:color="auto"/>
              </w:rPr>
            </w:pPr>
            <w:r>
              <w:rPr>
                <w:rFonts w:hint="default" w:ascii="Times New Roman" w:hAnsi="Times New Roman" w:eastAsia="宋体" w:cs="Times New Roman"/>
                <w:b/>
                <w:bCs/>
                <w:color w:val="auto"/>
                <w:highlight w:val="none"/>
                <w:u w:val="none" w:color="auto"/>
                <w:lang w:val="en-US" w:eastAsia="zh-CN"/>
              </w:rPr>
              <w:t>五</w:t>
            </w:r>
            <w:r>
              <w:rPr>
                <w:rFonts w:hint="default" w:ascii="Times New Roman" w:hAnsi="Times New Roman" w:eastAsia="宋体" w:cs="Times New Roman"/>
                <w:b/>
                <w:bCs/>
                <w:color w:val="auto"/>
                <w:highlight w:val="none"/>
                <w:u w:val="none" w:color="auto"/>
              </w:rPr>
              <w:t>、土壤及地下水环境影响和保护措施</w:t>
            </w:r>
          </w:p>
          <w:p w14:paraId="5B4A3209">
            <w:pPr>
              <w:pStyle w:val="282"/>
              <w:spacing w:line="360" w:lineRule="auto"/>
              <w:ind w:firstLine="480"/>
              <w:rPr>
                <w:rFonts w:hint="default" w:ascii="Times New Roman" w:hAnsi="Times New Roman" w:eastAsia="宋体" w:cs="Times New Roman"/>
                <w:color w:val="auto"/>
                <w:highlight w:val="none"/>
                <w:u w:val="none" w:color="auto"/>
                <w:lang w:val="zh-CN"/>
              </w:rPr>
            </w:pPr>
            <w:r>
              <w:rPr>
                <w:rFonts w:hint="default" w:ascii="Times New Roman" w:hAnsi="Times New Roman" w:eastAsia="宋体" w:cs="Times New Roman"/>
                <w:color w:val="auto"/>
                <w:highlight w:val="none"/>
                <w:u w:val="none" w:color="auto"/>
                <w:lang w:val="zh-CN"/>
              </w:rPr>
              <w:t>本项目正常工况下，不会产生地下水、土壤污染，只有在事故状态下，项目内暂存的危险废物可能会发生</w:t>
            </w:r>
            <w:r>
              <w:rPr>
                <w:rFonts w:hint="default" w:ascii="Times New Roman" w:hAnsi="Times New Roman" w:eastAsia="宋体" w:cs="Times New Roman"/>
                <w:color w:val="auto"/>
                <w:highlight w:val="none"/>
                <w:u w:val="none" w:color="auto"/>
              </w:rPr>
              <w:t>泄漏</w:t>
            </w:r>
            <w:r>
              <w:rPr>
                <w:rFonts w:hint="default" w:ascii="Times New Roman" w:hAnsi="Times New Roman" w:eastAsia="宋体" w:cs="Times New Roman"/>
                <w:color w:val="auto"/>
                <w:highlight w:val="none"/>
                <w:u w:val="none" w:color="auto"/>
                <w:lang w:val="zh-CN"/>
              </w:rPr>
              <w:t>等</w:t>
            </w:r>
            <w:r>
              <w:rPr>
                <w:rFonts w:hint="default" w:ascii="Times New Roman" w:hAnsi="Times New Roman" w:eastAsia="宋体" w:cs="Times New Roman"/>
                <w:color w:val="auto"/>
                <w:highlight w:val="none"/>
                <w:u w:val="none" w:color="auto"/>
              </w:rPr>
              <w:t>风险</w:t>
            </w:r>
            <w:r>
              <w:rPr>
                <w:rFonts w:hint="default" w:ascii="Times New Roman" w:hAnsi="Times New Roman" w:eastAsia="宋体" w:cs="Times New Roman"/>
                <w:color w:val="auto"/>
                <w:highlight w:val="none"/>
                <w:u w:val="none" w:color="auto"/>
                <w:lang w:eastAsia="zh-CN"/>
              </w:rPr>
              <w:t>，</w:t>
            </w:r>
            <w:r>
              <w:rPr>
                <w:rFonts w:hint="default" w:ascii="Times New Roman" w:hAnsi="Times New Roman" w:eastAsia="宋体" w:cs="Times New Roman"/>
                <w:color w:val="auto"/>
                <w:highlight w:val="none"/>
                <w:u w:val="none" w:color="auto"/>
                <w:lang w:val="zh-CN"/>
              </w:rPr>
              <w:t>可能对周边土壤造成污染，长时间</w:t>
            </w:r>
            <w:r>
              <w:rPr>
                <w:rFonts w:hint="default" w:ascii="Times New Roman" w:hAnsi="Times New Roman" w:eastAsia="宋体" w:cs="Times New Roman"/>
                <w:color w:val="auto"/>
                <w:highlight w:val="none"/>
                <w:u w:val="none" w:color="auto"/>
              </w:rPr>
              <w:t>泄漏</w:t>
            </w:r>
            <w:r>
              <w:rPr>
                <w:rFonts w:hint="default" w:ascii="Times New Roman" w:hAnsi="Times New Roman" w:eastAsia="宋体" w:cs="Times New Roman"/>
                <w:color w:val="auto"/>
                <w:highlight w:val="none"/>
                <w:u w:val="none" w:color="auto"/>
                <w:lang w:val="zh-CN"/>
              </w:rPr>
              <w:t>可能深入地下对地下水造成污染。</w:t>
            </w:r>
          </w:p>
          <w:p w14:paraId="68DEFB9A">
            <w:pPr>
              <w:adjustRightInd w:val="0"/>
              <w:snapToGrid w:val="0"/>
              <w:spacing w:line="360" w:lineRule="auto"/>
              <w:ind w:firstLine="480" w:firstLineChars="200"/>
              <w:rPr>
                <w:rFonts w:hint="default" w:ascii="Times New Roman" w:hAnsi="Times New Roman" w:eastAsia="宋体" w:cs="Times New Roman"/>
                <w:color w:val="auto"/>
                <w:sz w:val="24"/>
                <w:highlight w:val="none"/>
                <w:u w:val="none" w:color="auto"/>
                <w:lang w:val="zh-CN"/>
              </w:rPr>
            </w:pPr>
            <w:r>
              <w:rPr>
                <w:rFonts w:hint="default" w:ascii="Times New Roman" w:hAnsi="Times New Roman" w:eastAsia="宋体" w:cs="Times New Roman"/>
                <w:color w:val="auto"/>
                <w:sz w:val="24"/>
                <w:highlight w:val="none"/>
                <w:u w:val="none" w:color="auto"/>
                <w:lang w:val="zh-CN"/>
              </w:rPr>
              <w:t>（</w:t>
            </w:r>
            <w:r>
              <w:rPr>
                <w:rFonts w:hint="default" w:ascii="Times New Roman" w:hAnsi="Times New Roman" w:eastAsia="宋体" w:cs="Times New Roman"/>
                <w:color w:val="auto"/>
                <w:sz w:val="24"/>
                <w:highlight w:val="none"/>
                <w:u w:val="none" w:color="auto"/>
                <w:lang w:val="en-US" w:eastAsia="zh-CN"/>
              </w:rPr>
              <w:t>1</w:t>
            </w:r>
            <w:r>
              <w:rPr>
                <w:rFonts w:hint="default" w:ascii="Times New Roman" w:hAnsi="Times New Roman" w:eastAsia="宋体" w:cs="Times New Roman"/>
                <w:color w:val="auto"/>
                <w:sz w:val="24"/>
                <w:highlight w:val="none"/>
                <w:u w:val="none" w:color="auto"/>
                <w:lang w:val="zh-CN"/>
              </w:rPr>
              <w:t>）污染物类型和污染途径识别</w:t>
            </w:r>
          </w:p>
          <w:p w14:paraId="2E2D7E0B">
            <w:pPr>
              <w:adjustRightInd w:val="0"/>
              <w:snapToGrid w:val="0"/>
              <w:spacing w:line="360" w:lineRule="auto"/>
              <w:ind w:firstLine="480" w:firstLineChars="200"/>
              <w:rPr>
                <w:rFonts w:hint="default" w:ascii="Times New Roman" w:hAnsi="Times New Roman" w:eastAsia="宋体" w:cs="Times New Roman"/>
                <w:color w:val="auto"/>
                <w:sz w:val="24"/>
                <w:highlight w:val="none"/>
                <w:u w:val="none" w:color="auto"/>
                <w:lang w:val="zh-CN"/>
              </w:rPr>
            </w:pPr>
            <w:r>
              <w:rPr>
                <w:rFonts w:hint="default" w:ascii="Times New Roman" w:hAnsi="Times New Roman" w:eastAsia="宋体" w:cs="Times New Roman"/>
                <w:color w:val="auto"/>
                <w:sz w:val="24"/>
                <w:highlight w:val="none"/>
                <w:u w:val="none" w:color="auto"/>
                <w:lang w:val="zh-CN"/>
              </w:rPr>
              <w:fldChar w:fldCharType="begin"/>
            </w:r>
            <w:r>
              <w:rPr>
                <w:rFonts w:hint="default" w:ascii="Times New Roman" w:hAnsi="Times New Roman" w:eastAsia="宋体" w:cs="Times New Roman"/>
                <w:color w:val="auto"/>
                <w:sz w:val="24"/>
                <w:highlight w:val="none"/>
                <w:u w:val="none" w:color="auto"/>
                <w:lang w:val="zh-CN"/>
              </w:rPr>
              <w:instrText xml:space="preserve"> = 1 \* GB3 \* MERGEFORMAT </w:instrText>
            </w:r>
            <w:r>
              <w:rPr>
                <w:rFonts w:hint="default" w:ascii="Times New Roman" w:hAnsi="Times New Roman" w:eastAsia="宋体" w:cs="Times New Roman"/>
                <w:color w:val="auto"/>
                <w:sz w:val="24"/>
                <w:highlight w:val="none"/>
                <w:u w:val="none" w:color="auto"/>
                <w:lang w:val="zh-CN"/>
              </w:rPr>
              <w:fldChar w:fldCharType="separate"/>
            </w:r>
            <w:r>
              <w:rPr>
                <w:rFonts w:hint="default" w:ascii="Times New Roman" w:hAnsi="Times New Roman" w:eastAsia="宋体" w:cs="Times New Roman"/>
                <w:color w:val="auto"/>
                <w:sz w:val="24"/>
                <w:highlight w:val="none"/>
                <w:u w:val="none" w:color="auto"/>
                <w:lang w:val="zh-CN"/>
              </w:rPr>
              <w:t>①</w:t>
            </w:r>
            <w:r>
              <w:rPr>
                <w:rFonts w:hint="default" w:ascii="Times New Roman" w:hAnsi="Times New Roman" w:eastAsia="宋体" w:cs="Times New Roman"/>
                <w:color w:val="auto"/>
                <w:sz w:val="24"/>
                <w:highlight w:val="none"/>
                <w:u w:val="none" w:color="auto"/>
                <w:lang w:val="zh-CN"/>
              </w:rPr>
              <w:fldChar w:fldCharType="end"/>
            </w:r>
            <w:r>
              <w:rPr>
                <w:rFonts w:hint="default" w:ascii="Times New Roman" w:hAnsi="Times New Roman" w:eastAsia="宋体" w:cs="Times New Roman"/>
                <w:color w:val="auto"/>
                <w:sz w:val="24"/>
                <w:highlight w:val="none"/>
                <w:u w:val="none" w:color="auto"/>
                <w:lang w:val="zh-CN"/>
              </w:rPr>
              <w:t>影响类型与影响途径识别</w:t>
            </w:r>
          </w:p>
          <w:p w14:paraId="54B72F6D">
            <w:pPr>
              <w:adjustRightInd w:val="0"/>
              <w:snapToGrid w:val="0"/>
              <w:spacing w:line="360" w:lineRule="auto"/>
              <w:ind w:firstLine="480" w:firstLineChars="200"/>
              <w:rPr>
                <w:rFonts w:hint="default" w:ascii="Times New Roman" w:hAnsi="Times New Roman" w:eastAsia="宋体" w:cs="Times New Roman"/>
                <w:color w:val="auto"/>
                <w:sz w:val="24"/>
                <w:highlight w:val="none"/>
                <w:u w:val="none" w:color="auto"/>
                <w:lang w:val="zh-CN"/>
              </w:rPr>
            </w:pPr>
            <w:r>
              <w:rPr>
                <w:rFonts w:hint="default" w:ascii="Times New Roman" w:hAnsi="Times New Roman" w:eastAsia="宋体" w:cs="Times New Roman"/>
                <w:color w:val="auto"/>
                <w:sz w:val="24"/>
                <w:highlight w:val="none"/>
                <w:u w:val="none" w:color="auto"/>
                <w:lang w:val="zh-CN"/>
              </w:rPr>
              <w:t>本项目对周边</w:t>
            </w:r>
            <w:r>
              <w:rPr>
                <w:rFonts w:hint="default" w:ascii="Times New Roman" w:hAnsi="Times New Roman" w:eastAsia="宋体" w:cs="Times New Roman"/>
                <w:color w:val="auto"/>
                <w:sz w:val="24"/>
                <w:highlight w:val="none"/>
                <w:u w:val="none" w:color="auto"/>
              </w:rPr>
              <w:t>地下水、</w:t>
            </w:r>
            <w:r>
              <w:rPr>
                <w:rFonts w:hint="default" w:ascii="Times New Roman" w:hAnsi="Times New Roman" w:eastAsia="宋体" w:cs="Times New Roman"/>
                <w:color w:val="auto"/>
                <w:sz w:val="24"/>
                <w:highlight w:val="none"/>
                <w:u w:val="none" w:color="auto"/>
                <w:lang w:val="zh-CN"/>
              </w:rPr>
              <w:t>土壤环境影响的类型与影响途径</w:t>
            </w:r>
            <w:r>
              <w:rPr>
                <w:rFonts w:hint="default" w:ascii="Times New Roman" w:hAnsi="Times New Roman" w:eastAsia="宋体" w:cs="Times New Roman"/>
                <w:color w:val="auto"/>
                <w:sz w:val="24"/>
                <w:highlight w:val="none"/>
                <w:u w:val="none" w:color="auto"/>
                <w:lang w:val="en-US" w:eastAsia="zh-CN"/>
              </w:rPr>
              <w:t>如下</w:t>
            </w:r>
            <w:r>
              <w:rPr>
                <w:rFonts w:hint="default" w:ascii="Times New Roman" w:hAnsi="Times New Roman" w:eastAsia="宋体" w:cs="Times New Roman"/>
                <w:color w:val="auto"/>
                <w:sz w:val="24"/>
                <w:highlight w:val="none"/>
                <w:u w:val="none" w:color="auto"/>
                <w:lang w:val="zh-CN"/>
              </w:rPr>
              <w:t>。</w:t>
            </w:r>
          </w:p>
          <w:p w14:paraId="6B6BB4F4">
            <w:pPr>
              <w:pStyle w:val="281"/>
              <w:spacing w:before="156"/>
              <w:rPr>
                <w:rStyle w:val="286"/>
                <w:rFonts w:hint="default" w:ascii="Times New Roman" w:hAnsi="Times New Roman" w:eastAsia="宋体" w:cs="Times New Roman"/>
                <w:b w:val="0"/>
                <w:color w:val="auto"/>
                <w:sz w:val="21"/>
                <w:szCs w:val="21"/>
                <w:highlight w:val="none"/>
                <w:u w:val="none" w:color="auto"/>
              </w:rPr>
            </w:pPr>
            <w:r>
              <w:rPr>
                <w:rStyle w:val="286"/>
                <w:rFonts w:hint="default" w:ascii="Times New Roman" w:hAnsi="Times New Roman" w:eastAsia="宋体" w:cs="Times New Roman"/>
                <w:color w:val="auto"/>
                <w:sz w:val="21"/>
                <w:szCs w:val="21"/>
                <w:highlight w:val="none"/>
                <w:u w:val="none" w:color="auto"/>
              </w:rPr>
              <w:t>表4-</w:t>
            </w:r>
            <w:r>
              <w:rPr>
                <w:rStyle w:val="286"/>
                <w:rFonts w:hint="eastAsia" w:cs="Times New Roman"/>
                <w:color w:val="auto"/>
                <w:sz w:val="21"/>
                <w:szCs w:val="21"/>
                <w:highlight w:val="none"/>
                <w:u w:val="none" w:color="auto"/>
                <w:lang w:val="en-US" w:eastAsia="zh-CN"/>
              </w:rPr>
              <w:t>21</w:t>
            </w:r>
            <w:r>
              <w:rPr>
                <w:rStyle w:val="286"/>
                <w:rFonts w:hint="default" w:ascii="Times New Roman" w:hAnsi="Times New Roman" w:eastAsia="宋体" w:cs="Times New Roman"/>
                <w:color w:val="auto"/>
                <w:sz w:val="21"/>
                <w:szCs w:val="21"/>
                <w:highlight w:val="none"/>
                <w:u w:val="none" w:color="auto"/>
              </w:rPr>
              <w:t xml:space="preserve"> 项目土壤、地下水环境影响类型与影响途径识别表</w:t>
            </w:r>
          </w:p>
          <w:tbl>
            <w:tblPr>
              <w:tblStyle w:val="4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782"/>
              <w:gridCol w:w="1415"/>
              <w:gridCol w:w="1644"/>
              <w:gridCol w:w="1678"/>
              <w:gridCol w:w="1486"/>
            </w:tblGrid>
            <w:tr w14:paraId="7D7E6F9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13" w:type="pct"/>
                  <w:vMerge w:val="restart"/>
                  <w:tcBorders>
                    <w:top w:val="single" w:color="auto" w:sz="12" w:space="0"/>
                    <w:left w:val="single" w:color="auto" w:sz="0" w:space="0"/>
                  </w:tcBorders>
                  <w:vAlign w:val="center"/>
                </w:tcPr>
                <w:p w14:paraId="6512CDD7">
                  <w:pPr>
                    <w:pStyle w:val="287"/>
                    <w:adjustRightInd w:val="0"/>
                    <w:snapToGrid w:val="0"/>
                    <w:rPr>
                      <w:rStyle w:val="286"/>
                      <w:rFonts w:hint="default" w:ascii="Times New Roman" w:hAnsi="Times New Roman" w:eastAsia="宋体" w:cs="Times New Roman"/>
                      <w:bCs/>
                      <w:color w:val="auto"/>
                      <w:sz w:val="21"/>
                      <w:szCs w:val="21"/>
                      <w:highlight w:val="none"/>
                      <w:u w:val="none" w:color="auto"/>
                    </w:rPr>
                  </w:pPr>
                  <w:r>
                    <w:rPr>
                      <w:rStyle w:val="286"/>
                      <w:rFonts w:hint="default" w:ascii="Times New Roman" w:hAnsi="Times New Roman" w:eastAsia="宋体" w:cs="Times New Roman"/>
                      <w:bCs/>
                      <w:color w:val="auto"/>
                      <w:sz w:val="21"/>
                      <w:szCs w:val="21"/>
                      <w:highlight w:val="none"/>
                      <w:u w:val="none" w:color="auto"/>
                    </w:rPr>
                    <w:t>时段</w:t>
                  </w:r>
                </w:p>
              </w:tc>
              <w:tc>
                <w:tcPr>
                  <w:tcW w:w="3887" w:type="pct"/>
                  <w:gridSpan w:val="4"/>
                  <w:tcBorders>
                    <w:top w:val="single" w:color="auto" w:sz="12" w:space="0"/>
                    <w:right w:val="single" w:color="auto" w:sz="12" w:space="0"/>
                  </w:tcBorders>
                  <w:vAlign w:val="center"/>
                </w:tcPr>
                <w:p w14:paraId="751D531E">
                  <w:pPr>
                    <w:pStyle w:val="287"/>
                    <w:adjustRightInd w:val="0"/>
                    <w:snapToGrid w:val="0"/>
                    <w:rPr>
                      <w:rStyle w:val="286"/>
                      <w:rFonts w:hint="default" w:ascii="Times New Roman" w:hAnsi="Times New Roman" w:eastAsia="宋体" w:cs="Times New Roman"/>
                      <w:bCs/>
                      <w:color w:val="auto"/>
                      <w:sz w:val="21"/>
                      <w:szCs w:val="21"/>
                      <w:highlight w:val="none"/>
                      <w:u w:val="none" w:color="auto"/>
                    </w:rPr>
                  </w:pPr>
                  <w:r>
                    <w:rPr>
                      <w:rStyle w:val="286"/>
                      <w:rFonts w:hint="default" w:ascii="Times New Roman" w:hAnsi="Times New Roman" w:eastAsia="宋体" w:cs="Times New Roman"/>
                      <w:bCs/>
                      <w:color w:val="auto"/>
                      <w:sz w:val="21"/>
                      <w:szCs w:val="21"/>
                      <w:highlight w:val="none"/>
                      <w:u w:val="none" w:color="auto"/>
                    </w:rPr>
                    <w:t>污染影响类型</w:t>
                  </w:r>
                </w:p>
              </w:tc>
            </w:tr>
            <w:tr w14:paraId="76CBF83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13" w:type="pct"/>
                  <w:vMerge w:val="continue"/>
                  <w:tcBorders>
                    <w:left w:val="single" w:color="auto" w:sz="4" w:space="0"/>
                  </w:tcBorders>
                  <w:vAlign w:val="center"/>
                </w:tcPr>
                <w:p w14:paraId="596E152A">
                  <w:pPr>
                    <w:pStyle w:val="287"/>
                    <w:adjustRightInd w:val="0"/>
                    <w:snapToGrid w:val="0"/>
                    <w:rPr>
                      <w:rStyle w:val="286"/>
                      <w:rFonts w:hint="default" w:ascii="Times New Roman" w:hAnsi="Times New Roman" w:eastAsia="宋体" w:cs="Times New Roman"/>
                      <w:bCs/>
                      <w:color w:val="auto"/>
                      <w:sz w:val="21"/>
                      <w:szCs w:val="21"/>
                      <w:highlight w:val="none"/>
                      <w:u w:val="none" w:color="auto"/>
                    </w:rPr>
                  </w:pPr>
                </w:p>
              </w:tc>
              <w:tc>
                <w:tcPr>
                  <w:tcW w:w="884" w:type="pct"/>
                  <w:vAlign w:val="center"/>
                </w:tcPr>
                <w:p w14:paraId="7D3EC493">
                  <w:pPr>
                    <w:pStyle w:val="287"/>
                    <w:adjustRightInd w:val="0"/>
                    <w:snapToGrid w:val="0"/>
                    <w:rPr>
                      <w:rStyle w:val="286"/>
                      <w:rFonts w:hint="default" w:ascii="Times New Roman" w:hAnsi="Times New Roman" w:eastAsia="宋体" w:cs="Times New Roman"/>
                      <w:bCs/>
                      <w:color w:val="auto"/>
                      <w:sz w:val="21"/>
                      <w:szCs w:val="21"/>
                      <w:highlight w:val="none"/>
                      <w:u w:val="none" w:color="auto"/>
                    </w:rPr>
                  </w:pPr>
                  <w:r>
                    <w:rPr>
                      <w:rStyle w:val="286"/>
                      <w:rFonts w:hint="default" w:ascii="Times New Roman" w:hAnsi="Times New Roman" w:eastAsia="宋体" w:cs="Times New Roman"/>
                      <w:bCs/>
                      <w:color w:val="auto"/>
                      <w:sz w:val="21"/>
                      <w:szCs w:val="21"/>
                      <w:highlight w:val="none"/>
                      <w:u w:val="none" w:color="auto"/>
                    </w:rPr>
                    <w:t>大气沉降</w:t>
                  </w:r>
                </w:p>
              </w:tc>
              <w:tc>
                <w:tcPr>
                  <w:tcW w:w="1027" w:type="pct"/>
                  <w:vAlign w:val="center"/>
                </w:tcPr>
                <w:p w14:paraId="0A2ACD2F">
                  <w:pPr>
                    <w:pStyle w:val="287"/>
                    <w:adjustRightInd w:val="0"/>
                    <w:snapToGrid w:val="0"/>
                    <w:rPr>
                      <w:rStyle w:val="286"/>
                      <w:rFonts w:hint="default" w:ascii="Times New Roman" w:hAnsi="Times New Roman" w:eastAsia="宋体" w:cs="Times New Roman"/>
                      <w:bCs/>
                      <w:color w:val="auto"/>
                      <w:sz w:val="21"/>
                      <w:szCs w:val="21"/>
                      <w:highlight w:val="none"/>
                      <w:u w:val="none" w:color="auto"/>
                    </w:rPr>
                  </w:pPr>
                  <w:r>
                    <w:rPr>
                      <w:rStyle w:val="286"/>
                      <w:rFonts w:hint="default" w:ascii="Times New Roman" w:hAnsi="Times New Roman" w:eastAsia="宋体" w:cs="Times New Roman"/>
                      <w:bCs/>
                      <w:color w:val="auto"/>
                      <w:sz w:val="21"/>
                      <w:szCs w:val="21"/>
                      <w:highlight w:val="none"/>
                      <w:u w:val="none" w:color="auto"/>
                    </w:rPr>
                    <w:t>地面漫流</w:t>
                  </w:r>
                </w:p>
              </w:tc>
              <w:tc>
                <w:tcPr>
                  <w:tcW w:w="1048" w:type="pct"/>
                  <w:vAlign w:val="center"/>
                </w:tcPr>
                <w:p w14:paraId="32F316C3">
                  <w:pPr>
                    <w:pStyle w:val="287"/>
                    <w:adjustRightInd w:val="0"/>
                    <w:snapToGrid w:val="0"/>
                    <w:rPr>
                      <w:rStyle w:val="286"/>
                      <w:rFonts w:hint="default" w:ascii="Times New Roman" w:hAnsi="Times New Roman" w:eastAsia="宋体" w:cs="Times New Roman"/>
                      <w:bCs/>
                      <w:color w:val="auto"/>
                      <w:sz w:val="21"/>
                      <w:szCs w:val="21"/>
                      <w:highlight w:val="none"/>
                      <w:u w:val="none" w:color="auto"/>
                    </w:rPr>
                  </w:pPr>
                  <w:r>
                    <w:rPr>
                      <w:rStyle w:val="286"/>
                      <w:rFonts w:hint="default" w:ascii="Times New Roman" w:hAnsi="Times New Roman" w:eastAsia="宋体" w:cs="Times New Roman"/>
                      <w:bCs/>
                      <w:color w:val="auto"/>
                      <w:sz w:val="21"/>
                      <w:szCs w:val="21"/>
                      <w:highlight w:val="none"/>
                      <w:u w:val="none" w:color="auto"/>
                    </w:rPr>
                    <w:t>垂直入渗</w:t>
                  </w:r>
                </w:p>
              </w:tc>
              <w:tc>
                <w:tcPr>
                  <w:tcW w:w="927" w:type="pct"/>
                  <w:tcBorders>
                    <w:right w:val="single" w:color="auto" w:sz="12" w:space="0"/>
                  </w:tcBorders>
                  <w:vAlign w:val="center"/>
                </w:tcPr>
                <w:p w14:paraId="68EEC1D2">
                  <w:pPr>
                    <w:pStyle w:val="287"/>
                    <w:adjustRightInd w:val="0"/>
                    <w:snapToGrid w:val="0"/>
                    <w:rPr>
                      <w:rStyle w:val="286"/>
                      <w:rFonts w:hint="default" w:ascii="Times New Roman" w:hAnsi="Times New Roman" w:eastAsia="宋体" w:cs="Times New Roman"/>
                      <w:bCs/>
                      <w:color w:val="auto"/>
                      <w:sz w:val="21"/>
                      <w:szCs w:val="21"/>
                      <w:highlight w:val="none"/>
                      <w:u w:val="none" w:color="auto"/>
                    </w:rPr>
                  </w:pPr>
                  <w:r>
                    <w:rPr>
                      <w:rStyle w:val="286"/>
                      <w:rFonts w:hint="default" w:ascii="Times New Roman" w:hAnsi="Times New Roman" w:eastAsia="宋体" w:cs="Times New Roman"/>
                      <w:bCs/>
                      <w:color w:val="auto"/>
                      <w:sz w:val="21"/>
                      <w:szCs w:val="21"/>
                      <w:highlight w:val="none"/>
                      <w:u w:val="none" w:color="auto"/>
                    </w:rPr>
                    <w:t>其他</w:t>
                  </w:r>
                </w:p>
              </w:tc>
            </w:tr>
            <w:tr w14:paraId="2641735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113" w:type="pct"/>
                  <w:tcBorders>
                    <w:left w:val="single" w:color="auto" w:sz="4" w:space="0"/>
                    <w:bottom w:val="single" w:color="auto" w:sz="12" w:space="0"/>
                  </w:tcBorders>
                  <w:vAlign w:val="center"/>
                </w:tcPr>
                <w:p w14:paraId="21F6609D">
                  <w:pPr>
                    <w:pStyle w:val="287"/>
                    <w:adjustRightInd w:val="0"/>
                    <w:snapToGrid w:val="0"/>
                    <w:rPr>
                      <w:rStyle w:val="286"/>
                      <w:rFonts w:hint="default" w:ascii="Times New Roman" w:hAnsi="Times New Roman" w:eastAsia="宋体" w:cs="Times New Roman"/>
                      <w:bCs/>
                      <w:color w:val="auto"/>
                      <w:sz w:val="21"/>
                      <w:szCs w:val="21"/>
                      <w:highlight w:val="none"/>
                      <w:u w:val="none" w:color="auto"/>
                    </w:rPr>
                  </w:pPr>
                  <w:r>
                    <w:rPr>
                      <w:rStyle w:val="286"/>
                      <w:rFonts w:hint="default" w:ascii="Times New Roman" w:hAnsi="Times New Roman" w:eastAsia="宋体" w:cs="Times New Roman"/>
                      <w:bCs/>
                      <w:color w:val="auto"/>
                      <w:sz w:val="21"/>
                      <w:szCs w:val="21"/>
                      <w:highlight w:val="none"/>
                      <w:u w:val="none" w:color="auto"/>
                    </w:rPr>
                    <w:t>运营期</w:t>
                  </w:r>
                </w:p>
              </w:tc>
              <w:tc>
                <w:tcPr>
                  <w:tcW w:w="884" w:type="pct"/>
                  <w:tcBorders>
                    <w:bottom w:val="single" w:color="auto" w:sz="12" w:space="0"/>
                  </w:tcBorders>
                  <w:vAlign w:val="center"/>
                </w:tcPr>
                <w:p w14:paraId="51F5ADC7">
                  <w:pPr>
                    <w:pStyle w:val="287"/>
                    <w:adjustRightInd w:val="0"/>
                    <w:snapToGrid w:val="0"/>
                    <w:rPr>
                      <w:rStyle w:val="286"/>
                      <w:rFonts w:hint="default" w:ascii="Times New Roman" w:hAnsi="Times New Roman" w:eastAsia="宋体" w:cs="Times New Roman"/>
                      <w:bCs/>
                      <w:color w:val="auto"/>
                      <w:sz w:val="21"/>
                      <w:szCs w:val="21"/>
                      <w:highlight w:val="none"/>
                      <w:u w:val="none" w:color="auto"/>
                    </w:rPr>
                  </w:pPr>
                  <w:r>
                    <w:rPr>
                      <w:rStyle w:val="286"/>
                      <w:rFonts w:hint="default" w:ascii="Times New Roman" w:hAnsi="Times New Roman" w:eastAsia="宋体" w:cs="Times New Roman"/>
                      <w:bCs/>
                      <w:color w:val="auto"/>
                      <w:sz w:val="21"/>
                      <w:szCs w:val="21"/>
                      <w:highlight w:val="none"/>
                      <w:u w:val="none" w:color="auto"/>
                    </w:rPr>
                    <w:t>/</w:t>
                  </w:r>
                </w:p>
              </w:tc>
              <w:tc>
                <w:tcPr>
                  <w:tcW w:w="1027" w:type="pct"/>
                  <w:tcBorders>
                    <w:bottom w:val="single" w:color="auto" w:sz="12" w:space="0"/>
                  </w:tcBorders>
                  <w:vAlign w:val="center"/>
                </w:tcPr>
                <w:p w14:paraId="5724437C">
                  <w:pPr>
                    <w:pStyle w:val="287"/>
                    <w:adjustRightInd w:val="0"/>
                    <w:snapToGrid w:val="0"/>
                    <w:rPr>
                      <w:rStyle w:val="286"/>
                      <w:rFonts w:hint="default" w:ascii="Times New Roman" w:hAnsi="Times New Roman" w:eastAsia="宋体" w:cs="Times New Roman"/>
                      <w:bCs/>
                      <w:color w:val="auto"/>
                      <w:sz w:val="21"/>
                      <w:szCs w:val="21"/>
                      <w:highlight w:val="none"/>
                      <w:u w:val="none" w:color="auto"/>
                    </w:rPr>
                  </w:pPr>
                  <w:r>
                    <w:rPr>
                      <w:rStyle w:val="286"/>
                      <w:rFonts w:hint="default" w:ascii="Times New Roman" w:hAnsi="Times New Roman" w:eastAsia="宋体" w:cs="Times New Roman"/>
                      <w:bCs/>
                      <w:color w:val="auto"/>
                      <w:sz w:val="21"/>
                      <w:szCs w:val="21"/>
                      <w:highlight w:val="none"/>
                      <w:u w:val="none" w:color="auto"/>
                    </w:rPr>
                    <w:t>√</w:t>
                  </w:r>
                </w:p>
              </w:tc>
              <w:tc>
                <w:tcPr>
                  <w:tcW w:w="1048" w:type="pct"/>
                  <w:tcBorders>
                    <w:bottom w:val="single" w:color="auto" w:sz="12" w:space="0"/>
                  </w:tcBorders>
                  <w:vAlign w:val="center"/>
                </w:tcPr>
                <w:p w14:paraId="42315374">
                  <w:pPr>
                    <w:pStyle w:val="287"/>
                    <w:adjustRightInd w:val="0"/>
                    <w:snapToGrid w:val="0"/>
                    <w:rPr>
                      <w:rStyle w:val="286"/>
                      <w:rFonts w:hint="default" w:ascii="Times New Roman" w:hAnsi="Times New Roman" w:eastAsia="宋体" w:cs="Times New Roman"/>
                      <w:bCs/>
                      <w:color w:val="auto"/>
                      <w:sz w:val="21"/>
                      <w:szCs w:val="21"/>
                      <w:highlight w:val="none"/>
                      <w:u w:val="none" w:color="auto"/>
                    </w:rPr>
                  </w:pPr>
                  <w:r>
                    <w:rPr>
                      <w:rStyle w:val="286"/>
                      <w:rFonts w:hint="default" w:ascii="Times New Roman" w:hAnsi="Times New Roman" w:eastAsia="宋体" w:cs="Times New Roman"/>
                      <w:bCs/>
                      <w:color w:val="auto"/>
                      <w:sz w:val="21"/>
                      <w:szCs w:val="21"/>
                      <w:highlight w:val="none"/>
                      <w:u w:val="none" w:color="auto"/>
                    </w:rPr>
                    <w:t>√</w:t>
                  </w:r>
                </w:p>
              </w:tc>
              <w:tc>
                <w:tcPr>
                  <w:tcW w:w="927" w:type="pct"/>
                  <w:tcBorders>
                    <w:bottom w:val="single" w:color="auto" w:sz="12" w:space="0"/>
                    <w:right w:val="single" w:color="auto" w:sz="12" w:space="0"/>
                  </w:tcBorders>
                  <w:vAlign w:val="center"/>
                </w:tcPr>
                <w:p w14:paraId="0B0C43B0">
                  <w:pPr>
                    <w:pStyle w:val="287"/>
                    <w:adjustRightInd w:val="0"/>
                    <w:snapToGrid w:val="0"/>
                    <w:rPr>
                      <w:rStyle w:val="286"/>
                      <w:rFonts w:hint="default" w:ascii="Times New Roman" w:hAnsi="Times New Roman" w:eastAsia="宋体" w:cs="Times New Roman"/>
                      <w:bCs/>
                      <w:color w:val="auto"/>
                      <w:sz w:val="21"/>
                      <w:szCs w:val="21"/>
                      <w:highlight w:val="none"/>
                      <w:u w:val="none" w:color="auto"/>
                    </w:rPr>
                  </w:pPr>
                  <w:r>
                    <w:rPr>
                      <w:rStyle w:val="286"/>
                      <w:rFonts w:hint="default" w:ascii="Times New Roman" w:hAnsi="Times New Roman" w:eastAsia="宋体" w:cs="Times New Roman"/>
                      <w:bCs/>
                      <w:color w:val="auto"/>
                      <w:sz w:val="21"/>
                      <w:szCs w:val="21"/>
                      <w:highlight w:val="none"/>
                      <w:u w:val="none" w:color="auto"/>
                    </w:rPr>
                    <w:t>/</w:t>
                  </w:r>
                </w:p>
              </w:tc>
            </w:tr>
          </w:tbl>
          <w:p w14:paraId="310C4D37">
            <w:pPr>
              <w:adjustRightInd w:val="0"/>
              <w:snapToGrid w:val="0"/>
              <w:spacing w:line="360" w:lineRule="auto"/>
              <w:ind w:firstLine="480" w:firstLineChars="200"/>
              <w:rPr>
                <w:rFonts w:hint="default" w:ascii="Times New Roman" w:hAnsi="Times New Roman" w:eastAsia="宋体" w:cs="Times New Roman"/>
                <w:color w:val="auto"/>
                <w:sz w:val="24"/>
                <w:highlight w:val="none"/>
                <w:u w:val="none" w:color="auto"/>
              </w:rPr>
            </w:pPr>
            <w:r>
              <w:rPr>
                <w:rFonts w:hint="default" w:ascii="Times New Roman" w:hAnsi="Times New Roman" w:eastAsia="宋体" w:cs="Times New Roman"/>
                <w:color w:val="auto"/>
                <w:sz w:val="24"/>
                <w:highlight w:val="none"/>
                <w:u w:val="none" w:color="auto"/>
                <w:lang w:val="zh-CN"/>
              </w:rPr>
              <w:fldChar w:fldCharType="begin"/>
            </w:r>
            <w:r>
              <w:rPr>
                <w:rFonts w:hint="default" w:ascii="Times New Roman" w:hAnsi="Times New Roman" w:eastAsia="宋体" w:cs="Times New Roman"/>
                <w:color w:val="auto"/>
                <w:sz w:val="24"/>
                <w:highlight w:val="none"/>
                <w:u w:val="none" w:color="auto"/>
                <w:lang w:val="zh-CN"/>
              </w:rPr>
              <w:instrText xml:space="preserve"> = 2 \* GB3 \* MERGEFORMAT </w:instrText>
            </w:r>
            <w:r>
              <w:rPr>
                <w:rFonts w:hint="default" w:ascii="Times New Roman" w:hAnsi="Times New Roman" w:eastAsia="宋体" w:cs="Times New Roman"/>
                <w:color w:val="auto"/>
                <w:sz w:val="24"/>
                <w:highlight w:val="none"/>
                <w:u w:val="none" w:color="auto"/>
                <w:lang w:val="zh-CN"/>
              </w:rPr>
              <w:fldChar w:fldCharType="separate"/>
            </w:r>
            <w:r>
              <w:rPr>
                <w:rFonts w:hint="default" w:ascii="Times New Roman" w:hAnsi="Times New Roman" w:eastAsia="宋体" w:cs="Times New Roman"/>
                <w:color w:val="auto"/>
                <w:highlight w:val="none"/>
                <w:u w:val="none" w:color="auto"/>
              </w:rPr>
              <w:t>②</w:t>
            </w:r>
            <w:r>
              <w:rPr>
                <w:rFonts w:hint="default" w:ascii="Times New Roman" w:hAnsi="Times New Roman" w:eastAsia="宋体" w:cs="Times New Roman"/>
                <w:color w:val="auto"/>
                <w:sz w:val="24"/>
                <w:highlight w:val="none"/>
                <w:u w:val="none" w:color="auto"/>
                <w:lang w:val="zh-CN"/>
              </w:rPr>
              <w:fldChar w:fldCharType="end"/>
            </w:r>
            <w:r>
              <w:rPr>
                <w:rFonts w:hint="default" w:ascii="Times New Roman" w:hAnsi="Times New Roman" w:eastAsia="宋体" w:cs="Times New Roman"/>
                <w:color w:val="auto"/>
                <w:sz w:val="24"/>
                <w:highlight w:val="none"/>
                <w:u w:val="none" w:color="auto"/>
                <w:lang w:val="zh-CN"/>
              </w:rPr>
              <w:t>土壤、</w:t>
            </w:r>
            <w:r>
              <w:rPr>
                <w:rFonts w:hint="default" w:ascii="Times New Roman" w:hAnsi="Times New Roman" w:eastAsia="宋体" w:cs="Times New Roman"/>
                <w:color w:val="auto"/>
                <w:sz w:val="24"/>
                <w:highlight w:val="none"/>
                <w:u w:val="none" w:color="auto"/>
              </w:rPr>
              <w:t>地下水</w:t>
            </w:r>
            <w:r>
              <w:rPr>
                <w:rFonts w:hint="default" w:ascii="Times New Roman" w:hAnsi="Times New Roman" w:eastAsia="宋体" w:cs="Times New Roman"/>
                <w:color w:val="auto"/>
                <w:sz w:val="24"/>
                <w:highlight w:val="none"/>
                <w:u w:val="none" w:color="auto"/>
                <w:lang w:val="zh-CN"/>
              </w:rPr>
              <w:t>环境影响</w:t>
            </w:r>
            <w:r>
              <w:rPr>
                <w:rFonts w:hint="default" w:ascii="Times New Roman" w:hAnsi="Times New Roman" w:eastAsia="宋体" w:cs="Times New Roman"/>
                <w:color w:val="auto"/>
                <w:sz w:val="24"/>
                <w:highlight w:val="none"/>
                <w:u w:val="none" w:color="auto"/>
              </w:rPr>
              <w:t>源及影响因子</w:t>
            </w:r>
          </w:p>
          <w:p w14:paraId="139C6E0A">
            <w:pPr>
              <w:adjustRightInd w:val="0"/>
              <w:snapToGrid w:val="0"/>
              <w:spacing w:line="360" w:lineRule="auto"/>
              <w:ind w:firstLine="480" w:firstLineChars="200"/>
              <w:rPr>
                <w:rFonts w:hint="default" w:ascii="Times New Roman" w:hAnsi="Times New Roman" w:eastAsia="宋体" w:cs="Times New Roman"/>
                <w:color w:val="auto"/>
                <w:sz w:val="24"/>
                <w:highlight w:val="none"/>
                <w:u w:val="none" w:color="auto"/>
                <w:lang w:val="zh-CN"/>
              </w:rPr>
            </w:pPr>
            <w:r>
              <w:rPr>
                <w:rFonts w:hint="default" w:ascii="Times New Roman" w:hAnsi="Times New Roman" w:eastAsia="宋体" w:cs="Times New Roman"/>
                <w:color w:val="auto"/>
                <w:sz w:val="24"/>
                <w:highlight w:val="none"/>
                <w:u w:val="none" w:color="auto"/>
              </w:rPr>
              <w:t>项目对</w:t>
            </w:r>
            <w:r>
              <w:rPr>
                <w:rFonts w:hint="default" w:ascii="Times New Roman" w:hAnsi="Times New Roman" w:eastAsia="宋体" w:cs="Times New Roman"/>
                <w:color w:val="auto"/>
                <w:sz w:val="24"/>
                <w:highlight w:val="none"/>
                <w:u w:val="none" w:color="auto"/>
                <w:lang w:val="zh-CN"/>
              </w:rPr>
              <w:t>土壤、</w:t>
            </w:r>
            <w:r>
              <w:rPr>
                <w:rFonts w:hint="default" w:ascii="Times New Roman" w:hAnsi="Times New Roman" w:eastAsia="宋体" w:cs="Times New Roman"/>
                <w:color w:val="auto"/>
                <w:sz w:val="24"/>
                <w:highlight w:val="none"/>
                <w:u w:val="none" w:color="auto"/>
              </w:rPr>
              <w:t>地下水</w:t>
            </w:r>
            <w:r>
              <w:rPr>
                <w:rFonts w:hint="default" w:ascii="Times New Roman" w:hAnsi="Times New Roman" w:eastAsia="宋体" w:cs="Times New Roman"/>
                <w:color w:val="auto"/>
                <w:sz w:val="24"/>
                <w:highlight w:val="none"/>
                <w:u w:val="none" w:color="auto"/>
                <w:lang w:val="zh-CN"/>
              </w:rPr>
              <w:t>环境</w:t>
            </w:r>
            <w:r>
              <w:rPr>
                <w:rFonts w:hint="default" w:ascii="Times New Roman" w:hAnsi="Times New Roman" w:eastAsia="宋体" w:cs="Times New Roman"/>
                <w:color w:val="auto"/>
                <w:sz w:val="24"/>
                <w:highlight w:val="none"/>
                <w:u w:val="none" w:color="auto"/>
              </w:rPr>
              <w:t>的</w:t>
            </w:r>
            <w:r>
              <w:rPr>
                <w:rFonts w:hint="default" w:ascii="Times New Roman" w:hAnsi="Times New Roman" w:eastAsia="宋体" w:cs="Times New Roman"/>
                <w:color w:val="auto"/>
                <w:sz w:val="24"/>
                <w:highlight w:val="none"/>
                <w:u w:val="none" w:color="auto"/>
                <w:lang w:val="zh-CN"/>
              </w:rPr>
              <w:t>影响</w:t>
            </w:r>
            <w:r>
              <w:rPr>
                <w:rFonts w:hint="default" w:ascii="Times New Roman" w:hAnsi="Times New Roman" w:eastAsia="宋体" w:cs="Times New Roman"/>
                <w:color w:val="auto"/>
                <w:sz w:val="24"/>
                <w:highlight w:val="none"/>
                <w:u w:val="none" w:color="auto"/>
              </w:rPr>
              <w:t>源及影响因子</w:t>
            </w:r>
            <w:r>
              <w:rPr>
                <w:rFonts w:hint="default" w:ascii="Times New Roman" w:hAnsi="Times New Roman" w:eastAsia="宋体" w:cs="Times New Roman"/>
                <w:color w:val="auto"/>
                <w:sz w:val="24"/>
                <w:highlight w:val="none"/>
                <w:u w:val="none" w:color="auto"/>
                <w:lang w:val="en-US" w:eastAsia="zh-CN"/>
              </w:rPr>
              <w:t>如下</w:t>
            </w:r>
            <w:r>
              <w:rPr>
                <w:rFonts w:hint="default" w:ascii="Times New Roman" w:hAnsi="Times New Roman" w:eastAsia="宋体" w:cs="Times New Roman"/>
                <w:color w:val="auto"/>
                <w:sz w:val="24"/>
                <w:highlight w:val="none"/>
                <w:u w:val="none" w:color="auto"/>
                <w:lang w:val="zh-CN"/>
              </w:rPr>
              <w:t>。</w:t>
            </w:r>
          </w:p>
          <w:p w14:paraId="66E841BE">
            <w:pPr>
              <w:pStyle w:val="281"/>
              <w:spacing w:before="156"/>
              <w:rPr>
                <w:rStyle w:val="286"/>
                <w:rFonts w:hint="default" w:ascii="Times New Roman" w:hAnsi="Times New Roman" w:eastAsia="宋体" w:cs="Times New Roman"/>
                <w:b w:val="0"/>
                <w:color w:val="auto"/>
                <w:sz w:val="21"/>
                <w:szCs w:val="21"/>
                <w:highlight w:val="none"/>
                <w:u w:val="none" w:color="auto"/>
              </w:rPr>
            </w:pPr>
            <w:r>
              <w:rPr>
                <w:rStyle w:val="286"/>
                <w:rFonts w:hint="default" w:ascii="Times New Roman" w:hAnsi="Times New Roman" w:eastAsia="宋体" w:cs="Times New Roman"/>
                <w:color w:val="auto"/>
                <w:sz w:val="21"/>
                <w:szCs w:val="21"/>
                <w:highlight w:val="none"/>
                <w:u w:val="none" w:color="auto"/>
              </w:rPr>
              <w:t>表4-</w:t>
            </w:r>
            <w:r>
              <w:rPr>
                <w:rStyle w:val="286"/>
                <w:rFonts w:hint="eastAsia" w:cs="Times New Roman"/>
                <w:color w:val="auto"/>
                <w:sz w:val="21"/>
                <w:szCs w:val="21"/>
                <w:highlight w:val="none"/>
                <w:u w:val="none" w:color="auto"/>
                <w:lang w:val="en-US" w:eastAsia="zh-CN"/>
              </w:rPr>
              <w:t>22</w:t>
            </w:r>
            <w:r>
              <w:rPr>
                <w:rStyle w:val="286"/>
                <w:rFonts w:hint="default" w:ascii="Times New Roman" w:hAnsi="Times New Roman" w:eastAsia="宋体" w:cs="Times New Roman"/>
                <w:color w:val="auto"/>
                <w:sz w:val="21"/>
                <w:szCs w:val="21"/>
                <w:highlight w:val="none"/>
                <w:u w:val="none" w:color="auto"/>
              </w:rPr>
              <w:t xml:space="preserve">  项目土壤、地下水环境影响源及影响因子识别表</w:t>
            </w:r>
          </w:p>
          <w:tbl>
            <w:tblPr>
              <w:tblStyle w:val="43"/>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92"/>
              <w:gridCol w:w="1532"/>
              <w:gridCol w:w="1202"/>
              <w:gridCol w:w="1329"/>
              <w:gridCol w:w="2651"/>
            </w:tblGrid>
            <w:tr w14:paraId="47078A8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1" w:hRule="atLeast"/>
                <w:jc w:val="center"/>
              </w:trPr>
              <w:tc>
                <w:tcPr>
                  <w:tcW w:w="806" w:type="pct"/>
                  <w:tcBorders>
                    <w:top w:val="single" w:color="auto" w:sz="12" w:space="0"/>
                    <w:left w:val="single" w:color="auto" w:sz="0" w:space="0"/>
                  </w:tcBorders>
                  <w:vAlign w:val="center"/>
                </w:tcPr>
                <w:p w14:paraId="1ACBAC0D">
                  <w:pPr>
                    <w:pStyle w:val="287"/>
                    <w:adjustRightInd w:val="0"/>
                    <w:snapToGrid w:val="0"/>
                    <w:rPr>
                      <w:rStyle w:val="286"/>
                      <w:rFonts w:hint="default" w:ascii="Times New Roman" w:hAnsi="Times New Roman" w:eastAsia="宋体" w:cs="Times New Roman"/>
                      <w:bCs/>
                      <w:color w:val="auto"/>
                      <w:sz w:val="21"/>
                      <w:szCs w:val="21"/>
                      <w:highlight w:val="none"/>
                      <w:u w:val="none" w:color="auto"/>
                    </w:rPr>
                  </w:pPr>
                  <w:r>
                    <w:rPr>
                      <w:rStyle w:val="286"/>
                      <w:rFonts w:hint="default" w:ascii="Times New Roman" w:hAnsi="Times New Roman" w:eastAsia="宋体" w:cs="Times New Roman"/>
                      <w:bCs/>
                      <w:color w:val="auto"/>
                      <w:sz w:val="21"/>
                      <w:szCs w:val="21"/>
                      <w:highlight w:val="none"/>
                      <w:u w:val="none" w:color="auto"/>
                    </w:rPr>
                    <w:t>污染源</w:t>
                  </w:r>
                </w:p>
              </w:tc>
              <w:tc>
                <w:tcPr>
                  <w:tcW w:w="956" w:type="pct"/>
                  <w:tcBorders>
                    <w:top w:val="single" w:color="auto" w:sz="12" w:space="0"/>
                  </w:tcBorders>
                  <w:vAlign w:val="center"/>
                </w:tcPr>
                <w:p w14:paraId="5C10452B">
                  <w:pPr>
                    <w:pStyle w:val="287"/>
                    <w:adjustRightInd w:val="0"/>
                    <w:snapToGrid w:val="0"/>
                    <w:rPr>
                      <w:rStyle w:val="286"/>
                      <w:rFonts w:hint="default" w:ascii="Times New Roman" w:hAnsi="Times New Roman" w:eastAsia="宋体" w:cs="Times New Roman"/>
                      <w:bCs/>
                      <w:color w:val="auto"/>
                      <w:sz w:val="21"/>
                      <w:szCs w:val="21"/>
                      <w:highlight w:val="none"/>
                      <w:u w:val="none" w:color="auto"/>
                    </w:rPr>
                  </w:pPr>
                  <w:r>
                    <w:rPr>
                      <w:rStyle w:val="286"/>
                      <w:rFonts w:hint="default" w:ascii="Times New Roman" w:hAnsi="Times New Roman" w:eastAsia="宋体" w:cs="Times New Roman"/>
                      <w:bCs/>
                      <w:color w:val="auto"/>
                      <w:sz w:val="21"/>
                      <w:szCs w:val="21"/>
                      <w:highlight w:val="none"/>
                      <w:u w:val="none" w:color="auto"/>
                    </w:rPr>
                    <w:t>工艺流程/环节</w:t>
                  </w:r>
                </w:p>
              </w:tc>
              <w:tc>
                <w:tcPr>
                  <w:tcW w:w="750" w:type="pct"/>
                  <w:tcBorders>
                    <w:top w:val="single" w:color="auto" w:sz="12" w:space="0"/>
                  </w:tcBorders>
                  <w:vAlign w:val="center"/>
                </w:tcPr>
                <w:p w14:paraId="5126C24D">
                  <w:pPr>
                    <w:pStyle w:val="287"/>
                    <w:adjustRightInd w:val="0"/>
                    <w:snapToGrid w:val="0"/>
                    <w:rPr>
                      <w:rStyle w:val="286"/>
                      <w:rFonts w:hint="default" w:ascii="Times New Roman" w:hAnsi="Times New Roman" w:eastAsia="宋体" w:cs="Times New Roman"/>
                      <w:bCs/>
                      <w:color w:val="auto"/>
                      <w:sz w:val="21"/>
                      <w:szCs w:val="21"/>
                      <w:highlight w:val="none"/>
                      <w:u w:val="none" w:color="auto"/>
                    </w:rPr>
                  </w:pPr>
                  <w:r>
                    <w:rPr>
                      <w:rStyle w:val="286"/>
                      <w:rFonts w:hint="default" w:ascii="Times New Roman" w:hAnsi="Times New Roman" w:eastAsia="宋体" w:cs="Times New Roman"/>
                      <w:bCs/>
                      <w:color w:val="auto"/>
                      <w:sz w:val="21"/>
                      <w:szCs w:val="21"/>
                      <w:highlight w:val="none"/>
                      <w:u w:val="none" w:color="auto"/>
                    </w:rPr>
                    <w:t>污染途径</w:t>
                  </w:r>
                </w:p>
              </w:tc>
              <w:tc>
                <w:tcPr>
                  <w:tcW w:w="830" w:type="pct"/>
                  <w:tcBorders>
                    <w:top w:val="single" w:color="auto" w:sz="12" w:space="0"/>
                  </w:tcBorders>
                  <w:vAlign w:val="center"/>
                </w:tcPr>
                <w:p w14:paraId="04BBD48A">
                  <w:pPr>
                    <w:pStyle w:val="287"/>
                    <w:adjustRightInd w:val="0"/>
                    <w:snapToGrid w:val="0"/>
                    <w:rPr>
                      <w:rStyle w:val="286"/>
                      <w:rFonts w:hint="default" w:ascii="Times New Roman" w:hAnsi="Times New Roman" w:eastAsia="宋体" w:cs="Times New Roman"/>
                      <w:bCs/>
                      <w:color w:val="auto"/>
                      <w:sz w:val="21"/>
                      <w:szCs w:val="21"/>
                      <w:highlight w:val="none"/>
                      <w:u w:val="none" w:color="auto"/>
                    </w:rPr>
                  </w:pPr>
                  <w:r>
                    <w:rPr>
                      <w:rStyle w:val="286"/>
                      <w:rFonts w:hint="default" w:ascii="Times New Roman" w:hAnsi="Times New Roman" w:eastAsia="宋体" w:cs="Times New Roman"/>
                      <w:bCs/>
                      <w:color w:val="auto"/>
                      <w:sz w:val="21"/>
                      <w:szCs w:val="21"/>
                      <w:highlight w:val="none"/>
                      <w:u w:val="none" w:color="auto"/>
                    </w:rPr>
                    <w:t>污染物</w:t>
                  </w:r>
                </w:p>
              </w:tc>
              <w:tc>
                <w:tcPr>
                  <w:tcW w:w="1655" w:type="pct"/>
                  <w:tcBorders>
                    <w:top w:val="single" w:color="auto" w:sz="12" w:space="0"/>
                    <w:right w:val="single" w:color="auto" w:sz="12" w:space="0"/>
                  </w:tcBorders>
                  <w:vAlign w:val="center"/>
                </w:tcPr>
                <w:p w14:paraId="1568A531">
                  <w:pPr>
                    <w:pStyle w:val="287"/>
                    <w:adjustRightInd w:val="0"/>
                    <w:snapToGrid w:val="0"/>
                    <w:rPr>
                      <w:rStyle w:val="286"/>
                      <w:rFonts w:hint="default" w:ascii="Times New Roman" w:hAnsi="Times New Roman" w:eastAsia="宋体" w:cs="Times New Roman"/>
                      <w:bCs/>
                      <w:color w:val="auto"/>
                      <w:sz w:val="21"/>
                      <w:szCs w:val="21"/>
                      <w:highlight w:val="none"/>
                      <w:u w:val="none" w:color="auto"/>
                    </w:rPr>
                  </w:pPr>
                  <w:r>
                    <w:rPr>
                      <w:rStyle w:val="286"/>
                      <w:rFonts w:hint="default" w:ascii="Times New Roman" w:hAnsi="Times New Roman" w:eastAsia="宋体" w:cs="Times New Roman"/>
                      <w:bCs/>
                      <w:color w:val="auto"/>
                      <w:sz w:val="21"/>
                      <w:szCs w:val="21"/>
                      <w:highlight w:val="none"/>
                      <w:u w:val="none" w:color="auto"/>
                    </w:rPr>
                    <w:t>备注</w:t>
                  </w:r>
                </w:p>
              </w:tc>
            </w:tr>
            <w:tr w14:paraId="337F281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806" w:type="pct"/>
                  <w:tcBorders>
                    <w:left w:val="single" w:color="auto" w:sz="4" w:space="0"/>
                  </w:tcBorders>
                  <w:vAlign w:val="center"/>
                </w:tcPr>
                <w:p w14:paraId="771CC2BB">
                  <w:pPr>
                    <w:pStyle w:val="287"/>
                    <w:adjustRightInd w:val="0"/>
                    <w:snapToGrid w:val="0"/>
                    <w:rPr>
                      <w:rStyle w:val="286"/>
                      <w:rFonts w:hint="default" w:ascii="Times New Roman" w:hAnsi="Times New Roman" w:eastAsia="宋体" w:cs="Times New Roman"/>
                      <w:bCs/>
                      <w:color w:val="auto"/>
                      <w:sz w:val="21"/>
                      <w:szCs w:val="21"/>
                      <w:highlight w:val="none"/>
                      <w:u w:val="none" w:color="auto"/>
                      <w:lang w:val="en-US" w:eastAsia="zh-CN"/>
                    </w:rPr>
                  </w:pPr>
                  <w:r>
                    <w:rPr>
                      <w:rStyle w:val="286"/>
                      <w:rFonts w:hint="eastAsia" w:cs="Times New Roman"/>
                      <w:bCs/>
                      <w:color w:val="auto"/>
                      <w:sz w:val="21"/>
                      <w:szCs w:val="21"/>
                      <w:highlight w:val="none"/>
                      <w:u w:val="none" w:color="auto"/>
                      <w:lang w:val="en-US" w:eastAsia="zh-CN"/>
                    </w:rPr>
                    <w:t>污水处理站</w:t>
                  </w:r>
                </w:p>
              </w:tc>
              <w:tc>
                <w:tcPr>
                  <w:tcW w:w="956" w:type="pct"/>
                  <w:vAlign w:val="center"/>
                </w:tcPr>
                <w:p w14:paraId="034912D1">
                  <w:pPr>
                    <w:pStyle w:val="287"/>
                    <w:adjustRightInd w:val="0"/>
                    <w:snapToGrid w:val="0"/>
                    <w:rPr>
                      <w:rStyle w:val="286"/>
                      <w:rFonts w:hint="default" w:ascii="Times New Roman" w:hAnsi="Times New Roman" w:eastAsia="宋体" w:cs="Times New Roman"/>
                      <w:bCs/>
                      <w:color w:val="auto"/>
                      <w:sz w:val="21"/>
                      <w:szCs w:val="21"/>
                      <w:highlight w:val="none"/>
                      <w:u w:val="none" w:color="auto"/>
                      <w:lang w:val="en-US" w:eastAsia="zh-CN"/>
                    </w:rPr>
                  </w:pPr>
                  <w:r>
                    <w:rPr>
                      <w:rStyle w:val="286"/>
                      <w:rFonts w:hint="default" w:ascii="Times New Roman" w:hAnsi="Times New Roman" w:eastAsia="宋体" w:cs="Times New Roman"/>
                      <w:bCs/>
                      <w:color w:val="auto"/>
                      <w:sz w:val="21"/>
                      <w:szCs w:val="21"/>
                      <w:highlight w:val="none"/>
                      <w:u w:val="none" w:color="auto"/>
                      <w:lang w:val="en-US" w:eastAsia="zh-CN"/>
                    </w:rPr>
                    <w:t>废水处理</w:t>
                  </w:r>
                </w:p>
              </w:tc>
              <w:tc>
                <w:tcPr>
                  <w:tcW w:w="750" w:type="pct"/>
                  <w:vAlign w:val="center"/>
                </w:tcPr>
                <w:p w14:paraId="7D72F408">
                  <w:pPr>
                    <w:pStyle w:val="287"/>
                    <w:adjustRightInd w:val="0"/>
                    <w:snapToGrid w:val="0"/>
                    <w:rPr>
                      <w:rStyle w:val="286"/>
                      <w:rFonts w:hint="default" w:ascii="Times New Roman" w:hAnsi="Times New Roman" w:eastAsia="宋体" w:cs="Times New Roman"/>
                      <w:bCs/>
                      <w:color w:val="auto"/>
                      <w:sz w:val="21"/>
                      <w:szCs w:val="21"/>
                      <w:highlight w:val="none"/>
                      <w:u w:val="none" w:color="auto"/>
                      <w:lang w:val="en-US" w:eastAsia="zh-CN"/>
                    </w:rPr>
                  </w:pPr>
                  <w:r>
                    <w:rPr>
                      <w:rStyle w:val="286"/>
                      <w:rFonts w:hint="default" w:ascii="Times New Roman" w:hAnsi="Times New Roman" w:eastAsia="宋体" w:cs="Times New Roman"/>
                      <w:bCs/>
                      <w:color w:val="auto"/>
                      <w:sz w:val="21"/>
                      <w:szCs w:val="21"/>
                      <w:highlight w:val="none"/>
                      <w:u w:val="none" w:color="auto"/>
                      <w:lang w:val="en-US" w:eastAsia="zh-CN"/>
                    </w:rPr>
                    <w:t>地面漫流、</w:t>
                  </w:r>
                  <w:r>
                    <w:rPr>
                      <w:rStyle w:val="286"/>
                      <w:rFonts w:hint="default" w:ascii="Times New Roman" w:hAnsi="Times New Roman" w:eastAsia="宋体" w:cs="Times New Roman"/>
                      <w:bCs/>
                      <w:color w:val="auto"/>
                      <w:sz w:val="21"/>
                      <w:szCs w:val="21"/>
                      <w:highlight w:val="none"/>
                      <w:u w:val="none" w:color="auto"/>
                    </w:rPr>
                    <w:t>垂直入渗</w:t>
                  </w:r>
                </w:p>
              </w:tc>
              <w:tc>
                <w:tcPr>
                  <w:tcW w:w="830" w:type="pct"/>
                  <w:vAlign w:val="center"/>
                </w:tcPr>
                <w:p w14:paraId="185C6041">
                  <w:pPr>
                    <w:pStyle w:val="287"/>
                    <w:adjustRightInd w:val="0"/>
                    <w:snapToGrid w:val="0"/>
                    <w:rPr>
                      <w:rStyle w:val="286"/>
                      <w:rFonts w:hint="default" w:ascii="Times New Roman" w:hAnsi="Times New Roman" w:eastAsia="宋体" w:cs="Times New Roman"/>
                      <w:bCs/>
                      <w:color w:val="auto"/>
                      <w:sz w:val="21"/>
                      <w:szCs w:val="21"/>
                      <w:highlight w:val="none"/>
                      <w:u w:val="none" w:color="auto"/>
                      <w:lang w:val="en-US" w:eastAsia="zh-CN"/>
                    </w:rPr>
                  </w:pPr>
                  <w:r>
                    <w:rPr>
                      <w:rStyle w:val="286"/>
                      <w:rFonts w:hint="default" w:ascii="Times New Roman" w:hAnsi="Times New Roman" w:eastAsia="宋体" w:cs="Times New Roman"/>
                      <w:bCs/>
                      <w:color w:val="auto"/>
                      <w:sz w:val="21"/>
                      <w:szCs w:val="21"/>
                      <w:highlight w:val="none"/>
                      <w:u w:val="none" w:color="auto"/>
                      <w:lang w:val="en-US" w:eastAsia="zh-CN"/>
                    </w:rPr>
                    <w:t>废水</w:t>
                  </w:r>
                </w:p>
              </w:tc>
              <w:tc>
                <w:tcPr>
                  <w:tcW w:w="1655" w:type="pct"/>
                  <w:tcBorders>
                    <w:right w:val="single" w:color="auto" w:sz="12" w:space="0"/>
                  </w:tcBorders>
                  <w:vAlign w:val="center"/>
                </w:tcPr>
                <w:p w14:paraId="5A462493">
                  <w:pPr>
                    <w:pStyle w:val="287"/>
                    <w:adjustRightInd w:val="0"/>
                    <w:snapToGrid w:val="0"/>
                    <w:rPr>
                      <w:rStyle w:val="286"/>
                      <w:rFonts w:hint="default" w:ascii="Times New Roman" w:hAnsi="Times New Roman" w:eastAsia="宋体" w:cs="Times New Roman"/>
                      <w:bCs/>
                      <w:color w:val="auto"/>
                      <w:sz w:val="21"/>
                      <w:szCs w:val="21"/>
                      <w:highlight w:val="none"/>
                      <w:u w:val="none" w:color="auto"/>
                      <w:lang w:val="en-US" w:eastAsia="zh-CN"/>
                    </w:rPr>
                  </w:pPr>
                  <w:r>
                    <w:rPr>
                      <w:rStyle w:val="286"/>
                      <w:rFonts w:hint="eastAsia" w:cs="Times New Roman"/>
                      <w:bCs/>
                      <w:color w:val="auto"/>
                      <w:sz w:val="21"/>
                      <w:szCs w:val="21"/>
                      <w:highlight w:val="none"/>
                      <w:u w:val="none" w:color="auto"/>
                      <w:lang w:val="en-US" w:eastAsia="zh-CN"/>
                    </w:rPr>
                    <w:t>处理</w:t>
                  </w:r>
                  <w:r>
                    <w:rPr>
                      <w:rStyle w:val="286"/>
                      <w:rFonts w:hint="default" w:ascii="Times New Roman" w:hAnsi="Times New Roman" w:eastAsia="宋体" w:cs="Times New Roman"/>
                      <w:bCs/>
                      <w:color w:val="auto"/>
                      <w:sz w:val="21"/>
                      <w:szCs w:val="21"/>
                      <w:highlight w:val="none"/>
                      <w:u w:val="none" w:color="auto"/>
                      <w:lang w:val="en-US" w:eastAsia="zh-CN"/>
                    </w:rPr>
                    <w:t>池破裂，导致废水渗入土壤；</w:t>
                  </w:r>
                  <w:r>
                    <w:rPr>
                      <w:rStyle w:val="286"/>
                      <w:rFonts w:hint="eastAsia" w:cs="Times New Roman"/>
                      <w:bCs/>
                      <w:color w:val="auto"/>
                      <w:sz w:val="21"/>
                      <w:szCs w:val="21"/>
                      <w:highlight w:val="none"/>
                      <w:u w:val="none" w:color="auto"/>
                      <w:lang w:val="en-US" w:eastAsia="zh-CN"/>
                    </w:rPr>
                    <w:t>废水</w:t>
                  </w:r>
                  <w:r>
                    <w:rPr>
                      <w:rStyle w:val="286"/>
                      <w:rFonts w:hint="default" w:ascii="Times New Roman" w:hAnsi="Times New Roman" w:eastAsia="宋体" w:cs="Times New Roman"/>
                      <w:bCs/>
                      <w:color w:val="auto"/>
                      <w:sz w:val="21"/>
                      <w:szCs w:val="21"/>
                      <w:highlight w:val="none"/>
                      <w:u w:val="none" w:color="auto"/>
                      <w:lang w:val="en-US" w:eastAsia="zh-CN"/>
                    </w:rPr>
                    <w:t>满溢，导致废水溢流。</w:t>
                  </w:r>
                </w:p>
              </w:tc>
            </w:tr>
            <w:tr w14:paraId="53483C7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806" w:type="pct"/>
                  <w:tcBorders>
                    <w:left w:val="single" w:color="auto" w:sz="4" w:space="0"/>
                    <w:bottom w:val="single" w:color="auto" w:sz="12" w:space="0"/>
                  </w:tcBorders>
                  <w:vAlign w:val="center"/>
                </w:tcPr>
                <w:p w14:paraId="4D3E212D">
                  <w:pPr>
                    <w:pStyle w:val="287"/>
                    <w:adjustRightInd w:val="0"/>
                    <w:snapToGrid w:val="0"/>
                    <w:rPr>
                      <w:rStyle w:val="286"/>
                      <w:rFonts w:hint="eastAsia" w:cs="Times New Roman"/>
                      <w:bCs/>
                      <w:color w:val="auto"/>
                      <w:sz w:val="21"/>
                      <w:szCs w:val="21"/>
                      <w:highlight w:val="none"/>
                      <w:u w:val="none" w:color="auto"/>
                      <w:lang w:val="en-US" w:eastAsia="zh-CN"/>
                    </w:rPr>
                  </w:pPr>
                  <w:r>
                    <w:rPr>
                      <w:rStyle w:val="286"/>
                      <w:rFonts w:hint="eastAsia" w:cs="Times New Roman"/>
                      <w:bCs/>
                      <w:color w:val="auto"/>
                      <w:sz w:val="21"/>
                      <w:szCs w:val="21"/>
                      <w:highlight w:val="none"/>
                      <w:u w:val="none" w:color="auto"/>
                      <w:lang w:val="en-US" w:eastAsia="zh-CN"/>
                    </w:rPr>
                    <w:t>危险废物暂存间</w:t>
                  </w:r>
                </w:p>
              </w:tc>
              <w:tc>
                <w:tcPr>
                  <w:tcW w:w="956" w:type="pct"/>
                  <w:tcBorders>
                    <w:bottom w:val="single" w:color="auto" w:sz="12" w:space="0"/>
                  </w:tcBorders>
                  <w:vAlign w:val="center"/>
                </w:tcPr>
                <w:p w14:paraId="40C40FD3">
                  <w:pPr>
                    <w:pStyle w:val="287"/>
                    <w:adjustRightInd w:val="0"/>
                    <w:snapToGrid w:val="0"/>
                    <w:rPr>
                      <w:rStyle w:val="286"/>
                      <w:rFonts w:hint="default" w:ascii="Times New Roman" w:hAnsi="Times New Roman" w:eastAsia="宋体" w:cs="Times New Roman"/>
                      <w:bCs/>
                      <w:color w:val="auto"/>
                      <w:sz w:val="21"/>
                      <w:szCs w:val="21"/>
                      <w:highlight w:val="none"/>
                      <w:u w:val="none" w:color="auto"/>
                      <w:lang w:val="en-US" w:eastAsia="zh-CN"/>
                    </w:rPr>
                  </w:pPr>
                  <w:r>
                    <w:rPr>
                      <w:rStyle w:val="286"/>
                      <w:rFonts w:hint="eastAsia" w:cs="Times New Roman"/>
                      <w:bCs/>
                      <w:color w:val="auto"/>
                      <w:sz w:val="21"/>
                      <w:szCs w:val="21"/>
                      <w:highlight w:val="none"/>
                      <w:u w:val="none" w:color="auto"/>
                      <w:lang w:val="en-US" w:eastAsia="zh-CN"/>
                    </w:rPr>
                    <w:t>危险废物暂存</w:t>
                  </w:r>
                </w:p>
              </w:tc>
              <w:tc>
                <w:tcPr>
                  <w:tcW w:w="750" w:type="pct"/>
                  <w:tcBorders>
                    <w:bottom w:val="single" w:color="auto" w:sz="12" w:space="0"/>
                  </w:tcBorders>
                  <w:vAlign w:val="center"/>
                </w:tcPr>
                <w:p w14:paraId="31641519">
                  <w:pPr>
                    <w:pStyle w:val="287"/>
                    <w:adjustRightInd w:val="0"/>
                    <w:snapToGrid w:val="0"/>
                    <w:rPr>
                      <w:rStyle w:val="286"/>
                      <w:rFonts w:hint="default" w:ascii="Times New Roman" w:hAnsi="Times New Roman" w:eastAsia="宋体" w:cs="Times New Roman"/>
                      <w:bCs/>
                      <w:color w:val="auto"/>
                      <w:sz w:val="21"/>
                      <w:szCs w:val="21"/>
                      <w:highlight w:val="none"/>
                      <w:u w:val="none" w:color="auto"/>
                      <w:lang w:val="en-US" w:eastAsia="zh-CN"/>
                    </w:rPr>
                  </w:pPr>
                  <w:r>
                    <w:rPr>
                      <w:rStyle w:val="286"/>
                      <w:rFonts w:hint="eastAsia" w:cs="Times New Roman"/>
                      <w:bCs/>
                      <w:color w:val="auto"/>
                      <w:sz w:val="21"/>
                      <w:szCs w:val="21"/>
                      <w:highlight w:val="none"/>
                      <w:u w:val="none" w:color="auto"/>
                      <w:lang w:val="en-US" w:eastAsia="zh-CN"/>
                    </w:rPr>
                    <w:t>垂直入渗</w:t>
                  </w:r>
                </w:p>
              </w:tc>
              <w:tc>
                <w:tcPr>
                  <w:tcW w:w="830" w:type="pct"/>
                  <w:tcBorders>
                    <w:bottom w:val="single" w:color="auto" w:sz="12" w:space="0"/>
                  </w:tcBorders>
                  <w:vAlign w:val="center"/>
                </w:tcPr>
                <w:p w14:paraId="3BCB4756">
                  <w:pPr>
                    <w:pStyle w:val="287"/>
                    <w:adjustRightInd w:val="0"/>
                    <w:snapToGrid w:val="0"/>
                    <w:rPr>
                      <w:rStyle w:val="286"/>
                      <w:rFonts w:hint="default" w:ascii="Times New Roman" w:hAnsi="Times New Roman" w:eastAsia="宋体" w:cs="Times New Roman"/>
                      <w:bCs/>
                      <w:color w:val="auto"/>
                      <w:sz w:val="21"/>
                      <w:szCs w:val="21"/>
                      <w:highlight w:val="none"/>
                      <w:u w:val="none" w:color="auto"/>
                      <w:lang w:val="en-US" w:eastAsia="zh-CN"/>
                    </w:rPr>
                  </w:pPr>
                  <w:r>
                    <w:rPr>
                      <w:rStyle w:val="286"/>
                      <w:rFonts w:hint="eastAsia" w:cs="Times New Roman"/>
                      <w:bCs/>
                      <w:color w:val="auto"/>
                      <w:sz w:val="21"/>
                      <w:szCs w:val="21"/>
                      <w:highlight w:val="none"/>
                      <w:u w:val="none" w:color="auto"/>
                      <w:lang w:val="en-US" w:eastAsia="zh-CN"/>
                    </w:rPr>
                    <w:t>危险废物</w:t>
                  </w:r>
                </w:p>
              </w:tc>
              <w:tc>
                <w:tcPr>
                  <w:tcW w:w="1655" w:type="pct"/>
                  <w:tcBorders>
                    <w:bottom w:val="single" w:color="auto" w:sz="12" w:space="0"/>
                    <w:right w:val="single" w:color="auto" w:sz="12" w:space="0"/>
                  </w:tcBorders>
                  <w:vAlign w:val="center"/>
                </w:tcPr>
                <w:p w14:paraId="39B4D177">
                  <w:pPr>
                    <w:pStyle w:val="287"/>
                    <w:adjustRightInd w:val="0"/>
                    <w:snapToGrid w:val="0"/>
                    <w:rPr>
                      <w:rStyle w:val="286"/>
                      <w:rFonts w:hint="eastAsia" w:cs="Times New Roman"/>
                      <w:bCs/>
                      <w:color w:val="auto"/>
                      <w:sz w:val="21"/>
                      <w:szCs w:val="21"/>
                      <w:highlight w:val="none"/>
                      <w:u w:val="none" w:color="auto"/>
                      <w:lang w:val="en-US" w:eastAsia="zh-CN"/>
                    </w:rPr>
                  </w:pPr>
                  <w:r>
                    <w:rPr>
                      <w:rStyle w:val="286"/>
                      <w:rFonts w:hint="eastAsia" w:cs="Times New Roman"/>
                      <w:bCs/>
                      <w:color w:val="auto"/>
                      <w:sz w:val="21"/>
                      <w:szCs w:val="21"/>
                      <w:highlight w:val="none"/>
                      <w:u w:val="none" w:color="auto"/>
                      <w:lang w:val="en-US" w:eastAsia="zh-CN"/>
                    </w:rPr>
                    <w:t>危废收集容器破损，废矿物油泄漏渗入土壤造成污染</w:t>
                  </w:r>
                </w:p>
              </w:tc>
            </w:tr>
          </w:tbl>
          <w:p w14:paraId="06DB9683">
            <w:pPr>
              <w:pStyle w:val="282"/>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w:t>
            </w:r>
            <w:r>
              <w:rPr>
                <w:rFonts w:hint="default" w:ascii="Times New Roman" w:hAnsi="Times New Roman" w:eastAsia="宋体" w:cs="Times New Roman"/>
                <w:color w:val="auto"/>
                <w:highlight w:val="none"/>
                <w:u w:val="none" w:color="auto"/>
                <w:lang w:val="en-US" w:eastAsia="zh-CN"/>
              </w:rPr>
              <w:t>2</w:t>
            </w:r>
            <w:r>
              <w:rPr>
                <w:rFonts w:hint="default" w:ascii="Times New Roman" w:hAnsi="Times New Roman" w:eastAsia="宋体" w:cs="Times New Roman"/>
                <w:color w:val="auto"/>
                <w:highlight w:val="none"/>
                <w:u w:val="none" w:color="auto"/>
              </w:rPr>
              <w:t>）分区防控措施</w:t>
            </w:r>
          </w:p>
          <w:p w14:paraId="15C30313">
            <w:pPr>
              <w:pStyle w:val="282"/>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根据以上分析，项目存在土壤、地下水污染源的区域主要为</w:t>
            </w:r>
            <w:r>
              <w:rPr>
                <w:rFonts w:hint="eastAsia" w:cs="Times New Roman"/>
                <w:color w:val="auto"/>
                <w:highlight w:val="none"/>
                <w:u w:val="none" w:color="auto"/>
                <w:lang w:eastAsia="zh-CN"/>
              </w:rPr>
              <w:t>是污水处理站</w:t>
            </w:r>
            <w:r>
              <w:rPr>
                <w:rFonts w:hint="default" w:ascii="Times New Roman" w:hAnsi="Times New Roman" w:eastAsia="宋体" w:cs="Times New Roman"/>
                <w:color w:val="auto"/>
                <w:highlight w:val="none"/>
                <w:u w:val="none" w:color="auto"/>
              </w:rPr>
              <w:t>。</w:t>
            </w:r>
          </w:p>
          <w:p w14:paraId="473A30D7">
            <w:pPr>
              <w:pStyle w:val="282"/>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bCs/>
                <w:color w:val="auto"/>
                <w:sz w:val="21"/>
                <w:szCs w:val="21"/>
                <w:highlight w:val="none"/>
                <w:u w:val="none" w:color="auto"/>
                <w:lang w:val="en-US" w:eastAsia="zh-CN"/>
              </w:rPr>
            </w:pPr>
            <w:r>
              <w:rPr>
                <w:rFonts w:hint="default" w:ascii="Times New Roman" w:hAnsi="Times New Roman" w:eastAsia="宋体" w:cs="Times New Roman"/>
                <w:b/>
                <w:bCs/>
                <w:color w:val="auto"/>
                <w:sz w:val="21"/>
                <w:szCs w:val="21"/>
                <w:highlight w:val="none"/>
                <w:u w:val="none" w:color="auto"/>
              </w:rPr>
              <w:t>表4-</w:t>
            </w:r>
            <w:r>
              <w:rPr>
                <w:rFonts w:hint="eastAsia" w:cs="Times New Roman"/>
                <w:b/>
                <w:bCs/>
                <w:color w:val="auto"/>
                <w:sz w:val="21"/>
                <w:szCs w:val="21"/>
                <w:highlight w:val="none"/>
                <w:u w:val="none" w:color="auto"/>
                <w:lang w:val="en-US" w:eastAsia="zh-CN"/>
              </w:rPr>
              <w:t>23</w:t>
            </w:r>
            <w:r>
              <w:rPr>
                <w:rFonts w:hint="default" w:ascii="Times New Roman" w:hAnsi="Times New Roman" w:eastAsia="宋体" w:cs="Times New Roman"/>
                <w:b/>
                <w:bCs/>
                <w:color w:val="auto"/>
                <w:sz w:val="21"/>
                <w:szCs w:val="21"/>
                <w:highlight w:val="none"/>
                <w:u w:val="none" w:color="auto"/>
                <w:lang w:val="en-US" w:eastAsia="zh-CN"/>
              </w:rPr>
              <w:t xml:space="preserve"> 分区防渗表</w:t>
            </w:r>
          </w:p>
          <w:tbl>
            <w:tblPr>
              <w:tblStyle w:val="43"/>
              <w:tblW w:w="80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1395"/>
              <w:gridCol w:w="1470"/>
              <w:gridCol w:w="4517"/>
            </w:tblGrid>
            <w:tr w14:paraId="7993B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tcBorders>
                    <w:top w:val="single" w:color="auto" w:sz="12" w:space="0"/>
                  </w:tcBorders>
                  <w:vAlign w:val="center"/>
                </w:tcPr>
                <w:p w14:paraId="4C4BEEF6">
                  <w:pPr>
                    <w:pStyle w:val="28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序号</w:t>
                  </w:r>
                </w:p>
              </w:tc>
              <w:tc>
                <w:tcPr>
                  <w:tcW w:w="1395" w:type="dxa"/>
                  <w:tcBorders>
                    <w:top w:val="single" w:color="auto" w:sz="12" w:space="0"/>
                  </w:tcBorders>
                  <w:vAlign w:val="center"/>
                </w:tcPr>
                <w:p w14:paraId="0B45EE44">
                  <w:pPr>
                    <w:pStyle w:val="28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防渗分区</w:t>
                  </w:r>
                </w:p>
              </w:tc>
              <w:tc>
                <w:tcPr>
                  <w:tcW w:w="1470" w:type="dxa"/>
                  <w:tcBorders>
                    <w:top w:val="single" w:color="auto" w:sz="12" w:space="0"/>
                  </w:tcBorders>
                  <w:vAlign w:val="center"/>
                </w:tcPr>
                <w:p w14:paraId="797EA911">
                  <w:pPr>
                    <w:pStyle w:val="28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工程</w:t>
                  </w:r>
                </w:p>
              </w:tc>
              <w:tc>
                <w:tcPr>
                  <w:tcW w:w="4517" w:type="dxa"/>
                  <w:tcBorders>
                    <w:top w:val="single" w:color="auto" w:sz="12" w:space="0"/>
                    <w:right w:val="single" w:color="auto" w:sz="12" w:space="0"/>
                  </w:tcBorders>
                  <w:vAlign w:val="center"/>
                </w:tcPr>
                <w:p w14:paraId="1A79ED0B">
                  <w:pPr>
                    <w:pStyle w:val="28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措施</w:t>
                  </w:r>
                </w:p>
              </w:tc>
            </w:tr>
            <w:tr w14:paraId="5C261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tcBorders>
                    <w:left w:val="single" w:color="auto" w:sz="4" w:space="0"/>
                  </w:tcBorders>
                  <w:vAlign w:val="center"/>
                </w:tcPr>
                <w:p w14:paraId="6C9CA4FA">
                  <w:pPr>
                    <w:pStyle w:val="28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1</w:t>
                  </w:r>
                </w:p>
              </w:tc>
              <w:tc>
                <w:tcPr>
                  <w:tcW w:w="1395" w:type="dxa"/>
                  <w:vAlign w:val="center"/>
                </w:tcPr>
                <w:p w14:paraId="090077DE">
                  <w:pPr>
                    <w:pStyle w:val="28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重点防渗区</w:t>
                  </w:r>
                </w:p>
              </w:tc>
              <w:tc>
                <w:tcPr>
                  <w:tcW w:w="1470" w:type="dxa"/>
                  <w:vAlign w:val="center"/>
                </w:tcPr>
                <w:p w14:paraId="562B0E71">
                  <w:pPr>
                    <w:pStyle w:val="28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eastAsia" w:cs="Times New Roman"/>
                      <w:color w:val="auto"/>
                      <w:sz w:val="21"/>
                      <w:szCs w:val="21"/>
                      <w:highlight w:val="none"/>
                      <w:u w:val="none" w:color="auto"/>
                      <w:vertAlign w:val="baseline"/>
                      <w:lang w:val="en-US" w:eastAsia="zh-CN"/>
                    </w:rPr>
                    <w:t>污水处理</w:t>
                  </w:r>
                  <w:r>
                    <w:rPr>
                      <w:rFonts w:hint="default" w:ascii="Times New Roman" w:hAnsi="Times New Roman" w:eastAsia="宋体" w:cs="Times New Roman"/>
                      <w:color w:val="auto"/>
                      <w:sz w:val="21"/>
                      <w:szCs w:val="21"/>
                      <w:highlight w:val="none"/>
                      <w:u w:val="none" w:color="auto"/>
                      <w:vertAlign w:val="baseline"/>
                      <w:lang w:val="en-US" w:eastAsia="zh-CN"/>
                    </w:rPr>
                    <w:t>池</w:t>
                  </w:r>
                  <w:r>
                    <w:rPr>
                      <w:rFonts w:hint="eastAsia" w:cs="Times New Roman"/>
                      <w:color w:val="auto"/>
                      <w:sz w:val="21"/>
                      <w:szCs w:val="21"/>
                      <w:highlight w:val="none"/>
                      <w:u w:val="none" w:color="auto"/>
                      <w:vertAlign w:val="baseline"/>
                      <w:lang w:val="en-US" w:eastAsia="zh-CN"/>
                    </w:rPr>
                    <w:t>、危险废物暂存间</w:t>
                  </w:r>
                </w:p>
              </w:tc>
              <w:tc>
                <w:tcPr>
                  <w:tcW w:w="4517" w:type="dxa"/>
                  <w:tcBorders>
                    <w:right w:val="single" w:color="auto" w:sz="12" w:space="0"/>
                  </w:tcBorders>
                  <w:vAlign w:val="center"/>
                </w:tcPr>
                <w:p w14:paraId="4309E9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rPr>
                  </w:pPr>
                  <w:r>
                    <w:rPr>
                      <w:rFonts w:hint="default" w:ascii="Times New Roman" w:hAnsi="Times New Roman" w:eastAsia="宋体" w:cs="Times New Roman"/>
                      <w:color w:val="auto"/>
                      <w:sz w:val="21"/>
                      <w:szCs w:val="21"/>
                      <w:highlight w:val="none"/>
                      <w:u w:val="none" w:color="auto"/>
                      <w:lang w:val="en-US" w:eastAsia="zh-CN" w:bidi="ar-SA"/>
                    </w:rPr>
                    <w:t>其渗透性能应不低于6m厚渗透系数为1.0×10</w:t>
                  </w:r>
                  <w:r>
                    <w:rPr>
                      <w:rFonts w:hint="default" w:ascii="Times New Roman" w:hAnsi="Times New Roman" w:eastAsia="宋体" w:cs="Times New Roman"/>
                      <w:color w:val="auto"/>
                      <w:sz w:val="21"/>
                      <w:szCs w:val="21"/>
                      <w:highlight w:val="none"/>
                      <w:u w:val="none" w:color="auto"/>
                      <w:vertAlign w:val="superscript"/>
                      <w:lang w:val="en-US" w:eastAsia="zh-CN" w:bidi="ar-SA"/>
                    </w:rPr>
                    <w:t>-7</w:t>
                  </w:r>
                  <w:r>
                    <w:rPr>
                      <w:rFonts w:hint="default" w:ascii="Times New Roman" w:hAnsi="Times New Roman" w:eastAsia="宋体" w:cs="Times New Roman"/>
                      <w:color w:val="auto"/>
                      <w:sz w:val="21"/>
                      <w:szCs w:val="21"/>
                      <w:highlight w:val="none"/>
                      <w:u w:val="none" w:color="auto"/>
                      <w:lang w:val="en-US" w:eastAsia="zh-CN" w:bidi="ar-SA"/>
                    </w:rPr>
                    <w:t>cm/s的黏土层防渗性能，建议采用2mm后的HDPE膜进行防渗</w:t>
                  </w:r>
                </w:p>
              </w:tc>
            </w:tr>
            <w:tr w14:paraId="0FD7E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tcBorders>
                    <w:left w:val="single" w:color="auto" w:sz="4" w:space="0"/>
                  </w:tcBorders>
                  <w:vAlign w:val="center"/>
                </w:tcPr>
                <w:p w14:paraId="4E45853C">
                  <w:pPr>
                    <w:pStyle w:val="28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2</w:t>
                  </w:r>
                </w:p>
              </w:tc>
              <w:tc>
                <w:tcPr>
                  <w:tcW w:w="1395" w:type="dxa"/>
                  <w:vAlign w:val="center"/>
                </w:tcPr>
                <w:p w14:paraId="2E2CF662">
                  <w:pPr>
                    <w:pStyle w:val="28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一般防渗区</w:t>
                  </w:r>
                </w:p>
              </w:tc>
              <w:tc>
                <w:tcPr>
                  <w:tcW w:w="1470" w:type="dxa"/>
                  <w:vAlign w:val="center"/>
                </w:tcPr>
                <w:p w14:paraId="74ADF137">
                  <w:pPr>
                    <w:pStyle w:val="28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生产车间地面、一般固废暂存间</w:t>
                  </w:r>
                </w:p>
              </w:tc>
              <w:tc>
                <w:tcPr>
                  <w:tcW w:w="4517" w:type="dxa"/>
                  <w:tcBorders>
                    <w:right w:val="single" w:color="auto" w:sz="12" w:space="0"/>
                  </w:tcBorders>
                  <w:vAlign w:val="center"/>
                </w:tcPr>
                <w:p w14:paraId="161966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rPr>
                  </w:pPr>
                  <w:r>
                    <w:rPr>
                      <w:rFonts w:hint="default" w:ascii="Times New Roman" w:hAnsi="Times New Roman" w:eastAsia="宋体" w:cs="Times New Roman"/>
                      <w:color w:val="auto"/>
                      <w:sz w:val="21"/>
                      <w:szCs w:val="21"/>
                      <w:highlight w:val="none"/>
                      <w:u w:val="none" w:color="auto"/>
                      <w:lang w:val="en-US" w:eastAsia="zh-CN" w:bidi="ar-SA"/>
                    </w:rPr>
                    <w:t>渗透性能应不低于1.5m厚渗透系数为1.0×10</w:t>
                  </w:r>
                  <w:r>
                    <w:rPr>
                      <w:rFonts w:hint="default" w:ascii="Times New Roman" w:hAnsi="Times New Roman" w:eastAsia="宋体" w:cs="Times New Roman"/>
                      <w:color w:val="auto"/>
                      <w:sz w:val="21"/>
                      <w:szCs w:val="21"/>
                      <w:highlight w:val="none"/>
                      <w:u w:val="none" w:color="auto"/>
                      <w:vertAlign w:val="superscript"/>
                      <w:lang w:val="en-US" w:eastAsia="zh-CN" w:bidi="ar-SA"/>
                    </w:rPr>
                    <w:t>-7</w:t>
                  </w:r>
                  <w:r>
                    <w:rPr>
                      <w:rFonts w:hint="default" w:ascii="Times New Roman" w:hAnsi="Times New Roman" w:eastAsia="宋体" w:cs="Times New Roman"/>
                      <w:color w:val="auto"/>
                      <w:sz w:val="21"/>
                      <w:szCs w:val="21"/>
                      <w:highlight w:val="none"/>
                      <w:u w:val="none" w:color="auto"/>
                      <w:lang w:val="en-US" w:eastAsia="zh-CN" w:bidi="ar-SA"/>
                    </w:rPr>
                    <w:t>cm/s的黏土层防渗性能，建议采用防渗的混凝土铺砌，防渗层采用抗渗钢筋混凝土和防水涂料。混凝土的强度等级不低于C25，抗渗等级不低于P6，厚度不小于150mm</w:t>
                  </w:r>
                </w:p>
              </w:tc>
            </w:tr>
            <w:tr w14:paraId="561AEB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6" w:type="dxa"/>
                  <w:tcBorders>
                    <w:left w:val="single" w:color="auto" w:sz="4" w:space="0"/>
                    <w:bottom w:val="single" w:color="auto" w:sz="12" w:space="0"/>
                  </w:tcBorders>
                  <w:vAlign w:val="center"/>
                </w:tcPr>
                <w:p w14:paraId="42768E48">
                  <w:pPr>
                    <w:pStyle w:val="28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3</w:t>
                  </w:r>
                </w:p>
              </w:tc>
              <w:tc>
                <w:tcPr>
                  <w:tcW w:w="1395" w:type="dxa"/>
                  <w:tcBorders>
                    <w:bottom w:val="single" w:color="auto" w:sz="12" w:space="0"/>
                  </w:tcBorders>
                  <w:vAlign w:val="center"/>
                </w:tcPr>
                <w:p w14:paraId="400D530A">
                  <w:pPr>
                    <w:pStyle w:val="28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简单防渗区</w:t>
                  </w:r>
                </w:p>
              </w:tc>
              <w:tc>
                <w:tcPr>
                  <w:tcW w:w="1470" w:type="dxa"/>
                  <w:tcBorders>
                    <w:bottom w:val="single" w:color="auto" w:sz="12" w:space="0"/>
                  </w:tcBorders>
                  <w:vAlign w:val="center"/>
                </w:tcPr>
                <w:p w14:paraId="4F15C934">
                  <w:pPr>
                    <w:pStyle w:val="282"/>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lang w:val="en-US" w:eastAsia="zh-CN"/>
                    </w:rPr>
                  </w:pPr>
                  <w:r>
                    <w:rPr>
                      <w:rFonts w:hint="default" w:ascii="Times New Roman" w:hAnsi="Times New Roman" w:eastAsia="宋体" w:cs="Times New Roman"/>
                      <w:color w:val="auto"/>
                      <w:sz w:val="21"/>
                      <w:szCs w:val="21"/>
                      <w:highlight w:val="none"/>
                      <w:u w:val="none" w:color="auto"/>
                      <w:vertAlign w:val="baseline"/>
                      <w:lang w:val="en-US" w:eastAsia="zh-CN"/>
                    </w:rPr>
                    <w:t>其它区域</w:t>
                  </w:r>
                </w:p>
              </w:tc>
              <w:tc>
                <w:tcPr>
                  <w:tcW w:w="4517" w:type="dxa"/>
                  <w:tcBorders>
                    <w:bottom w:val="single" w:color="auto" w:sz="12" w:space="0"/>
                    <w:right w:val="single" w:color="auto" w:sz="12" w:space="0"/>
                  </w:tcBorders>
                  <w:vAlign w:val="center"/>
                </w:tcPr>
                <w:p w14:paraId="2411A1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u w:val="none" w:color="auto"/>
                      <w:vertAlign w:val="baseline"/>
                    </w:rPr>
                  </w:pPr>
                  <w:r>
                    <w:rPr>
                      <w:rFonts w:hint="default" w:ascii="Times New Roman" w:hAnsi="Times New Roman" w:eastAsia="宋体" w:cs="Times New Roman"/>
                      <w:color w:val="auto"/>
                      <w:sz w:val="21"/>
                      <w:szCs w:val="21"/>
                      <w:highlight w:val="none"/>
                      <w:u w:val="none" w:color="auto"/>
                      <w:lang w:val="en-US" w:eastAsia="zh-CN" w:bidi="ar-SA"/>
                    </w:rPr>
                    <w:t>地面进行水泥硬化</w:t>
                  </w:r>
                </w:p>
              </w:tc>
            </w:tr>
          </w:tbl>
          <w:p w14:paraId="2C431672">
            <w:pPr>
              <w:pStyle w:val="282"/>
              <w:spacing w:line="360" w:lineRule="auto"/>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综上所述，项目营运期对地下水及土壤环境影响较小。</w:t>
            </w:r>
          </w:p>
          <w:p w14:paraId="2DB88F00">
            <w:pPr>
              <w:pStyle w:val="282"/>
              <w:spacing w:line="360" w:lineRule="auto"/>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w:t>
            </w:r>
            <w:r>
              <w:rPr>
                <w:rFonts w:hint="default" w:ascii="Times New Roman" w:hAnsi="Times New Roman" w:eastAsia="宋体" w:cs="Times New Roman"/>
                <w:color w:val="auto"/>
                <w:highlight w:val="none"/>
                <w:u w:val="none" w:color="auto"/>
                <w:lang w:val="en-US" w:eastAsia="zh-CN"/>
              </w:rPr>
              <w:t>3</w:t>
            </w:r>
            <w:r>
              <w:rPr>
                <w:rFonts w:hint="default" w:ascii="Times New Roman" w:hAnsi="Times New Roman" w:eastAsia="宋体" w:cs="Times New Roman"/>
                <w:color w:val="auto"/>
                <w:highlight w:val="none"/>
                <w:u w:val="none" w:color="auto"/>
              </w:rPr>
              <w:t>）跟踪监测要求</w:t>
            </w:r>
          </w:p>
          <w:p w14:paraId="398B3799">
            <w:pPr>
              <w:pStyle w:val="282"/>
              <w:spacing w:line="360" w:lineRule="auto"/>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根据上述分析，本项目危险废物暂存量较小，在采取上述防渗措施后，废矿物油发生泄漏的可能性较小，发生泄漏后能得到有效收集及阻隔，废矿物油发生泄漏对地下水及土壤影响很小，故不制定跟踪监测计划。建设单位在运营过程中如发现非正常工况，造成土壤及地下水环境污染，应及时采取措施，进行跟踪监测。</w:t>
            </w:r>
          </w:p>
          <w:p w14:paraId="2283F9BB">
            <w:pPr>
              <w:adjustRightInd w:val="0"/>
              <w:snapToGrid w:val="0"/>
              <w:spacing w:line="360" w:lineRule="auto"/>
              <w:ind w:firstLine="482" w:firstLineChars="20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b/>
                <w:bCs/>
                <w:color w:val="auto"/>
                <w:highlight w:val="none"/>
                <w:u w:val="none" w:color="auto"/>
              </w:rPr>
              <w:t>六、环境风险分析</w:t>
            </w:r>
            <w:bookmarkStart w:id="14" w:name="_Toc1687"/>
            <w:bookmarkStart w:id="15" w:name="_Toc11240"/>
          </w:p>
          <w:p w14:paraId="36DB1642">
            <w:pPr>
              <w:pStyle w:val="282"/>
              <w:spacing w:line="360" w:lineRule="auto"/>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根据《建设项目环境影响报告表编制技术指南（污染影响类）（试行）》，需要明确有毒有害和易燃易爆等危险物质和风险源分布情况及可能影响途径，并提出相应环境风险防范措施。</w:t>
            </w:r>
          </w:p>
          <w:p w14:paraId="1271A17F">
            <w:pPr>
              <w:pStyle w:val="282"/>
              <w:spacing w:line="360" w:lineRule="auto"/>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（1）评价依据</w:t>
            </w:r>
          </w:p>
          <w:p w14:paraId="01758B85">
            <w:pPr>
              <w:pStyle w:val="282"/>
              <w:spacing w:line="360" w:lineRule="auto"/>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1）风险调查</w:t>
            </w:r>
          </w:p>
          <w:p w14:paraId="2156F207">
            <w:pPr>
              <w:pStyle w:val="282"/>
              <w:spacing w:line="360" w:lineRule="auto"/>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主要调查建设项目原辅材料、中间产品、产品及固体废物中风险物质的存在情况，并调查项目生产工艺的危险性。</w:t>
            </w:r>
          </w:p>
          <w:p w14:paraId="4424638D">
            <w:pPr>
              <w:pStyle w:val="282"/>
              <w:spacing w:line="360" w:lineRule="auto"/>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①风险物质调查</w:t>
            </w:r>
          </w:p>
          <w:p w14:paraId="77C10E3F">
            <w:pPr>
              <w:pStyle w:val="282"/>
              <w:spacing w:line="360" w:lineRule="auto"/>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lang w:val="en-US" w:eastAsia="zh-CN"/>
              </w:rPr>
              <w:t>本项目是食品加工项目，项目所使用的原辅材料、生产的产品及产生的固体废物均不属于《建设项目环境风险评价导则》(HJ169-2018)附录B 以及《企业突发环境事件风险分级方法》（HJ 941-2018）附录A中的所列举的环境风险物质。</w:t>
            </w:r>
          </w:p>
          <w:p w14:paraId="77E3B9DF">
            <w:pPr>
              <w:pStyle w:val="282"/>
              <w:spacing w:line="360" w:lineRule="auto"/>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②生产工艺危险性</w:t>
            </w:r>
          </w:p>
          <w:p w14:paraId="67F28496">
            <w:pPr>
              <w:pStyle w:val="282"/>
              <w:spacing w:line="360" w:lineRule="auto"/>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参照《建设项目环境风险评价技术导则》（HJ169-2018）附录C中表C.1行业及生产工艺（M）分析项目生产工艺危险性，项目不属于石化、化工、医药、轻工、有色冶炼、管道、港口、码头、石油天然气等行业，属于其他行业，评估依据为涉及危险物质的使用、贮存项目，本项目不涉及环境风险物质的使用及</w:t>
            </w:r>
            <w:r>
              <w:rPr>
                <w:rFonts w:hint="default" w:ascii="Times New Roman" w:hAnsi="Times New Roman" w:eastAsia="宋体" w:cs="Times New Roman"/>
                <w:color w:val="auto"/>
                <w:highlight w:val="none"/>
                <w:u w:val="none" w:color="auto"/>
                <w:lang w:val="en-US" w:eastAsia="zh-CN"/>
              </w:rPr>
              <w:t>贮存</w:t>
            </w:r>
            <w:r>
              <w:rPr>
                <w:rFonts w:hint="default" w:ascii="Times New Roman" w:hAnsi="Times New Roman" w:eastAsia="宋体" w:cs="Times New Roman"/>
                <w:color w:val="auto"/>
                <w:highlight w:val="none"/>
                <w:u w:val="none" w:color="auto"/>
              </w:rPr>
              <w:t>。</w:t>
            </w:r>
          </w:p>
          <w:p w14:paraId="39C70538">
            <w:pPr>
              <w:pStyle w:val="282"/>
              <w:spacing w:line="360" w:lineRule="auto"/>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2）风险潜势初判</w:t>
            </w:r>
          </w:p>
          <w:p w14:paraId="7AC9A0FC">
            <w:pPr>
              <w:pStyle w:val="282"/>
              <w:spacing w:line="360" w:lineRule="auto"/>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分析建设项目生产使用储存过程中涉及的有毒有害、易燃易爆物质，参照《建设项目环境风险评价技术导则》（HJ169-2018）附录 B 确定危险物质的临界量。定量分析危险物质数量与临界量的比值（Q）和所属行业及生产特点（M），按附录C对危险物质及工艺系统危险性（P）等级进行判断。</w:t>
            </w:r>
          </w:p>
          <w:p w14:paraId="1BA12056">
            <w:pPr>
              <w:pStyle w:val="282"/>
              <w:spacing w:line="360" w:lineRule="auto"/>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对照《建设项目环境风险评价技术导则》（HJ169-2018）附录 B 中列出的重大源，项目单元内储存多种物质按下式计算，按一下公式计算物质总量与临界量比值：</w:t>
            </w:r>
          </w:p>
          <w:p w14:paraId="3E58176F">
            <w:pPr>
              <w:pStyle w:val="282"/>
              <w:spacing w:line="360" w:lineRule="auto"/>
              <w:ind w:firstLine="480"/>
              <w:jc w:val="center"/>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position w:val="-30"/>
                <w:highlight w:val="none"/>
                <w:u w:val="none" w:color="auto"/>
                <w:lang w:val="en-US" w:eastAsia="zh-CN"/>
              </w:rPr>
              <w:object>
                <v:shape id="_x0000_i1026" o:spt="75" type="#_x0000_t75" style="height:34pt;width:112pt;" o:ole="t" filled="f" o:preferrelative="t" stroked="f" coordsize="21600,21600">
                  <v:path/>
                  <v:fill on="f" focussize="0,0"/>
                  <v:stroke on="f"/>
                  <v:imagedata r:id="rId27" o:title=""/>
                  <o:lock v:ext="edit" aspectratio="t"/>
                  <w10:wrap type="none"/>
                  <w10:anchorlock/>
                </v:shape>
                <o:OLEObject Type="Embed" ProgID="Equation.KSEE3" ShapeID="_x0000_i1026" DrawAspect="Content" ObjectID="_1468075726" r:id="rId26">
                  <o:LockedField>false</o:LockedField>
                </o:OLEObject>
              </w:object>
            </w:r>
          </w:p>
          <w:p w14:paraId="51607AD5">
            <w:pPr>
              <w:pStyle w:val="282"/>
              <w:spacing w:line="360" w:lineRule="auto"/>
              <w:ind w:firstLine="480"/>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式中：</w:t>
            </w:r>
          </w:p>
          <w:p w14:paraId="292A34E3">
            <w:pPr>
              <w:pStyle w:val="282"/>
              <w:spacing w:line="360" w:lineRule="auto"/>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q</w:t>
            </w:r>
            <w:r>
              <w:rPr>
                <w:rFonts w:hint="default" w:ascii="Times New Roman" w:hAnsi="Times New Roman" w:eastAsia="宋体" w:cs="Times New Roman"/>
                <w:color w:val="auto"/>
                <w:highlight w:val="none"/>
                <w:u w:val="none" w:color="auto"/>
                <w:vertAlign w:val="subscript"/>
              </w:rPr>
              <w:t>1</w:t>
            </w:r>
            <w:r>
              <w:rPr>
                <w:rFonts w:hint="default" w:ascii="Times New Roman" w:hAnsi="Times New Roman" w:eastAsia="宋体" w:cs="Times New Roman"/>
                <w:color w:val="auto"/>
                <w:highlight w:val="none"/>
                <w:u w:val="none" w:color="auto"/>
              </w:rPr>
              <w:t>、q</w:t>
            </w:r>
            <w:r>
              <w:rPr>
                <w:rFonts w:hint="default" w:ascii="Times New Roman" w:hAnsi="Times New Roman" w:eastAsia="宋体" w:cs="Times New Roman"/>
                <w:color w:val="auto"/>
                <w:highlight w:val="none"/>
                <w:u w:val="none" w:color="auto"/>
                <w:vertAlign w:val="subscript"/>
              </w:rPr>
              <w:t>2</w:t>
            </w:r>
            <w:r>
              <w:rPr>
                <w:rFonts w:hint="default" w:ascii="Times New Roman" w:hAnsi="Times New Roman" w:eastAsia="宋体" w:cs="Times New Roman"/>
                <w:color w:val="auto"/>
                <w:highlight w:val="none"/>
                <w:u w:val="none" w:color="auto"/>
              </w:rPr>
              <w:t>、q</w:t>
            </w:r>
            <w:r>
              <w:rPr>
                <w:rFonts w:hint="default" w:ascii="Times New Roman" w:hAnsi="Times New Roman" w:eastAsia="宋体" w:cs="Times New Roman"/>
                <w:color w:val="auto"/>
                <w:highlight w:val="none"/>
                <w:u w:val="none" w:color="auto"/>
                <w:vertAlign w:val="subscript"/>
              </w:rPr>
              <w:t>n</w:t>
            </w:r>
            <w:r>
              <w:rPr>
                <w:rFonts w:hint="default" w:ascii="Times New Roman" w:hAnsi="Times New Roman" w:eastAsia="宋体" w:cs="Times New Roman"/>
                <w:color w:val="auto"/>
                <w:highlight w:val="none"/>
                <w:u w:val="none" w:color="auto"/>
              </w:rPr>
              <w:t>--每种危险物质实际存在量，t。</w:t>
            </w:r>
          </w:p>
          <w:p w14:paraId="2392844C">
            <w:pPr>
              <w:pStyle w:val="282"/>
              <w:spacing w:line="360" w:lineRule="auto"/>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Q</w:t>
            </w:r>
            <w:r>
              <w:rPr>
                <w:rFonts w:hint="default" w:ascii="Times New Roman" w:hAnsi="Times New Roman" w:eastAsia="宋体" w:cs="Times New Roman"/>
                <w:color w:val="auto"/>
                <w:highlight w:val="none"/>
                <w:u w:val="none" w:color="auto"/>
                <w:vertAlign w:val="subscript"/>
              </w:rPr>
              <w:t>1</w:t>
            </w:r>
            <w:r>
              <w:rPr>
                <w:rFonts w:hint="default" w:ascii="Times New Roman" w:hAnsi="Times New Roman" w:eastAsia="宋体" w:cs="Times New Roman"/>
                <w:color w:val="auto"/>
                <w:highlight w:val="none"/>
                <w:u w:val="none" w:color="auto"/>
              </w:rPr>
              <w:t>、Q</w:t>
            </w:r>
            <w:r>
              <w:rPr>
                <w:rFonts w:hint="default" w:ascii="Times New Roman" w:hAnsi="Times New Roman" w:eastAsia="宋体" w:cs="Times New Roman"/>
                <w:color w:val="auto"/>
                <w:highlight w:val="none"/>
                <w:u w:val="none" w:color="auto"/>
                <w:vertAlign w:val="subscript"/>
              </w:rPr>
              <w:t>2</w:t>
            </w:r>
            <w:r>
              <w:rPr>
                <w:rFonts w:hint="default" w:ascii="Times New Roman" w:hAnsi="Times New Roman" w:eastAsia="宋体" w:cs="Times New Roman"/>
                <w:color w:val="auto"/>
                <w:highlight w:val="none"/>
                <w:u w:val="none" w:color="auto"/>
              </w:rPr>
              <w:t>、Q</w:t>
            </w:r>
            <w:r>
              <w:rPr>
                <w:rFonts w:hint="default" w:ascii="Times New Roman" w:hAnsi="Times New Roman" w:eastAsia="宋体" w:cs="Times New Roman"/>
                <w:color w:val="auto"/>
                <w:highlight w:val="none"/>
                <w:u w:val="none" w:color="auto"/>
                <w:vertAlign w:val="subscript"/>
              </w:rPr>
              <w:t>n</w:t>
            </w:r>
            <w:r>
              <w:rPr>
                <w:rFonts w:hint="default" w:ascii="Times New Roman" w:hAnsi="Times New Roman" w:eastAsia="宋体" w:cs="Times New Roman"/>
                <w:color w:val="auto"/>
                <w:highlight w:val="none"/>
                <w:u w:val="none" w:color="auto"/>
              </w:rPr>
              <w:t>--与各危险物质相对应的生产场所或贮存区的临界量，t。</w:t>
            </w:r>
          </w:p>
          <w:p w14:paraId="247CCCEB">
            <w:pPr>
              <w:pStyle w:val="282"/>
              <w:spacing w:line="360" w:lineRule="auto"/>
              <w:ind w:firstLine="480"/>
              <w:rPr>
                <w:rFonts w:hint="default" w:ascii="Times New Roman" w:hAnsi="Times New Roman" w:eastAsia="宋体" w:cs="Times New Roman"/>
                <w:color w:val="auto"/>
                <w:highlight w:val="none"/>
                <w:u w:val="none" w:color="auto"/>
                <w:lang w:val="en-US" w:eastAsia="zh-CN"/>
              </w:rPr>
            </w:pPr>
            <w:r>
              <w:rPr>
                <w:rFonts w:hint="eastAsia" w:cs="Times New Roman"/>
                <w:color w:val="auto"/>
                <w:highlight w:val="none"/>
                <w:u w:val="none" w:color="auto"/>
                <w:lang w:val="en-US" w:eastAsia="zh-CN"/>
              </w:rPr>
              <w:t>本项目Q值计算见下表。</w:t>
            </w:r>
          </w:p>
          <w:p w14:paraId="3224E6EE">
            <w:pPr>
              <w:keepNext w:val="0"/>
              <w:keepLines w:val="0"/>
              <w:pageBreakBefore w:val="0"/>
              <w:widowControl w:val="0"/>
              <w:suppressLineNumbers w:val="0"/>
              <w:kinsoku/>
              <w:wordWrap/>
              <w:overflowPunct/>
              <w:topLinePunct w:val="0"/>
              <w:autoSpaceDE/>
              <w:autoSpaceDN/>
              <w:bidi w:val="0"/>
              <w:adjustRightInd w:val="0"/>
              <w:snapToGrid w:val="0"/>
              <w:spacing w:before="0" w:beforeLines="0" w:beforeAutospacing="0" w:after="0" w:afterLines="0" w:afterAutospacing="0" w:line="240" w:lineRule="auto"/>
              <w:ind w:left="0" w:right="0" w:firstLine="0" w:firstLineChars="0"/>
              <w:jc w:val="center"/>
              <w:textAlignment w:val="auto"/>
              <w:rPr>
                <w:rFonts w:hint="default" w:ascii="Times New Roman" w:hAnsi="Times New Roman" w:eastAsia="宋体" w:cs="Times New Roman"/>
                <w:b/>
                <w:color w:val="auto"/>
                <w:sz w:val="24"/>
                <w:szCs w:val="24"/>
              </w:rPr>
            </w:pPr>
            <w:r>
              <w:rPr>
                <w:rFonts w:hint="default" w:ascii="Times New Roman" w:hAnsi="Times New Roman" w:eastAsia="宋体" w:cs="Times New Roman"/>
                <w:b/>
                <w:color w:val="auto"/>
                <w:sz w:val="21"/>
                <w:szCs w:val="21"/>
              </w:rPr>
              <w:t>表4-2</w:t>
            </w:r>
            <w:r>
              <w:rPr>
                <w:rFonts w:hint="eastAsia" w:ascii="Times New Roman" w:hAnsi="Times New Roman" w:eastAsia="宋体" w:cs="Times New Roman"/>
                <w:b/>
                <w:color w:val="auto"/>
                <w:sz w:val="21"/>
                <w:szCs w:val="21"/>
                <w:lang w:val="en-US" w:eastAsia="zh-CN"/>
              </w:rPr>
              <w:t xml:space="preserve">4 </w:t>
            </w:r>
            <w:r>
              <w:rPr>
                <w:rFonts w:hint="default" w:ascii="Times New Roman" w:hAnsi="Times New Roman" w:eastAsia="宋体" w:cs="Times New Roman"/>
                <w:b/>
                <w:color w:val="auto"/>
                <w:sz w:val="21"/>
                <w:szCs w:val="21"/>
              </w:rPr>
              <w:t>建设项目Q值确定表</w:t>
            </w:r>
          </w:p>
          <w:tbl>
            <w:tblPr>
              <w:tblStyle w:val="42"/>
              <w:tblW w:w="4997"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014"/>
              <w:gridCol w:w="1899"/>
              <w:gridCol w:w="2199"/>
              <w:gridCol w:w="1072"/>
              <w:gridCol w:w="1788"/>
            </w:tblGrid>
            <w:tr w14:paraId="2F0FFA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35" w:type="pct"/>
                  <w:tcBorders>
                    <w:tl2br w:val="nil"/>
                    <w:tr2bl w:val="nil"/>
                  </w:tcBorders>
                  <w:noWrap w:val="0"/>
                  <w:vAlign w:val="center"/>
                </w:tcPr>
                <w:p w14:paraId="51E38383">
                  <w:pPr>
                    <w:keepNext w:val="0"/>
                    <w:keepLines w:val="0"/>
                    <w:pageBreakBefore w:val="0"/>
                    <w:widowControl w:val="0"/>
                    <w:suppressLineNumbers w:val="0"/>
                    <w:kinsoku/>
                    <w:wordWrap/>
                    <w:overflowPunct/>
                    <w:topLinePunct w:val="0"/>
                    <w:autoSpaceDE w:val="0"/>
                    <w:autoSpaceDN w:val="0"/>
                    <w:bidi w:val="0"/>
                    <w:adjustRightInd w:val="0"/>
                    <w:spacing w:before="0" w:beforeLines="0" w:beforeAutospacing="0" w:after="0" w:afterLines="0" w:afterAutospacing="0" w:line="240" w:lineRule="auto"/>
                    <w:ind w:left="0" w:right="0" w:firstLine="0" w:firstLineChars="0"/>
                    <w:jc w:val="center"/>
                    <w:rPr>
                      <w:rFonts w:hint="default" w:ascii="Times New Roman" w:hAnsi="Times New Roman" w:eastAsia="楷体_GB2312"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序号</w:t>
                  </w:r>
                </w:p>
              </w:tc>
              <w:tc>
                <w:tcPr>
                  <w:tcW w:w="1191" w:type="pct"/>
                  <w:tcBorders>
                    <w:tl2br w:val="nil"/>
                    <w:tr2bl w:val="nil"/>
                  </w:tcBorders>
                  <w:noWrap w:val="0"/>
                  <w:vAlign w:val="center"/>
                </w:tcPr>
                <w:p w14:paraId="69302C06">
                  <w:pPr>
                    <w:keepNext w:val="0"/>
                    <w:keepLines w:val="0"/>
                    <w:pageBreakBefore w:val="0"/>
                    <w:widowControl w:val="0"/>
                    <w:suppressLineNumbers w:val="0"/>
                    <w:kinsoku/>
                    <w:wordWrap/>
                    <w:overflowPunct/>
                    <w:topLinePunct w:val="0"/>
                    <w:autoSpaceDE w:val="0"/>
                    <w:autoSpaceDN w:val="0"/>
                    <w:bidi w:val="0"/>
                    <w:adjustRightInd w:val="0"/>
                    <w:spacing w:before="0" w:beforeLines="0" w:beforeAutospacing="0" w:after="0" w:afterLines="0" w:afterAutospacing="0" w:line="240" w:lineRule="auto"/>
                    <w:ind w:left="0" w:right="0" w:firstLine="0" w:firstLineChars="0"/>
                    <w:jc w:val="center"/>
                    <w:rPr>
                      <w:rFonts w:hint="default" w:ascii="Times New Roman" w:hAnsi="Times New Roman" w:eastAsia="楷体_GB2312"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物质名称</w:t>
                  </w:r>
                </w:p>
              </w:tc>
              <w:tc>
                <w:tcPr>
                  <w:tcW w:w="1379" w:type="pct"/>
                  <w:tcBorders>
                    <w:tl2br w:val="nil"/>
                    <w:tr2bl w:val="nil"/>
                  </w:tcBorders>
                  <w:noWrap w:val="0"/>
                  <w:vAlign w:val="center"/>
                </w:tcPr>
                <w:p w14:paraId="6F4807D5">
                  <w:pPr>
                    <w:keepNext w:val="0"/>
                    <w:keepLines w:val="0"/>
                    <w:pageBreakBefore w:val="0"/>
                    <w:widowControl w:val="0"/>
                    <w:suppressLineNumbers w:val="0"/>
                    <w:kinsoku/>
                    <w:wordWrap/>
                    <w:overflowPunct/>
                    <w:topLinePunct w:val="0"/>
                    <w:autoSpaceDE w:val="0"/>
                    <w:autoSpaceDN w:val="0"/>
                    <w:bidi w:val="0"/>
                    <w:adjustRightInd w:val="0"/>
                    <w:spacing w:before="0" w:beforeLines="0" w:beforeAutospacing="0" w:after="0" w:afterLines="0" w:afterAutospacing="0" w:line="240" w:lineRule="auto"/>
                    <w:ind w:left="0" w:right="0" w:firstLine="0" w:firstLineChars="0"/>
                    <w:jc w:val="center"/>
                    <w:rPr>
                      <w:rFonts w:hint="default" w:ascii="Times New Roman" w:hAnsi="Times New Roman" w:eastAsia="楷体_GB2312"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最大储存量 t</w:t>
                  </w:r>
                </w:p>
              </w:tc>
              <w:tc>
                <w:tcPr>
                  <w:tcW w:w="672" w:type="pct"/>
                  <w:tcBorders>
                    <w:tl2br w:val="nil"/>
                    <w:tr2bl w:val="nil"/>
                  </w:tcBorders>
                  <w:noWrap w:val="0"/>
                  <w:vAlign w:val="center"/>
                </w:tcPr>
                <w:p w14:paraId="3E1E9512">
                  <w:pPr>
                    <w:keepNext w:val="0"/>
                    <w:keepLines w:val="0"/>
                    <w:pageBreakBefore w:val="0"/>
                    <w:widowControl w:val="0"/>
                    <w:suppressLineNumbers w:val="0"/>
                    <w:kinsoku/>
                    <w:wordWrap/>
                    <w:overflowPunct/>
                    <w:topLinePunct w:val="0"/>
                    <w:autoSpaceDE w:val="0"/>
                    <w:autoSpaceDN w:val="0"/>
                    <w:bidi w:val="0"/>
                    <w:adjustRightInd w:val="0"/>
                    <w:spacing w:before="0" w:beforeLines="0" w:beforeAutospacing="0" w:after="0" w:afterLines="0" w:afterAutospacing="0" w:line="240" w:lineRule="auto"/>
                    <w:ind w:left="0" w:right="0" w:firstLine="0" w:firstLineChars="0"/>
                    <w:jc w:val="center"/>
                    <w:rPr>
                      <w:rFonts w:hint="default" w:ascii="Times New Roman" w:hAnsi="Times New Roman" w:eastAsia="楷体_GB2312"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临界量 t</w:t>
                  </w:r>
                </w:p>
              </w:tc>
              <w:tc>
                <w:tcPr>
                  <w:tcW w:w="1121" w:type="pct"/>
                  <w:tcBorders>
                    <w:tl2br w:val="nil"/>
                    <w:tr2bl w:val="nil"/>
                  </w:tcBorders>
                  <w:noWrap w:val="0"/>
                  <w:vAlign w:val="center"/>
                </w:tcPr>
                <w:p w14:paraId="5282F669">
                  <w:pPr>
                    <w:keepNext w:val="0"/>
                    <w:keepLines w:val="0"/>
                    <w:pageBreakBefore w:val="0"/>
                    <w:widowControl w:val="0"/>
                    <w:suppressLineNumbers w:val="0"/>
                    <w:kinsoku/>
                    <w:wordWrap/>
                    <w:overflowPunct/>
                    <w:topLinePunct w:val="0"/>
                    <w:autoSpaceDE w:val="0"/>
                    <w:autoSpaceDN w:val="0"/>
                    <w:bidi w:val="0"/>
                    <w:adjustRightInd w:val="0"/>
                    <w:spacing w:before="0" w:beforeLines="0" w:beforeAutospacing="0" w:after="0" w:afterLines="0" w:afterAutospacing="0" w:line="240" w:lineRule="auto"/>
                    <w:ind w:left="0" w:right="0" w:firstLine="0" w:firstLineChars="0"/>
                    <w:jc w:val="center"/>
                    <w:rPr>
                      <w:rFonts w:hint="default" w:ascii="Times New Roman" w:hAnsi="Times New Roman" w:eastAsia="楷体_GB2312"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储量/临界量</w:t>
                  </w:r>
                </w:p>
              </w:tc>
            </w:tr>
            <w:tr w14:paraId="5044C8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635" w:type="pct"/>
                  <w:tcBorders>
                    <w:tl2br w:val="nil"/>
                    <w:tr2bl w:val="nil"/>
                  </w:tcBorders>
                  <w:noWrap w:val="0"/>
                  <w:vAlign w:val="center"/>
                </w:tcPr>
                <w:p w14:paraId="50B86BFB">
                  <w:pPr>
                    <w:keepNext w:val="0"/>
                    <w:keepLines w:val="0"/>
                    <w:pageBreakBefore w:val="0"/>
                    <w:widowControl w:val="0"/>
                    <w:suppressLineNumbers w:val="0"/>
                    <w:kinsoku/>
                    <w:wordWrap/>
                    <w:overflowPunct/>
                    <w:topLinePunct w:val="0"/>
                    <w:bidi w:val="0"/>
                    <w:snapToGrid w:val="0"/>
                    <w:spacing w:before="0" w:beforeLines="0" w:beforeAutospacing="0" w:after="0" w:afterLines="0" w:afterAutospacing="0" w:line="240" w:lineRule="auto"/>
                    <w:ind w:left="0" w:right="0" w:firstLine="0" w:firstLineChars="0"/>
                    <w:jc w:val="center"/>
                    <w:textAlignment w:val="center"/>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1</w:t>
                  </w:r>
                </w:p>
              </w:tc>
              <w:tc>
                <w:tcPr>
                  <w:tcW w:w="1191" w:type="pct"/>
                  <w:tcBorders>
                    <w:tl2br w:val="nil"/>
                    <w:tr2bl w:val="nil"/>
                  </w:tcBorders>
                  <w:noWrap w:val="0"/>
                  <w:vAlign w:val="center"/>
                </w:tcPr>
                <w:p w14:paraId="5E306E7B">
                  <w:pPr>
                    <w:keepNext w:val="0"/>
                    <w:keepLines w:val="0"/>
                    <w:pageBreakBefore w:val="0"/>
                    <w:widowControl w:val="0"/>
                    <w:suppressLineNumbers w:val="0"/>
                    <w:kinsoku/>
                    <w:wordWrap/>
                    <w:overflowPunct/>
                    <w:topLinePunct w:val="0"/>
                    <w:bidi w:val="0"/>
                    <w:snapToGrid w:val="0"/>
                    <w:spacing w:before="0" w:beforeLines="0" w:beforeAutospacing="0" w:after="0" w:afterLines="0" w:afterAutospacing="0" w:line="240" w:lineRule="auto"/>
                    <w:ind w:left="0" w:right="0" w:firstLine="0" w:firstLineChars="0"/>
                    <w:jc w:val="center"/>
                    <w:textAlignment w:val="center"/>
                    <w:rPr>
                      <w:rFonts w:hint="default" w:ascii="Times New Roman" w:hAnsi="Times New Roman" w:eastAsia="宋体" w:cs="Times New Roman"/>
                      <w:b w:val="0"/>
                      <w:color w:val="auto"/>
                      <w:kern w:val="2"/>
                      <w:sz w:val="21"/>
                      <w:szCs w:val="21"/>
                      <w:lang w:val="zh-CN" w:eastAsia="zh-CN" w:bidi="ar-SA"/>
                    </w:rPr>
                  </w:pPr>
                  <w:r>
                    <w:rPr>
                      <w:rFonts w:hint="eastAsia" w:ascii="Times New Roman" w:hAnsi="Times New Roman" w:eastAsia="宋体" w:cs="Times New Roman"/>
                      <w:b w:val="0"/>
                      <w:color w:val="auto"/>
                      <w:kern w:val="2"/>
                      <w:sz w:val="21"/>
                      <w:szCs w:val="21"/>
                      <w:lang w:val="en-US" w:eastAsia="zh-CN" w:bidi="ar-SA"/>
                    </w:rPr>
                    <w:t>废矿物油</w:t>
                  </w:r>
                </w:p>
              </w:tc>
              <w:tc>
                <w:tcPr>
                  <w:tcW w:w="1379" w:type="pct"/>
                  <w:tcBorders>
                    <w:tl2br w:val="nil"/>
                    <w:tr2bl w:val="nil"/>
                  </w:tcBorders>
                  <w:noWrap w:val="0"/>
                  <w:vAlign w:val="center"/>
                </w:tcPr>
                <w:p w14:paraId="0C130BB8">
                  <w:pPr>
                    <w:keepNext w:val="0"/>
                    <w:keepLines w:val="0"/>
                    <w:pageBreakBefore w:val="0"/>
                    <w:widowControl w:val="0"/>
                    <w:suppressLineNumbers w:val="0"/>
                    <w:kinsoku/>
                    <w:wordWrap/>
                    <w:overflowPunct/>
                    <w:topLinePunct w:val="0"/>
                    <w:bidi w:val="0"/>
                    <w:snapToGrid w:val="0"/>
                    <w:spacing w:before="0" w:beforeLines="0" w:beforeAutospacing="0" w:after="0" w:afterLines="0" w:afterAutospacing="0" w:line="240" w:lineRule="auto"/>
                    <w:ind w:left="0" w:right="0" w:firstLine="0" w:firstLineChars="0"/>
                    <w:jc w:val="center"/>
                    <w:textAlignment w:val="center"/>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0.05</w:t>
                  </w:r>
                </w:p>
              </w:tc>
              <w:tc>
                <w:tcPr>
                  <w:tcW w:w="672" w:type="pct"/>
                  <w:tcBorders>
                    <w:tl2br w:val="nil"/>
                    <w:tr2bl w:val="nil"/>
                  </w:tcBorders>
                  <w:noWrap w:val="0"/>
                  <w:vAlign w:val="center"/>
                </w:tcPr>
                <w:p w14:paraId="658F70DC">
                  <w:pPr>
                    <w:keepNext w:val="0"/>
                    <w:keepLines w:val="0"/>
                    <w:pageBreakBefore w:val="0"/>
                    <w:widowControl w:val="0"/>
                    <w:suppressLineNumbers w:val="0"/>
                    <w:kinsoku/>
                    <w:wordWrap/>
                    <w:overflowPunct/>
                    <w:topLinePunct w:val="0"/>
                    <w:bidi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w:t>
                  </w:r>
                </w:p>
              </w:tc>
              <w:tc>
                <w:tcPr>
                  <w:tcW w:w="1121" w:type="pct"/>
                  <w:tcBorders>
                    <w:tl2br w:val="nil"/>
                    <w:tr2bl w:val="nil"/>
                  </w:tcBorders>
                  <w:noWrap w:val="0"/>
                  <w:vAlign w:val="center"/>
                </w:tcPr>
                <w:p w14:paraId="72D245D2">
                  <w:pPr>
                    <w:keepNext w:val="0"/>
                    <w:keepLines w:val="0"/>
                    <w:pageBreakBefore w:val="0"/>
                    <w:widowControl w:val="0"/>
                    <w:suppressLineNumbers w:val="0"/>
                    <w:kinsoku/>
                    <w:wordWrap/>
                    <w:overflowPunct/>
                    <w:topLinePunct w:val="0"/>
                    <w:bidi w:val="0"/>
                    <w:snapToGrid w:val="0"/>
                    <w:spacing w:before="0" w:beforeLines="0" w:beforeAutospacing="0" w:after="0" w:afterLines="0" w:afterAutospacing="0" w:line="240" w:lineRule="auto"/>
                    <w:ind w:left="0" w:right="0" w:firstLine="0" w:firstLineChars="0"/>
                    <w:jc w:val="center"/>
                    <w:textAlignment w:val="center"/>
                    <w:rPr>
                      <w:rFonts w:hint="default" w:ascii="Times New Roman" w:hAnsi="Times New Roman" w:eastAsia="宋体" w:cs="Times New Roman"/>
                      <w:b w:val="0"/>
                      <w:color w:val="auto"/>
                      <w:kern w:val="2"/>
                      <w:sz w:val="21"/>
                      <w:szCs w:val="21"/>
                      <w:u w:val="none"/>
                      <w:lang w:val="en-US" w:eastAsia="zh-CN" w:bidi="ar-SA"/>
                    </w:rPr>
                  </w:pPr>
                  <w:r>
                    <w:rPr>
                      <w:rFonts w:hint="eastAsia" w:ascii="Times New Roman" w:hAnsi="Times New Roman" w:eastAsia="宋体" w:cs="Times New Roman"/>
                      <w:b w:val="0"/>
                      <w:color w:val="auto"/>
                      <w:kern w:val="2"/>
                      <w:sz w:val="21"/>
                      <w:szCs w:val="21"/>
                      <w:u w:val="none"/>
                      <w:lang w:val="en-US" w:eastAsia="zh-CN" w:bidi="ar-SA"/>
                    </w:rPr>
                    <w:t>0.001</w:t>
                  </w:r>
                </w:p>
              </w:tc>
            </w:tr>
            <w:tr w14:paraId="6608C1E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635" w:type="pct"/>
                  <w:tcBorders>
                    <w:tl2br w:val="nil"/>
                    <w:tr2bl w:val="nil"/>
                  </w:tcBorders>
                  <w:noWrap w:val="0"/>
                  <w:vAlign w:val="center"/>
                </w:tcPr>
                <w:p w14:paraId="7A83B8CC">
                  <w:pPr>
                    <w:keepNext w:val="0"/>
                    <w:keepLines w:val="0"/>
                    <w:pageBreakBefore w:val="0"/>
                    <w:widowControl w:val="0"/>
                    <w:suppressLineNumbers w:val="0"/>
                    <w:kinsoku/>
                    <w:wordWrap/>
                    <w:overflowPunct/>
                    <w:topLinePunct w:val="0"/>
                    <w:bidi w:val="0"/>
                    <w:snapToGrid w:val="0"/>
                    <w:spacing w:before="0" w:beforeLines="0" w:beforeAutospacing="0" w:after="0" w:afterLines="0" w:afterAutospacing="0" w:line="240" w:lineRule="auto"/>
                    <w:ind w:left="0" w:right="0" w:firstLine="0" w:firstLineChars="0"/>
                    <w:jc w:val="center"/>
                    <w:textAlignment w:val="center"/>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2</w:t>
                  </w:r>
                </w:p>
              </w:tc>
              <w:tc>
                <w:tcPr>
                  <w:tcW w:w="1191" w:type="pct"/>
                  <w:tcBorders>
                    <w:tl2br w:val="nil"/>
                    <w:tr2bl w:val="nil"/>
                  </w:tcBorders>
                  <w:noWrap w:val="0"/>
                  <w:vAlign w:val="center"/>
                </w:tcPr>
                <w:p w14:paraId="180834C4">
                  <w:pPr>
                    <w:keepNext w:val="0"/>
                    <w:keepLines w:val="0"/>
                    <w:pageBreakBefore w:val="0"/>
                    <w:widowControl w:val="0"/>
                    <w:suppressLineNumbers w:val="0"/>
                    <w:kinsoku/>
                    <w:wordWrap/>
                    <w:overflowPunct/>
                    <w:topLinePunct w:val="0"/>
                    <w:bidi w:val="0"/>
                    <w:snapToGrid w:val="0"/>
                    <w:spacing w:before="0" w:beforeLines="0" w:beforeAutospacing="0" w:after="0" w:afterLines="0" w:afterAutospacing="0" w:line="240" w:lineRule="auto"/>
                    <w:ind w:left="0" w:right="0" w:firstLine="0" w:firstLineChars="0"/>
                    <w:jc w:val="center"/>
                    <w:textAlignment w:val="center"/>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R507A</w:t>
                  </w:r>
                </w:p>
              </w:tc>
              <w:tc>
                <w:tcPr>
                  <w:tcW w:w="1379" w:type="pct"/>
                  <w:tcBorders>
                    <w:tl2br w:val="nil"/>
                    <w:tr2bl w:val="nil"/>
                  </w:tcBorders>
                  <w:noWrap w:val="0"/>
                  <w:vAlign w:val="center"/>
                </w:tcPr>
                <w:p w14:paraId="496E9CA4">
                  <w:pPr>
                    <w:keepNext w:val="0"/>
                    <w:keepLines w:val="0"/>
                    <w:pageBreakBefore w:val="0"/>
                    <w:widowControl w:val="0"/>
                    <w:suppressLineNumbers w:val="0"/>
                    <w:kinsoku/>
                    <w:wordWrap/>
                    <w:overflowPunct/>
                    <w:topLinePunct w:val="0"/>
                    <w:bidi w:val="0"/>
                    <w:snapToGrid w:val="0"/>
                    <w:spacing w:before="0" w:beforeLines="0" w:beforeAutospacing="0" w:after="0" w:afterLines="0" w:afterAutospacing="0" w:line="240" w:lineRule="auto"/>
                    <w:ind w:left="0" w:right="0" w:firstLine="0" w:firstLineChars="0"/>
                    <w:jc w:val="center"/>
                    <w:textAlignment w:val="center"/>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0.02（在线量）</w:t>
                  </w:r>
                </w:p>
              </w:tc>
              <w:tc>
                <w:tcPr>
                  <w:tcW w:w="672" w:type="pct"/>
                  <w:tcBorders>
                    <w:tl2br w:val="nil"/>
                    <w:tr2bl w:val="nil"/>
                  </w:tcBorders>
                  <w:noWrap w:val="0"/>
                  <w:vAlign w:val="center"/>
                </w:tcPr>
                <w:p w14:paraId="0A66B955">
                  <w:pPr>
                    <w:keepNext w:val="0"/>
                    <w:keepLines w:val="0"/>
                    <w:pageBreakBefore w:val="0"/>
                    <w:widowControl w:val="0"/>
                    <w:suppressLineNumbers w:val="0"/>
                    <w:kinsoku/>
                    <w:wordWrap/>
                    <w:overflowPunct/>
                    <w:topLinePunct w:val="0"/>
                    <w:bidi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w:t>
                  </w:r>
                </w:p>
              </w:tc>
              <w:tc>
                <w:tcPr>
                  <w:tcW w:w="1121" w:type="pct"/>
                  <w:tcBorders>
                    <w:tl2br w:val="nil"/>
                    <w:tr2bl w:val="nil"/>
                  </w:tcBorders>
                  <w:noWrap w:val="0"/>
                  <w:vAlign w:val="center"/>
                </w:tcPr>
                <w:p w14:paraId="417D1561">
                  <w:pPr>
                    <w:keepNext w:val="0"/>
                    <w:keepLines w:val="0"/>
                    <w:pageBreakBefore w:val="0"/>
                    <w:widowControl w:val="0"/>
                    <w:suppressLineNumbers w:val="0"/>
                    <w:kinsoku/>
                    <w:wordWrap/>
                    <w:overflowPunct/>
                    <w:topLinePunct w:val="0"/>
                    <w:bidi w:val="0"/>
                    <w:snapToGrid w:val="0"/>
                    <w:spacing w:before="0" w:beforeLines="0" w:beforeAutospacing="0" w:after="0" w:afterLines="0" w:afterAutospacing="0" w:line="240" w:lineRule="auto"/>
                    <w:ind w:left="0" w:right="0" w:firstLine="0" w:firstLineChars="0"/>
                    <w:jc w:val="center"/>
                    <w:textAlignment w:val="center"/>
                    <w:rPr>
                      <w:rFonts w:hint="default" w:ascii="Times New Roman" w:hAnsi="Times New Roman" w:eastAsia="宋体" w:cs="Times New Roman"/>
                      <w:b w:val="0"/>
                      <w:color w:val="auto"/>
                      <w:kern w:val="2"/>
                      <w:sz w:val="21"/>
                      <w:szCs w:val="21"/>
                      <w:u w:val="none"/>
                      <w:lang w:val="en-US" w:eastAsia="zh-CN" w:bidi="ar-SA"/>
                    </w:rPr>
                  </w:pPr>
                  <w:r>
                    <w:rPr>
                      <w:rFonts w:hint="eastAsia" w:ascii="Times New Roman" w:hAnsi="Times New Roman" w:eastAsia="宋体" w:cs="Times New Roman"/>
                      <w:b w:val="0"/>
                      <w:color w:val="auto"/>
                      <w:kern w:val="2"/>
                      <w:sz w:val="21"/>
                      <w:szCs w:val="21"/>
                      <w:u w:val="none"/>
                      <w:lang w:val="en-US" w:eastAsia="zh-CN" w:bidi="ar-SA"/>
                    </w:rPr>
                    <w:t>0.0004</w:t>
                  </w:r>
                </w:p>
              </w:tc>
            </w:tr>
            <w:tr w14:paraId="48806BA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635" w:type="pct"/>
                  <w:tcBorders>
                    <w:tl2br w:val="nil"/>
                    <w:tr2bl w:val="nil"/>
                  </w:tcBorders>
                  <w:noWrap w:val="0"/>
                  <w:vAlign w:val="center"/>
                </w:tcPr>
                <w:p w14:paraId="076756E7">
                  <w:pPr>
                    <w:keepNext w:val="0"/>
                    <w:keepLines w:val="0"/>
                    <w:pageBreakBefore w:val="0"/>
                    <w:widowControl w:val="0"/>
                    <w:suppressLineNumbers w:val="0"/>
                    <w:kinsoku/>
                    <w:wordWrap/>
                    <w:overflowPunct/>
                    <w:topLinePunct w:val="0"/>
                    <w:bidi w:val="0"/>
                    <w:snapToGrid w:val="0"/>
                    <w:spacing w:before="0" w:beforeLines="0" w:beforeAutospacing="0" w:after="0" w:afterLines="0" w:afterAutospacing="0" w:line="240" w:lineRule="auto"/>
                    <w:ind w:left="0" w:right="0" w:firstLine="0" w:firstLineChars="0"/>
                    <w:jc w:val="center"/>
                    <w:textAlignment w:val="center"/>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3</w:t>
                  </w:r>
                </w:p>
              </w:tc>
              <w:tc>
                <w:tcPr>
                  <w:tcW w:w="1191" w:type="pct"/>
                  <w:tcBorders>
                    <w:tl2br w:val="nil"/>
                    <w:tr2bl w:val="nil"/>
                  </w:tcBorders>
                  <w:noWrap w:val="0"/>
                  <w:vAlign w:val="center"/>
                </w:tcPr>
                <w:p w14:paraId="5F4E1C3F">
                  <w:pPr>
                    <w:keepNext w:val="0"/>
                    <w:keepLines w:val="0"/>
                    <w:pageBreakBefore w:val="0"/>
                    <w:widowControl w:val="0"/>
                    <w:suppressLineNumbers w:val="0"/>
                    <w:kinsoku/>
                    <w:wordWrap/>
                    <w:overflowPunct/>
                    <w:topLinePunct w:val="0"/>
                    <w:bidi w:val="0"/>
                    <w:snapToGrid w:val="0"/>
                    <w:spacing w:before="0" w:beforeLines="0" w:beforeAutospacing="0" w:after="0" w:afterLines="0" w:afterAutospacing="0" w:line="240" w:lineRule="auto"/>
                    <w:ind w:left="0" w:right="0" w:firstLine="0" w:firstLineChars="0"/>
                    <w:jc w:val="center"/>
                    <w:textAlignment w:val="center"/>
                    <w:rPr>
                      <w:rFonts w:hint="eastAsia"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亚硝酸钠</w:t>
                  </w:r>
                </w:p>
              </w:tc>
              <w:tc>
                <w:tcPr>
                  <w:tcW w:w="1379" w:type="pct"/>
                  <w:tcBorders>
                    <w:tl2br w:val="nil"/>
                    <w:tr2bl w:val="nil"/>
                  </w:tcBorders>
                  <w:noWrap w:val="0"/>
                  <w:vAlign w:val="center"/>
                </w:tcPr>
                <w:p w14:paraId="31DD3261">
                  <w:pPr>
                    <w:keepNext w:val="0"/>
                    <w:keepLines w:val="0"/>
                    <w:pageBreakBefore w:val="0"/>
                    <w:widowControl w:val="0"/>
                    <w:suppressLineNumbers w:val="0"/>
                    <w:kinsoku/>
                    <w:wordWrap/>
                    <w:overflowPunct/>
                    <w:topLinePunct w:val="0"/>
                    <w:bidi w:val="0"/>
                    <w:snapToGrid w:val="0"/>
                    <w:spacing w:before="0" w:beforeLines="0" w:beforeAutospacing="0" w:after="0" w:afterLines="0" w:afterAutospacing="0" w:line="240" w:lineRule="auto"/>
                    <w:ind w:left="0" w:right="0" w:firstLine="0" w:firstLineChars="0"/>
                    <w:jc w:val="center"/>
                    <w:textAlignment w:val="center"/>
                    <w:rPr>
                      <w:rFonts w:hint="default" w:ascii="Times New Roman" w:hAnsi="Times New Roman" w:eastAsia="宋体" w:cs="Times New Roman"/>
                      <w:b w:val="0"/>
                      <w:color w:val="auto"/>
                      <w:kern w:val="2"/>
                      <w:sz w:val="21"/>
                      <w:szCs w:val="21"/>
                      <w:lang w:val="en-US" w:eastAsia="zh-CN" w:bidi="ar-SA"/>
                    </w:rPr>
                  </w:pPr>
                  <w:r>
                    <w:rPr>
                      <w:rFonts w:hint="eastAsia" w:ascii="Times New Roman" w:hAnsi="Times New Roman" w:eastAsia="宋体" w:cs="Times New Roman"/>
                      <w:b w:val="0"/>
                      <w:color w:val="auto"/>
                      <w:kern w:val="2"/>
                      <w:sz w:val="21"/>
                      <w:szCs w:val="21"/>
                      <w:lang w:val="en-US" w:eastAsia="zh-CN" w:bidi="ar-SA"/>
                    </w:rPr>
                    <w:t>0.02</w:t>
                  </w:r>
                </w:p>
              </w:tc>
              <w:tc>
                <w:tcPr>
                  <w:tcW w:w="672" w:type="pct"/>
                  <w:tcBorders>
                    <w:tl2br w:val="nil"/>
                    <w:tr2bl w:val="nil"/>
                  </w:tcBorders>
                  <w:noWrap w:val="0"/>
                  <w:vAlign w:val="center"/>
                </w:tcPr>
                <w:p w14:paraId="4E6790CA">
                  <w:pPr>
                    <w:keepNext w:val="0"/>
                    <w:keepLines w:val="0"/>
                    <w:pageBreakBefore w:val="0"/>
                    <w:widowControl w:val="0"/>
                    <w:suppressLineNumbers w:val="0"/>
                    <w:kinsoku/>
                    <w:wordWrap/>
                    <w:overflowPunct/>
                    <w:topLinePunct w:val="0"/>
                    <w:bidi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50</w:t>
                  </w:r>
                </w:p>
              </w:tc>
              <w:tc>
                <w:tcPr>
                  <w:tcW w:w="1121" w:type="pct"/>
                  <w:tcBorders>
                    <w:tl2br w:val="nil"/>
                    <w:tr2bl w:val="nil"/>
                  </w:tcBorders>
                  <w:noWrap w:val="0"/>
                  <w:vAlign w:val="center"/>
                </w:tcPr>
                <w:p w14:paraId="164DB082">
                  <w:pPr>
                    <w:keepNext w:val="0"/>
                    <w:keepLines w:val="0"/>
                    <w:pageBreakBefore w:val="0"/>
                    <w:widowControl w:val="0"/>
                    <w:suppressLineNumbers w:val="0"/>
                    <w:kinsoku/>
                    <w:wordWrap/>
                    <w:overflowPunct/>
                    <w:topLinePunct w:val="0"/>
                    <w:bidi w:val="0"/>
                    <w:snapToGrid w:val="0"/>
                    <w:spacing w:before="0" w:beforeLines="0" w:beforeAutospacing="0" w:after="0" w:afterLines="0" w:afterAutospacing="0" w:line="240" w:lineRule="auto"/>
                    <w:ind w:left="0" w:right="0" w:firstLine="0" w:firstLineChars="0"/>
                    <w:jc w:val="center"/>
                    <w:textAlignment w:val="center"/>
                    <w:rPr>
                      <w:rFonts w:hint="default" w:ascii="Times New Roman" w:hAnsi="Times New Roman" w:eastAsia="宋体" w:cs="Times New Roman"/>
                      <w:b w:val="0"/>
                      <w:color w:val="auto"/>
                      <w:kern w:val="2"/>
                      <w:sz w:val="21"/>
                      <w:szCs w:val="21"/>
                      <w:u w:val="none"/>
                      <w:lang w:val="en-US" w:eastAsia="zh-CN" w:bidi="ar-SA"/>
                    </w:rPr>
                  </w:pPr>
                  <w:r>
                    <w:rPr>
                      <w:rFonts w:hint="eastAsia" w:ascii="Times New Roman" w:hAnsi="Times New Roman" w:eastAsia="宋体" w:cs="Times New Roman"/>
                      <w:b w:val="0"/>
                      <w:color w:val="auto"/>
                      <w:kern w:val="2"/>
                      <w:sz w:val="21"/>
                      <w:szCs w:val="21"/>
                      <w:u w:val="none"/>
                      <w:lang w:val="en-US" w:eastAsia="zh-CN" w:bidi="ar-SA"/>
                    </w:rPr>
                    <w:t>0.0004</w:t>
                  </w:r>
                </w:p>
              </w:tc>
            </w:tr>
            <w:tr w14:paraId="3B92C0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3878" w:type="pct"/>
                  <w:gridSpan w:val="4"/>
                  <w:tcBorders>
                    <w:tl2br w:val="nil"/>
                    <w:tr2bl w:val="nil"/>
                  </w:tcBorders>
                  <w:noWrap w:val="0"/>
                  <w:vAlign w:val="center"/>
                </w:tcPr>
                <w:p w14:paraId="1548E3ED">
                  <w:pPr>
                    <w:keepNext w:val="0"/>
                    <w:keepLines w:val="0"/>
                    <w:pageBreakBefore w:val="0"/>
                    <w:widowControl w:val="0"/>
                    <w:suppressLineNumbers w:val="0"/>
                    <w:kinsoku/>
                    <w:wordWrap/>
                    <w:overflowPunct/>
                    <w:topLinePunct w:val="0"/>
                    <w:bidi w:val="0"/>
                    <w:spacing w:before="0" w:beforeLines="0" w:beforeAutospacing="0" w:after="0" w:afterLines="0" w:afterAutospacing="0" w:line="240" w:lineRule="auto"/>
                    <w:ind w:left="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项目Q值</w:t>
                  </w:r>
                </w:p>
              </w:tc>
              <w:tc>
                <w:tcPr>
                  <w:tcW w:w="1121" w:type="pct"/>
                  <w:tcBorders>
                    <w:tl2br w:val="nil"/>
                    <w:tr2bl w:val="nil"/>
                  </w:tcBorders>
                  <w:noWrap w:val="0"/>
                  <w:vAlign w:val="center"/>
                </w:tcPr>
                <w:p w14:paraId="41B408C4">
                  <w:pPr>
                    <w:keepNext w:val="0"/>
                    <w:keepLines w:val="0"/>
                    <w:pageBreakBefore w:val="0"/>
                    <w:widowControl w:val="0"/>
                    <w:suppressLineNumbers w:val="0"/>
                    <w:kinsoku/>
                    <w:wordWrap/>
                    <w:overflowPunct/>
                    <w:topLinePunct w:val="0"/>
                    <w:bidi w:val="0"/>
                    <w:snapToGrid w:val="0"/>
                    <w:spacing w:before="0" w:beforeLines="0" w:beforeAutospacing="0" w:after="0" w:afterLines="0" w:afterAutospacing="0" w:line="240" w:lineRule="auto"/>
                    <w:ind w:left="0" w:right="0" w:firstLine="0" w:firstLineChars="0"/>
                    <w:jc w:val="center"/>
                    <w:textAlignment w:val="center"/>
                    <w:rPr>
                      <w:rFonts w:hint="default" w:ascii="Times New Roman" w:hAnsi="Times New Roman" w:eastAsia="宋体" w:cs="Times New Roman"/>
                      <w:b w:val="0"/>
                      <w:color w:val="auto"/>
                      <w:kern w:val="2"/>
                      <w:sz w:val="21"/>
                      <w:szCs w:val="21"/>
                      <w:u w:val="none"/>
                      <w:lang w:val="en-US" w:eastAsia="zh-CN" w:bidi="ar-SA"/>
                    </w:rPr>
                  </w:pPr>
                  <w:r>
                    <w:rPr>
                      <w:rFonts w:hint="eastAsia" w:ascii="Times New Roman" w:hAnsi="Times New Roman" w:eastAsia="宋体" w:cs="Times New Roman"/>
                      <w:b w:val="0"/>
                      <w:color w:val="auto"/>
                      <w:kern w:val="2"/>
                      <w:sz w:val="21"/>
                      <w:szCs w:val="21"/>
                      <w:u w:val="none"/>
                      <w:lang w:val="en-US" w:eastAsia="zh-CN" w:bidi="ar-SA"/>
                    </w:rPr>
                    <w:t>0.0018</w:t>
                  </w:r>
                </w:p>
              </w:tc>
            </w:tr>
          </w:tbl>
          <w:p w14:paraId="6A94701D">
            <w:pPr>
              <w:pStyle w:val="282"/>
              <w:spacing w:line="360" w:lineRule="auto"/>
              <w:ind w:firstLine="480"/>
              <w:rPr>
                <w:rFonts w:hint="default" w:ascii="Times New Roman" w:hAnsi="Times New Roman" w:eastAsia="宋体" w:cs="Times New Roman"/>
                <w:color w:val="auto"/>
                <w:highlight w:val="none"/>
                <w:u w:val="none" w:color="auto"/>
              </w:rPr>
            </w:pPr>
            <w:r>
              <w:rPr>
                <w:rFonts w:hint="eastAsia" w:cs="Times New Roman"/>
                <w:color w:val="auto"/>
                <w:highlight w:val="none"/>
                <w:u w:val="none" w:color="auto"/>
                <w:lang w:val="en-US" w:eastAsia="zh-CN"/>
              </w:rPr>
              <w:t>根据上表计算结果可知，本项目Q为0.0018</w:t>
            </w:r>
            <w:r>
              <w:rPr>
                <w:rFonts w:hint="default" w:ascii="Times New Roman" w:hAnsi="Times New Roman" w:eastAsia="宋体" w:cs="Times New Roman"/>
                <w:color w:val="auto"/>
                <w:highlight w:val="none"/>
                <w:u w:val="none" w:color="auto"/>
                <w:lang w:val="en-US" w:eastAsia="zh-CN"/>
              </w:rPr>
              <w:t>&lt;1。则项目环境风险潜势为Ⅰ。根据《建设项目环境影响报告表编制技术指南（污染影响类）（试行）》中“表 1 专项评价设置原则表”的要求，本项目 Q＜1，无需设置环境风险专项评价，本项目仅进行简单分析</w:t>
            </w:r>
            <w:r>
              <w:rPr>
                <w:rFonts w:hint="eastAsia" w:cs="Times New Roman"/>
                <w:color w:val="auto"/>
                <w:highlight w:val="none"/>
                <w:u w:val="none" w:color="auto"/>
                <w:lang w:val="en-US" w:eastAsia="zh-CN"/>
              </w:rPr>
              <w:t>。</w:t>
            </w:r>
          </w:p>
          <w:p w14:paraId="61507195">
            <w:pPr>
              <w:pStyle w:val="282"/>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3）评价等级</w:t>
            </w:r>
          </w:p>
          <w:p w14:paraId="09EED1ED">
            <w:pPr>
              <w:pStyle w:val="282"/>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本项目风险潜势为Ⅰ，评价工作等级为简单分析。</w:t>
            </w:r>
          </w:p>
          <w:p w14:paraId="18766375">
            <w:pPr>
              <w:pStyle w:val="282"/>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w:t>
            </w:r>
            <w:r>
              <w:rPr>
                <w:rFonts w:hint="default" w:ascii="Times New Roman" w:hAnsi="Times New Roman" w:eastAsia="宋体" w:cs="Times New Roman"/>
                <w:color w:val="auto"/>
                <w:highlight w:val="none"/>
                <w:u w:val="none" w:color="auto"/>
                <w:lang w:val="en-US" w:eastAsia="zh-CN"/>
              </w:rPr>
              <w:t>2</w:t>
            </w:r>
            <w:r>
              <w:rPr>
                <w:rFonts w:hint="default" w:ascii="Times New Roman" w:hAnsi="Times New Roman" w:eastAsia="宋体" w:cs="Times New Roman"/>
                <w:color w:val="auto"/>
                <w:highlight w:val="none"/>
                <w:u w:val="none" w:color="auto"/>
              </w:rPr>
              <w:t>）环境风险识别</w:t>
            </w:r>
          </w:p>
          <w:p w14:paraId="023DB728">
            <w:pPr>
              <w:pStyle w:val="282"/>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根据上述分析，</w:t>
            </w:r>
            <w:r>
              <w:rPr>
                <w:rFonts w:hint="eastAsia" w:cs="Times New Roman"/>
                <w:color w:val="auto"/>
                <w:highlight w:val="none"/>
                <w:u w:val="none" w:color="auto"/>
                <w:lang w:eastAsia="zh-CN"/>
              </w:rPr>
              <w:t>本项目潜在的环境风险为废水治理设施故障导致废水事故外排；废气治理设施故障导致废气超标排放；</w:t>
            </w:r>
            <w:r>
              <w:rPr>
                <w:rFonts w:hint="default" w:ascii="Times New Roman" w:hAnsi="Times New Roman" w:eastAsia="宋体" w:cs="Times New Roman"/>
                <w:color w:val="auto"/>
                <w:highlight w:val="none"/>
                <w:u w:val="none" w:color="auto"/>
              </w:rPr>
              <w:t>以及厂区火灾引发的次生环境风险事件。</w:t>
            </w:r>
          </w:p>
          <w:p w14:paraId="69084806">
            <w:pPr>
              <w:pStyle w:val="282"/>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w:t>
            </w:r>
            <w:r>
              <w:rPr>
                <w:rFonts w:hint="default" w:ascii="Times New Roman" w:hAnsi="Times New Roman" w:eastAsia="宋体" w:cs="Times New Roman"/>
                <w:color w:val="auto"/>
                <w:highlight w:val="none"/>
                <w:u w:val="none" w:color="auto"/>
                <w:lang w:val="en-US" w:eastAsia="zh-CN"/>
              </w:rPr>
              <w:t>3</w:t>
            </w:r>
            <w:r>
              <w:rPr>
                <w:rFonts w:hint="default" w:ascii="Times New Roman" w:hAnsi="Times New Roman" w:eastAsia="宋体" w:cs="Times New Roman"/>
                <w:color w:val="auto"/>
                <w:highlight w:val="none"/>
                <w:u w:val="none" w:color="auto"/>
              </w:rPr>
              <w:t>）环境风险分析</w:t>
            </w:r>
          </w:p>
          <w:p w14:paraId="516174DC">
            <w:pPr>
              <w:pStyle w:val="282"/>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1）废水事故排放影响分析</w:t>
            </w:r>
          </w:p>
          <w:p w14:paraId="44C92E6B">
            <w:pPr>
              <w:pStyle w:val="282"/>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项目为食品加工项目，产生的废水浓度较高，发生事故排放一般是废水处理设施发生故障而停止运转，或者未按规程进行正确的操作导致废水不能达标而外排。若废水处理设施故障导致废水不达标排放，可能影响周边邻近水体水质。</w:t>
            </w:r>
          </w:p>
          <w:p w14:paraId="357D167F">
            <w:pPr>
              <w:pStyle w:val="282"/>
              <w:ind w:firstLine="480"/>
              <w:rPr>
                <w:rFonts w:hint="eastAsia" w:ascii="Times New Roman" w:hAnsi="Times New Roman" w:eastAsia="宋体" w:cs="Times New Roman"/>
                <w:color w:val="auto"/>
                <w:highlight w:val="none"/>
                <w:u w:val="none" w:color="auto"/>
                <w:lang w:val="en-US" w:eastAsia="zh-CN"/>
              </w:rPr>
            </w:pPr>
            <w:r>
              <w:rPr>
                <w:rFonts w:hint="eastAsia" w:cs="Times New Roman"/>
                <w:color w:val="auto"/>
                <w:highlight w:val="none"/>
                <w:u w:val="none" w:color="auto"/>
                <w:lang w:val="en-US" w:eastAsia="zh-CN"/>
              </w:rPr>
              <w:t>2）废气超标排放影响分析</w:t>
            </w:r>
          </w:p>
          <w:p w14:paraId="06DB0893">
            <w:pPr>
              <w:pStyle w:val="282"/>
              <w:ind w:firstLine="480"/>
              <w:rPr>
                <w:rFonts w:hint="eastAsia" w:cs="Times New Roman"/>
                <w:color w:val="auto"/>
                <w:highlight w:val="none"/>
                <w:u w:val="none" w:color="auto"/>
                <w:lang w:val="en-US" w:eastAsia="zh-CN"/>
              </w:rPr>
            </w:pPr>
            <w:r>
              <w:rPr>
                <w:rFonts w:hint="eastAsia" w:cs="Times New Roman"/>
                <w:color w:val="auto"/>
                <w:highlight w:val="none"/>
                <w:u w:val="none" w:color="auto"/>
                <w:lang w:val="en-US" w:eastAsia="zh-CN"/>
              </w:rPr>
              <w:t>本项目豆泡生产油炸工序产生的油烟采用静电油烟净化器收集处理。如废气处理设施在运行过程中出现故障，则油烟废气直接排放到周围大气中，蒸汽发生器除尘设施故障会导致废气直接外排到周边大气中，造成一定程度的大气环境污染，如没有及时处理，项目车间工作人员吸入该废气对身体也会造成一定程度的影响。</w:t>
            </w:r>
          </w:p>
          <w:p w14:paraId="48BBA3DC">
            <w:pPr>
              <w:pStyle w:val="282"/>
              <w:ind w:firstLine="480"/>
              <w:rPr>
                <w:rFonts w:hint="default" w:ascii="Times New Roman" w:hAnsi="Times New Roman" w:eastAsia="宋体" w:cs="Times New Roman"/>
                <w:color w:val="auto"/>
                <w:highlight w:val="none"/>
                <w:u w:val="none" w:color="auto"/>
              </w:rPr>
            </w:pPr>
            <w:r>
              <w:rPr>
                <w:rFonts w:hint="eastAsia" w:cs="Times New Roman"/>
                <w:color w:val="auto"/>
                <w:highlight w:val="none"/>
                <w:u w:val="none" w:color="auto"/>
                <w:lang w:val="en-US" w:eastAsia="zh-CN"/>
              </w:rPr>
              <w:t>3</w:t>
            </w:r>
            <w:r>
              <w:rPr>
                <w:rFonts w:hint="default" w:ascii="Times New Roman" w:hAnsi="Times New Roman" w:eastAsia="宋体" w:cs="Times New Roman"/>
                <w:color w:val="auto"/>
                <w:highlight w:val="none"/>
                <w:u w:val="none" w:color="auto"/>
              </w:rPr>
              <w:t>）火灾次生环境风险事件</w:t>
            </w:r>
          </w:p>
          <w:p w14:paraId="7BDC5710">
            <w:pPr>
              <w:pStyle w:val="282"/>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如若厂区发生火灾，可燃物质的未完全燃烧会导致挥发性有机物及一氧化碳的排放，污染周边环境空气；消防救援时会产生消防废水，消防废水会沾染项目原材料等污染物，主要包括有机物及油类物质，如若处置不当，消防废水直接排入周边沟渠，则可能造成地表水体污染。</w:t>
            </w:r>
          </w:p>
          <w:p w14:paraId="46656A51">
            <w:pPr>
              <w:pStyle w:val="282"/>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w:t>
            </w:r>
            <w:r>
              <w:rPr>
                <w:rFonts w:hint="default" w:ascii="Times New Roman" w:hAnsi="Times New Roman" w:eastAsia="宋体" w:cs="Times New Roman"/>
                <w:color w:val="auto"/>
                <w:highlight w:val="none"/>
                <w:u w:val="none" w:color="auto"/>
                <w:lang w:val="en-US" w:eastAsia="zh-CN"/>
              </w:rPr>
              <w:t>4</w:t>
            </w:r>
            <w:r>
              <w:rPr>
                <w:rFonts w:hint="default" w:ascii="Times New Roman" w:hAnsi="Times New Roman" w:eastAsia="宋体" w:cs="Times New Roman"/>
                <w:color w:val="auto"/>
                <w:highlight w:val="none"/>
                <w:u w:val="none" w:color="auto"/>
              </w:rPr>
              <w:t>）环境风险防范措施及应急要求</w:t>
            </w:r>
          </w:p>
          <w:p w14:paraId="65DC292D">
            <w:pPr>
              <w:pStyle w:val="282"/>
              <w:spacing w:line="360" w:lineRule="auto"/>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1）环境风险防范措施</w:t>
            </w:r>
          </w:p>
          <w:p w14:paraId="7A864DFC">
            <w:pPr>
              <w:pStyle w:val="282"/>
              <w:spacing w:line="360" w:lineRule="auto"/>
              <w:ind w:firstLine="480"/>
              <w:rPr>
                <w:rFonts w:hint="eastAsia" w:ascii="Times New Roman" w:hAnsi="Times New Roman" w:eastAsia="宋体" w:cs="Times New Roman"/>
                <w:color w:val="auto"/>
                <w:highlight w:val="none"/>
                <w:u w:val="none" w:color="auto"/>
                <w:lang w:eastAsia="zh-CN"/>
              </w:rPr>
            </w:pPr>
            <w:r>
              <w:rPr>
                <w:rFonts w:hint="default" w:ascii="Times New Roman" w:hAnsi="Times New Roman" w:eastAsia="宋体" w:cs="Times New Roman"/>
                <w:color w:val="auto"/>
                <w:highlight w:val="none"/>
                <w:u w:val="none" w:color="auto"/>
              </w:rPr>
              <w:t>①</w:t>
            </w:r>
            <w:r>
              <w:rPr>
                <w:rFonts w:hint="eastAsia" w:cs="Times New Roman"/>
                <w:color w:val="auto"/>
                <w:highlight w:val="none"/>
                <w:u w:val="none" w:color="auto"/>
                <w:lang w:eastAsia="zh-CN"/>
              </w:rPr>
              <w:t>废水事故排放防治措施</w:t>
            </w:r>
          </w:p>
          <w:p w14:paraId="481D1A64">
            <w:pPr>
              <w:pStyle w:val="282"/>
              <w:spacing w:line="360" w:lineRule="auto"/>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a.</w:t>
            </w:r>
            <w:r>
              <w:rPr>
                <w:rFonts w:hint="default" w:ascii="Times New Roman" w:hAnsi="Times New Roman" w:eastAsia="宋体" w:cs="Times New Roman"/>
                <w:color w:val="auto"/>
                <w:highlight w:val="none"/>
                <w:u w:val="none" w:color="auto"/>
                <w:lang w:val="en-US" w:eastAsia="zh-CN"/>
              </w:rPr>
              <w:t>加强对废水处理站的运行管理，保证废水停留时间和沉淀效果；</w:t>
            </w:r>
          </w:p>
          <w:p w14:paraId="25CD10D0">
            <w:pPr>
              <w:pStyle w:val="282"/>
              <w:spacing w:line="360" w:lineRule="auto"/>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b.</w:t>
            </w:r>
            <w:r>
              <w:rPr>
                <w:rFonts w:hint="default" w:ascii="Times New Roman" w:hAnsi="Times New Roman" w:eastAsia="宋体" w:cs="Times New Roman"/>
                <w:color w:val="auto"/>
                <w:highlight w:val="none"/>
                <w:u w:val="none" w:color="auto"/>
                <w:lang w:val="en-US" w:eastAsia="zh-CN"/>
              </w:rPr>
              <w:t>经常性检查废水收集、排放管道、风机和泵的运行情况，出现故障立即停产检修，防止废水事故性排放</w:t>
            </w:r>
            <w:r>
              <w:rPr>
                <w:rFonts w:hint="default" w:ascii="Times New Roman" w:hAnsi="Times New Roman" w:eastAsia="宋体" w:cs="Times New Roman"/>
                <w:color w:val="auto"/>
                <w:highlight w:val="none"/>
                <w:u w:val="none" w:color="auto"/>
              </w:rPr>
              <w:t>；</w:t>
            </w:r>
          </w:p>
          <w:p w14:paraId="40E41E93">
            <w:pPr>
              <w:pStyle w:val="282"/>
              <w:spacing w:line="360" w:lineRule="auto"/>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c.</w:t>
            </w:r>
            <w:r>
              <w:rPr>
                <w:rFonts w:hint="default" w:ascii="Times New Roman" w:hAnsi="Times New Roman" w:eastAsia="宋体" w:cs="Times New Roman"/>
                <w:color w:val="auto"/>
                <w:highlight w:val="none"/>
                <w:u w:val="none" w:color="auto"/>
                <w:lang w:val="en-US" w:eastAsia="zh-CN"/>
              </w:rPr>
              <w:t>加强极端天气下的生产管理，做好极端天气下的突发环境事件的应对，当极端暴雨天气时，及时安排停产、停止生产废水的产生，避免废水的外溢</w:t>
            </w:r>
            <w:r>
              <w:rPr>
                <w:rFonts w:hint="default" w:ascii="Times New Roman" w:hAnsi="Times New Roman" w:eastAsia="宋体" w:cs="Times New Roman"/>
                <w:color w:val="auto"/>
                <w:highlight w:val="none"/>
                <w:u w:val="none" w:color="auto"/>
              </w:rPr>
              <w:t>；</w:t>
            </w:r>
          </w:p>
          <w:p w14:paraId="4E5F928F">
            <w:pPr>
              <w:pStyle w:val="282"/>
              <w:spacing w:line="360" w:lineRule="auto"/>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d.当发现废水处理设施有故障时，应当立即停止生产，已产生的废水转排入废水调节池中暂时存放，待废水处理系统正常后再进行处理，而不是直接外排。</w:t>
            </w:r>
          </w:p>
          <w:p w14:paraId="73265382">
            <w:pPr>
              <w:pStyle w:val="282"/>
              <w:spacing w:line="360" w:lineRule="auto"/>
              <w:ind w:firstLine="480"/>
              <w:rPr>
                <w:rFonts w:hint="eastAsia" w:ascii="Times New Roman" w:hAnsi="Times New Roman" w:eastAsia="宋体" w:cs="Times New Roman"/>
                <w:color w:val="auto"/>
                <w:highlight w:val="none"/>
                <w:u w:val="none" w:color="auto"/>
                <w:lang w:eastAsia="zh-CN"/>
              </w:rPr>
            </w:pPr>
            <w:r>
              <w:rPr>
                <w:rFonts w:hint="default" w:ascii="Times New Roman" w:hAnsi="Times New Roman" w:eastAsia="宋体" w:cs="Times New Roman"/>
                <w:color w:val="auto"/>
                <w:highlight w:val="none"/>
                <w:u w:val="none" w:color="auto"/>
              </w:rPr>
              <w:t>②</w:t>
            </w:r>
            <w:r>
              <w:rPr>
                <w:rFonts w:hint="eastAsia" w:cs="Times New Roman"/>
                <w:color w:val="auto"/>
                <w:highlight w:val="none"/>
                <w:u w:val="none" w:color="auto"/>
                <w:lang w:eastAsia="zh-CN"/>
              </w:rPr>
              <w:t>废气超标排放风险防范措施</w:t>
            </w:r>
          </w:p>
          <w:p w14:paraId="10CBE230">
            <w:pPr>
              <w:pStyle w:val="282"/>
              <w:spacing w:line="360" w:lineRule="auto"/>
              <w:ind w:firstLine="480"/>
              <w:rPr>
                <w:rFonts w:hint="eastAsia" w:ascii="Times New Roman" w:hAnsi="Times New Roman" w:eastAsia="宋体" w:cs="Times New Roman"/>
                <w:color w:val="auto"/>
                <w:highlight w:val="none"/>
                <w:u w:val="none" w:color="auto"/>
                <w:lang w:eastAsia="zh-CN"/>
              </w:rPr>
            </w:pPr>
            <w:r>
              <w:rPr>
                <w:rFonts w:hint="eastAsia" w:cs="Times New Roman"/>
                <w:color w:val="auto"/>
                <w:highlight w:val="none"/>
                <w:u w:val="none" w:color="auto"/>
                <w:lang w:val="en-US" w:eastAsia="zh-CN"/>
              </w:rPr>
              <w:t>a.</w:t>
            </w:r>
            <w:r>
              <w:rPr>
                <w:rFonts w:hint="default" w:ascii="Times New Roman" w:hAnsi="Times New Roman" w:eastAsia="宋体" w:cs="Times New Roman"/>
                <w:color w:val="auto"/>
                <w:highlight w:val="none"/>
                <w:u w:val="none" w:color="auto"/>
              </w:rPr>
              <w:t>各生产环节严格执行生产管理的有关规定，加强设备的检修和保养，提高管理人员素质，并设置机器事故应急措施及管理制度，确保设备长期处于良好状态，使设备达到预期的处理效果</w:t>
            </w:r>
            <w:r>
              <w:rPr>
                <w:rFonts w:hint="eastAsia" w:cs="Times New Roman"/>
                <w:color w:val="auto"/>
                <w:highlight w:val="none"/>
                <w:u w:val="none" w:color="auto"/>
                <w:lang w:eastAsia="zh-CN"/>
              </w:rPr>
              <w:t>；</w:t>
            </w:r>
          </w:p>
          <w:p w14:paraId="56E78692">
            <w:pPr>
              <w:pStyle w:val="282"/>
              <w:spacing w:line="360" w:lineRule="auto"/>
              <w:ind w:firstLine="480"/>
              <w:rPr>
                <w:rFonts w:hint="eastAsia" w:cs="Times New Roman"/>
                <w:color w:val="auto"/>
                <w:highlight w:val="none"/>
                <w:u w:val="none" w:color="auto"/>
                <w:lang w:val="en-US" w:eastAsia="zh-CN"/>
              </w:rPr>
            </w:pPr>
            <w:r>
              <w:rPr>
                <w:rFonts w:hint="eastAsia" w:cs="Times New Roman"/>
                <w:color w:val="auto"/>
                <w:highlight w:val="none"/>
                <w:u w:val="none" w:color="auto"/>
                <w:lang w:val="en-US" w:eastAsia="zh-CN"/>
              </w:rPr>
              <w:t>b.对废气处理设施的系统、抽风机等设备进行点检工作，并派专人巡视，遇不良工作状况立即停止车间相关作业，维修正常后再开始作业，杜绝事故性废气直排。待检修并确认无障碍后生产车间方可生产。</w:t>
            </w:r>
          </w:p>
          <w:p w14:paraId="4E4473E7">
            <w:pPr>
              <w:pStyle w:val="282"/>
              <w:spacing w:line="360" w:lineRule="auto"/>
              <w:ind w:firstLine="480"/>
              <w:rPr>
                <w:rFonts w:hint="eastAsia" w:cs="Times New Roman"/>
                <w:color w:val="auto"/>
                <w:highlight w:val="none"/>
                <w:u w:val="none" w:color="auto"/>
                <w:lang w:val="en-US" w:eastAsia="zh-CN"/>
              </w:rPr>
            </w:pPr>
            <w:r>
              <w:rPr>
                <w:rFonts w:hint="eastAsia" w:cs="Times New Roman"/>
                <w:color w:val="auto"/>
                <w:highlight w:val="none"/>
                <w:u w:val="none" w:color="auto"/>
                <w:lang w:val="en-US" w:eastAsia="zh-CN"/>
              </w:rPr>
              <w:t>c.加强员工培训，防止员工操作失误导致废气直接排放。</w:t>
            </w:r>
          </w:p>
          <w:p w14:paraId="47EB6EFE">
            <w:pPr>
              <w:pStyle w:val="282"/>
              <w:spacing w:line="360" w:lineRule="auto"/>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lang w:val="en-US" w:eastAsia="zh-CN"/>
              </w:rPr>
              <w:fldChar w:fldCharType="begin"/>
            </w:r>
            <w:r>
              <w:rPr>
                <w:rFonts w:hint="default" w:ascii="Times New Roman" w:hAnsi="Times New Roman" w:eastAsia="宋体" w:cs="Times New Roman"/>
                <w:color w:val="auto"/>
                <w:highlight w:val="none"/>
                <w:u w:val="none" w:color="auto"/>
                <w:lang w:val="en-US" w:eastAsia="zh-CN"/>
              </w:rPr>
              <w:instrText xml:space="preserve"> = 3 \* GB3 \* MERGEFORMAT </w:instrText>
            </w:r>
            <w:r>
              <w:rPr>
                <w:rFonts w:hint="default" w:ascii="Times New Roman" w:hAnsi="Times New Roman" w:eastAsia="宋体" w:cs="Times New Roman"/>
                <w:color w:val="auto"/>
                <w:highlight w:val="none"/>
                <w:u w:val="none" w:color="auto"/>
                <w:lang w:val="en-US" w:eastAsia="zh-CN"/>
              </w:rPr>
              <w:fldChar w:fldCharType="separate"/>
            </w:r>
            <w:r>
              <w:rPr>
                <w:rFonts w:hint="default" w:ascii="Times New Roman" w:hAnsi="Times New Roman" w:eastAsia="宋体" w:cs="Times New Roman"/>
                <w:color w:val="auto"/>
                <w:highlight w:val="none"/>
                <w:u w:val="none" w:color="auto"/>
              </w:rPr>
              <w:t>③</w:t>
            </w:r>
            <w:r>
              <w:rPr>
                <w:rFonts w:hint="default" w:ascii="Times New Roman" w:hAnsi="Times New Roman" w:eastAsia="宋体" w:cs="Times New Roman"/>
                <w:color w:val="auto"/>
                <w:highlight w:val="none"/>
                <w:u w:val="none" w:color="auto"/>
                <w:lang w:val="en-US" w:eastAsia="zh-CN"/>
              </w:rPr>
              <w:fldChar w:fldCharType="end"/>
            </w:r>
            <w:r>
              <w:rPr>
                <w:rFonts w:hint="default" w:ascii="Times New Roman" w:hAnsi="Times New Roman" w:eastAsia="宋体" w:cs="Times New Roman"/>
                <w:color w:val="auto"/>
                <w:highlight w:val="none"/>
                <w:u w:val="none" w:color="auto"/>
              </w:rPr>
              <w:t>火灾次生环境风险防范措施</w:t>
            </w:r>
          </w:p>
          <w:p w14:paraId="152CA5CF">
            <w:pPr>
              <w:pStyle w:val="282"/>
              <w:spacing w:line="360" w:lineRule="auto"/>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a.按照消防要求进行厂区建设，各建筑均必须满足相应的消防等级要求；</w:t>
            </w:r>
          </w:p>
          <w:p w14:paraId="67495678">
            <w:pPr>
              <w:pStyle w:val="282"/>
              <w:spacing w:line="360" w:lineRule="auto"/>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b.厂区内配备足够的消防应急物资、消防设施，能够第一时间进行消防响应；</w:t>
            </w:r>
          </w:p>
          <w:p w14:paraId="4D7186C0">
            <w:pPr>
              <w:pStyle w:val="282"/>
              <w:spacing w:line="360" w:lineRule="auto"/>
              <w:ind w:firstLine="480"/>
              <w:rPr>
                <w:rFonts w:hint="eastAsia" w:ascii="Times New Roman" w:hAnsi="Times New Roman" w:eastAsia="宋体" w:cs="Times New Roman"/>
                <w:color w:val="auto"/>
                <w:highlight w:val="none"/>
                <w:u w:val="none" w:color="auto"/>
                <w:lang w:eastAsia="zh-CN"/>
              </w:rPr>
            </w:pPr>
            <w:r>
              <w:rPr>
                <w:rFonts w:hint="default" w:ascii="Times New Roman" w:hAnsi="Times New Roman" w:eastAsia="宋体" w:cs="Times New Roman"/>
                <w:color w:val="auto"/>
                <w:highlight w:val="none"/>
                <w:u w:val="none" w:color="auto"/>
              </w:rPr>
              <w:t>c.厂房各车间内均安装火灾烟雾报警器，能在火灾的第一时间做出报警，加快响应速度，降低火灾次生环境风险的污染</w:t>
            </w:r>
            <w:r>
              <w:rPr>
                <w:rFonts w:hint="eastAsia" w:cs="Times New Roman"/>
                <w:color w:val="auto"/>
                <w:highlight w:val="none"/>
                <w:u w:val="none" w:color="auto"/>
                <w:lang w:eastAsia="zh-CN"/>
              </w:rPr>
              <w:t>。</w:t>
            </w:r>
          </w:p>
          <w:p w14:paraId="6393466A">
            <w:pPr>
              <w:pStyle w:val="282"/>
              <w:spacing w:line="360" w:lineRule="auto"/>
              <w:ind w:firstLine="480"/>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rPr>
              <w:t>2）</w:t>
            </w:r>
            <w:r>
              <w:rPr>
                <w:rFonts w:hint="default" w:ascii="Times New Roman" w:hAnsi="Times New Roman" w:eastAsia="宋体" w:cs="Times New Roman"/>
                <w:color w:val="auto"/>
                <w:highlight w:val="none"/>
                <w:u w:val="none" w:color="auto"/>
                <w:lang w:val="en-US" w:eastAsia="zh-CN"/>
              </w:rPr>
              <w:t>应急措施</w:t>
            </w:r>
          </w:p>
          <w:p w14:paraId="7B37712E">
            <w:pPr>
              <w:pStyle w:val="282"/>
              <w:spacing w:line="360" w:lineRule="auto"/>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lang w:val="en-US" w:eastAsia="zh-CN"/>
              </w:rPr>
              <w:t>根据《湖南省突发环境事件应急预案管理办法（修订版）》（湘环发〔2024〕49号）相关要求完善环境风险应急预案相关手续</w:t>
            </w:r>
            <w:r>
              <w:rPr>
                <w:rFonts w:hint="default" w:ascii="Times New Roman" w:hAnsi="Times New Roman" w:eastAsia="宋体" w:cs="Times New Roman"/>
                <w:color w:val="auto"/>
                <w:highlight w:val="none"/>
                <w:u w:val="none" w:color="auto"/>
              </w:rPr>
              <w:t>。</w:t>
            </w:r>
          </w:p>
          <w:p w14:paraId="7B3268CE">
            <w:pPr>
              <w:pStyle w:val="282"/>
              <w:spacing w:line="360" w:lineRule="auto"/>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为了能在事故发生时，迅速准确、有条不紊地处理和控制事故，把损失和危害减少到最低程度，本评价提出了以下风险事故应急预案：</w:t>
            </w:r>
          </w:p>
          <w:p w14:paraId="21533447">
            <w:pPr>
              <w:pStyle w:val="282"/>
              <w:spacing w:line="360" w:lineRule="auto"/>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①最早发现事故的报警责任人，应立即按事故处理程序报警。</w:t>
            </w:r>
          </w:p>
          <w:p w14:paraId="061849FE">
            <w:pPr>
              <w:pStyle w:val="282"/>
              <w:spacing w:line="360" w:lineRule="auto"/>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②值班领导及指挥部成员接到报替后，应立即赶赴现场，指挥有关人员迅速查明事故发生的原因。</w:t>
            </w:r>
          </w:p>
          <w:p w14:paraId="48C20995">
            <w:pPr>
              <w:pStyle w:val="282"/>
              <w:spacing w:line="360" w:lineRule="auto"/>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③根据事故状况及危害程度作出相应的应急（救护、治安、警戒、疏散、抢修）决定。</w:t>
            </w:r>
          </w:p>
          <w:p w14:paraId="587F08E6">
            <w:pPr>
              <w:pStyle w:val="282"/>
              <w:spacing w:line="360" w:lineRule="auto"/>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④根据事故程度，如短时间内事故设施无法修复，应向领导汇报，申请暂时停止生产，待事故处理完毕后再行生产。</w:t>
            </w:r>
          </w:p>
          <w:p w14:paraId="3FD5B445">
            <w:pPr>
              <w:pStyle w:val="282"/>
              <w:spacing w:line="360" w:lineRule="auto"/>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⑤事故应急指挥部应协助上级部门和工程抢险队制定、实施抢险方案。</w:t>
            </w:r>
          </w:p>
          <w:p w14:paraId="1FB78E4A">
            <w:pPr>
              <w:pStyle w:val="282"/>
              <w:spacing w:line="360" w:lineRule="auto"/>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⑥当事故得到控制后，应积极主动配合事故调查小组，进行事故调查和落实防范措通过采取相应的风险防范措施后，可以将本项目的风险降到较低的水平，本项目的环境风险可以接受。但应加强环境风险管理措施，严格执行风险防范措施，制定应急方案，并进行应急演习。</w:t>
            </w:r>
          </w:p>
          <w:p w14:paraId="0CA0AF56">
            <w:pPr>
              <w:pStyle w:val="282"/>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w:t>
            </w:r>
            <w:r>
              <w:rPr>
                <w:rFonts w:hint="default" w:ascii="Times New Roman" w:hAnsi="Times New Roman" w:eastAsia="宋体" w:cs="Times New Roman"/>
                <w:color w:val="auto"/>
                <w:highlight w:val="none"/>
                <w:u w:val="none" w:color="auto"/>
                <w:lang w:val="en-US" w:eastAsia="zh-CN"/>
              </w:rPr>
              <w:t>5</w:t>
            </w:r>
            <w:r>
              <w:rPr>
                <w:rFonts w:hint="default" w:ascii="Times New Roman" w:hAnsi="Times New Roman" w:eastAsia="宋体" w:cs="Times New Roman"/>
                <w:color w:val="auto"/>
                <w:highlight w:val="none"/>
                <w:u w:val="none" w:color="auto"/>
              </w:rPr>
              <w:t>）分析结论</w:t>
            </w:r>
          </w:p>
          <w:p w14:paraId="7648474B">
            <w:pPr>
              <w:pStyle w:val="282"/>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根据本项目特征及同类项目类比调查，项目环境风险事故发生概率较小，环境风险在可接受范围内。建设单位若能严格执行国家有关环保、安全、卫生和劳动方面的标准规定，严格履行环保“三同时”制度，确保投产过程中环保设施正常运行，投产过程中加强环境和安全管理，做好每日的巡检工作和记录。在做好以上各项安全和环境风险防范措施的前提下，项目的环境风险将降低到可接受的程度。</w:t>
            </w:r>
          </w:p>
          <w:p w14:paraId="2BEAC832">
            <w:pPr>
              <w:pStyle w:val="281"/>
              <w:spacing w:before="156"/>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表4-</w:t>
            </w:r>
            <w:r>
              <w:rPr>
                <w:rFonts w:hint="eastAsia" w:cs="Times New Roman"/>
                <w:color w:val="auto"/>
                <w:sz w:val="21"/>
                <w:szCs w:val="21"/>
                <w:highlight w:val="none"/>
                <w:u w:val="none" w:color="auto"/>
                <w:lang w:val="en-US" w:eastAsia="zh-CN"/>
              </w:rPr>
              <w:t>25</w:t>
            </w:r>
            <w:r>
              <w:rPr>
                <w:rFonts w:hint="default" w:ascii="Times New Roman" w:hAnsi="Times New Roman" w:eastAsia="宋体" w:cs="Times New Roman"/>
                <w:color w:val="auto"/>
                <w:sz w:val="21"/>
                <w:szCs w:val="21"/>
                <w:highlight w:val="none"/>
                <w:u w:val="none" w:color="auto"/>
              </w:rPr>
              <w:t xml:space="preserve"> 建设项目环境风险简单分析内容表</w:t>
            </w:r>
          </w:p>
          <w:tbl>
            <w:tblPr>
              <w:tblStyle w:val="42"/>
              <w:tblW w:w="4999" w:type="pct"/>
              <w:tblInd w:w="-1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914"/>
              <w:gridCol w:w="1051"/>
              <w:gridCol w:w="2076"/>
              <w:gridCol w:w="778"/>
              <w:gridCol w:w="2155"/>
            </w:tblGrid>
            <w:tr w14:paraId="7D76F3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00" w:type="pct"/>
                  <w:tcBorders>
                    <w:tl2br w:val="nil"/>
                    <w:tr2bl w:val="nil"/>
                  </w:tcBorders>
                  <w:vAlign w:val="center"/>
                </w:tcPr>
                <w:p w14:paraId="67F1F3BC">
                  <w:pPr>
                    <w:pStyle w:val="283"/>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建设项目名称</w:t>
                  </w:r>
                </w:p>
              </w:tc>
              <w:tc>
                <w:tcPr>
                  <w:tcW w:w="3799" w:type="pct"/>
                  <w:gridSpan w:val="4"/>
                  <w:tcBorders>
                    <w:tl2br w:val="nil"/>
                    <w:tr2bl w:val="nil"/>
                  </w:tcBorders>
                </w:tcPr>
                <w:p w14:paraId="7F449EB0">
                  <w:pPr>
                    <w:pStyle w:val="256"/>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eastAsia="zh-CN"/>
                    </w:rPr>
                    <w:t>湖南省口福轩有限公司食品加工厂生产建设项目</w:t>
                  </w:r>
                </w:p>
              </w:tc>
            </w:tr>
            <w:tr w14:paraId="783C67D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00" w:type="pct"/>
                  <w:tcBorders>
                    <w:tl2br w:val="nil"/>
                    <w:tr2bl w:val="nil"/>
                  </w:tcBorders>
                  <w:vAlign w:val="center"/>
                </w:tcPr>
                <w:p w14:paraId="672426BD">
                  <w:pPr>
                    <w:pStyle w:val="283"/>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建设地点</w:t>
                  </w:r>
                </w:p>
              </w:tc>
              <w:tc>
                <w:tcPr>
                  <w:tcW w:w="3799" w:type="pct"/>
                  <w:gridSpan w:val="4"/>
                  <w:tcBorders>
                    <w:tl2br w:val="nil"/>
                    <w:tr2bl w:val="nil"/>
                  </w:tcBorders>
                  <w:vAlign w:val="center"/>
                </w:tcPr>
                <w:p w14:paraId="197D2603">
                  <w:pPr>
                    <w:pStyle w:val="283"/>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eastAsia="zh-CN"/>
                    </w:rPr>
                    <w:t>湖南省汨罗市大荆镇古仑村</w:t>
                  </w:r>
                </w:p>
              </w:tc>
            </w:tr>
            <w:tr w14:paraId="114AF0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00" w:type="pct"/>
                  <w:tcBorders>
                    <w:tl2br w:val="nil"/>
                    <w:tr2bl w:val="nil"/>
                  </w:tcBorders>
                  <w:vAlign w:val="center"/>
                </w:tcPr>
                <w:p w14:paraId="4947A0F3">
                  <w:pPr>
                    <w:pStyle w:val="283"/>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地理坐标</w:t>
                  </w:r>
                </w:p>
              </w:tc>
              <w:tc>
                <w:tcPr>
                  <w:tcW w:w="659" w:type="pct"/>
                  <w:tcBorders>
                    <w:tl2br w:val="nil"/>
                    <w:tr2bl w:val="nil"/>
                  </w:tcBorders>
                  <w:vAlign w:val="center"/>
                </w:tcPr>
                <w:p w14:paraId="6E6E625C">
                  <w:pPr>
                    <w:pStyle w:val="283"/>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经度</w:t>
                  </w:r>
                </w:p>
              </w:tc>
              <w:tc>
                <w:tcPr>
                  <w:tcW w:w="1302" w:type="pct"/>
                  <w:tcBorders>
                    <w:tl2br w:val="nil"/>
                    <w:tr2bl w:val="nil"/>
                  </w:tcBorders>
                  <w:vAlign w:val="center"/>
                </w:tcPr>
                <w:p w14:paraId="4191884F">
                  <w:pPr>
                    <w:pStyle w:val="283"/>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113°</w:t>
                  </w:r>
                  <w:r>
                    <w:rPr>
                      <w:rFonts w:hint="default" w:ascii="Times New Roman" w:hAnsi="Times New Roman" w:eastAsia="宋体" w:cs="Times New Roman"/>
                      <w:color w:val="auto"/>
                      <w:sz w:val="21"/>
                      <w:szCs w:val="21"/>
                      <w:highlight w:val="none"/>
                      <w:u w:val="none" w:color="auto"/>
                      <w:lang w:val="en-US" w:eastAsia="zh-CN"/>
                    </w:rPr>
                    <w:t>18</w:t>
                  </w:r>
                  <w:r>
                    <w:rPr>
                      <w:rFonts w:hint="default" w:ascii="Times New Roman" w:hAnsi="Times New Roman" w:eastAsia="宋体" w:cs="Times New Roman"/>
                      <w:color w:val="auto"/>
                      <w:sz w:val="21"/>
                      <w:szCs w:val="21"/>
                      <w:highlight w:val="none"/>
                      <w:u w:val="none" w:color="auto"/>
                    </w:rPr>
                    <w:t>′</w:t>
                  </w:r>
                  <w:r>
                    <w:rPr>
                      <w:rFonts w:hint="default" w:ascii="Times New Roman" w:hAnsi="Times New Roman" w:eastAsia="宋体" w:cs="Times New Roman"/>
                      <w:color w:val="auto"/>
                      <w:sz w:val="21"/>
                      <w:szCs w:val="21"/>
                      <w:highlight w:val="none"/>
                      <w:u w:val="none" w:color="auto"/>
                      <w:lang w:val="en-US" w:eastAsia="zh-CN"/>
                    </w:rPr>
                    <w:t>34.943″</w:t>
                  </w:r>
                  <w:r>
                    <w:rPr>
                      <w:rFonts w:hint="default" w:ascii="Times New Roman" w:hAnsi="Times New Roman" w:eastAsia="宋体" w:cs="Times New Roman"/>
                      <w:color w:val="auto"/>
                      <w:sz w:val="21"/>
                      <w:szCs w:val="21"/>
                      <w:highlight w:val="none"/>
                      <w:u w:val="none" w:color="auto"/>
                    </w:rPr>
                    <w:t>E</w:t>
                  </w:r>
                </w:p>
              </w:tc>
              <w:tc>
                <w:tcPr>
                  <w:tcW w:w="488" w:type="pct"/>
                  <w:tcBorders>
                    <w:tl2br w:val="nil"/>
                    <w:tr2bl w:val="nil"/>
                  </w:tcBorders>
                  <w:vAlign w:val="center"/>
                </w:tcPr>
                <w:p w14:paraId="3C6143AB">
                  <w:pPr>
                    <w:pStyle w:val="283"/>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纬度</w:t>
                  </w:r>
                </w:p>
              </w:tc>
              <w:tc>
                <w:tcPr>
                  <w:tcW w:w="1349" w:type="pct"/>
                  <w:tcBorders>
                    <w:tl2br w:val="nil"/>
                    <w:tr2bl w:val="nil"/>
                  </w:tcBorders>
                  <w:vAlign w:val="center"/>
                </w:tcPr>
                <w:p w14:paraId="00A15582">
                  <w:pPr>
                    <w:pStyle w:val="283"/>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28°</w:t>
                  </w:r>
                  <w:r>
                    <w:rPr>
                      <w:rFonts w:hint="default" w:ascii="Times New Roman" w:hAnsi="Times New Roman" w:eastAsia="宋体" w:cs="Times New Roman"/>
                      <w:color w:val="auto"/>
                      <w:sz w:val="21"/>
                      <w:szCs w:val="21"/>
                      <w:highlight w:val="none"/>
                      <w:u w:val="none" w:color="auto"/>
                      <w:lang w:val="en-US" w:eastAsia="zh-CN"/>
                    </w:rPr>
                    <w:t>55</w:t>
                  </w:r>
                  <w:r>
                    <w:rPr>
                      <w:rFonts w:hint="default" w:ascii="Times New Roman" w:hAnsi="Times New Roman" w:eastAsia="宋体" w:cs="Times New Roman"/>
                      <w:color w:val="auto"/>
                      <w:sz w:val="21"/>
                      <w:szCs w:val="21"/>
                      <w:highlight w:val="none"/>
                      <w:u w:val="none" w:color="auto"/>
                    </w:rPr>
                    <w:t>′</w:t>
                  </w:r>
                  <w:r>
                    <w:rPr>
                      <w:rFonts w:hint="default" w:ascii="Times New Roman" w:hAnsi="Times New Roman" w:eastAsia="宋体" w:cs="Times New Roman"/>
                      <w:color w:val="auto"/>
                      <w:sz w:val="21"/>
                      <w:szCs w:val="21"/>
                      <w:highlight w:val="none"/>
                      <w:u w:val="none" w:color="auto"/>
                      <w:lang w:val="en-US" w:eastAsia="zh-CN"/>
                    </w:rPr>
                    <w:t>5.621″</w:t>
                  </w:r>
                  <w:r>
                    <w:rPr>
                      <w:rFonts w:hint="default" w:ascii="Times New Roman" w:hAnsi="Times New Roman" w:eastAsia="宋体" w:cs="Times New Roman"/>
                      <w:color w:val="auto"/>
                      <w:sz w:val="21"/>
                      <w:szCs w:val="21"/>
                      <w:highlight w:val="none"/>
                      <w:u w:val="none" w:color="auto"/>
                    </w:rPr>
                    <w:t>N</w:t>
                  </w:r>
                </w:p>
              </w:tc>
            </w:tr>
            <w:tr w14:paraId="6DDE621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00" w:type="pct"/>
                  <w:tcBorders>
                    <w:tl2br w:val="nil"/>
                    <w:tr2bl w:val="nil"/>
                  </w:tcBorders>
                  <w:vAlign w:val="center"/>
                </w:tcPr>
                <w:p w14:paraId="7630A9F5">
                  <w:pPr>
                    <w:pStyle w:val="283"/>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主要危险物质及分布</w:t>
                  </w:r>
                </w:p>
              </w:tc>
              <w:tc>
                <w:tcPr>
                  <w:tcW w:w="3799" w:type="pct"/>
                  <w:gridSpan w:val="4"/>
                  <w:tcBorders>
                    <w:tl2br w:val="nil"/>
                    <w:tr2bl w:val="nil"/>
                  </w:tcBorders>
                  <w:vAlign w:val="center"/>
                </w:tcPr>
                <w:p w14:paraId="3E037220">
                  <w:pPr>
                    <w:pStyle w:val="283"/>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主要环境风险</w:t>
                  </w:r>
                  <w:r>
                    <w:rPr>
                      <w:rFonts w:hint="eastAsia" w:cs="Times New Roman"/>
                      <w:color w:val="auto"/>
                      <w:sz w:val="21"/>
                      <w:szCs w:val="21"/>
                      <w:highlight w:val="none"/>
                      <w:u w:val="none" w:color="auto"/>
                      <w:lang w:eastAsia="zh-CN"/>
                    </w:rPr>
                    <w:t>为</w:t>
                  </w:r>
                  <w:r>
                    <w:rPr>
                      <w:rFonts w:hint="default" w:ascii="Times New Roman" w:hAnsi="Times New Roman" w:eastAsia="宋体" w:cs="Times New Roman"/>
                      <w:color w:val="auto"/>
                      <w:sz w:val="21"/>
                      <w:szCs w:val="21"/>
                      <w:highlight w:val="none"/>
                      <w:u w:val="none" w:color="auto"/>
                      <w:lang w:eastAsia="zh-CN"/>
                    </w:rPr>
                    <w:t>废水治理设施故障导致废水事故外排；废气治理设施故障导致废气超标排放；</w:t>
                  </w:r>
                  <w:r>
                    <w:rPr>
                      <w:rFonts w:hint="default" w:ascii="Times New Roman" w:hAnsi="Times New Roman" w:eastAsia="宋体" w:cs="Times New Roman"/>
                      <w:color w:val="auto"/>
                      <w:sz w:val="21"/>
                      <w:szCs w:val="21"/>
                      <w:highlight w:val="none"/>
                      <w:u w:val="none" w:color="auto"/>
                    </w:rPr>
                    <w:t>以及厂区火灾引发的次生环境风险事件</w:t>
                  </w:r>
                </w:p>
              </w:tc>
            </w:tr>
            <w:tr w14:paraId="0B36EF1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00" w:type="pct"/>
                  <w:tcBorders>
                    <w:tl2br w:val="nil"/>
                    <w:tr2bl w:val="nil"/>
                  </w:tcBorders>
                  <w:vAlign w:val="center"/>
                </w:tcPr>
                <w:p w14:paraId="5517B493">
                  <w:pPr>
                    <w:pStyle w:val="283"/>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环境影响途径及危害后果（大气、地表水、地下水等）</w:t>
                  </w:r>
                </w:p>
              </w:tc>
              <w:tc>
                <w:tcPr>
                  <w:tcW w:w="3799" w:type="pct"/>
                  <w:gridSpan w:val="4"/>
                  <w:tcBorders>
                    <w:tl2br w:val="nil"/>
                    <w:tr2bl w:val="nil"/>
                  </w:tcBorders>
                  <w:vAlign w:val="center"/>
                </w:tcPr>
                <w:p w14:paraId="34F666A4">
                  <w:pPr>
                    <w:pStyle w:val="283"/>
                    <w:numPr>
                      <w:ilvl w:val="0"/>
                      <w:numId w:val="7"/>
                    </w:numPr>
                    <w:jc w:val="both"/>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val="en-US" w:eastAsia="zh-CN"/>
                    </w:rPr>
                    <w:t>废水事故排放影响分析</w:t>
                  </w:r>
                  <w:r>
                    <w:rPr>
                      <w:rFonts w:hint="default" w:ascii="Times New Roman" w:hAnsi="Times New Roman" w:eastAsia="宋体" w:cs="Times New Roman"/>
                      <w:color w:val="auto"/>
                      <w:sz w:val="21"/>
                      <w:szCs w:val="21"/>
                      <w:highlight w:val="none"/>
                      <w:u w:val="none" w:color="auto"/>
                    </w:rPr>
                    <w:t>：</w:t>
                  </w:r>
                  <w:r>
                    <w:rPr>
                      <w:rFonts w:hint="eastAsia" w:cs="Times New Roman"/>
                      <w:color w:val="auto"/>
                      <w:sz w:val="21"/>
                      <w:szCs w:val="21"/>
                      <w:highlight w:val="none"/>
                      <w:u w:val="none" w:color="auto"/>
                      <w:lang w:val="en-US" w:eastAsia="zh-CN"/>
                    </w:rPr>
                    <w:t>废水处理设施发生故障而停止运转或者未按规程进行正确的操作导致废水不能达标而外排，可能影响周边邻近水体水质。</w:t>
                  </w:r>
                </w:p>
                <w:p w14:paraId="07B14037">
                  <w:pPr>
                    <w:pStyle w:val="283"/>
                    <w:numPr>
                      <w:ilvl w:val="0"/>
                      <w:numId w:val="7"/>
                    </w:numPr>
                    <w:jc w:val="both"/>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val="en-US" w:eastAsia="zh-CN"/>
                    </w:rPr>
                    <w:t>废气超标排放影响分析</w:t>
                  </w:r>
                  <w:r>
                    <w:rPr>
                      <w:rFonts w:hint="eastAsia" w:cs="Times New Roman"/>
                      <w:color w:val="auto"/>
                      <w:sz w:val="21"/>
                      <w:szCs w:val="21"/>
                      <w:highlight w:val="none"/>
                      <w:u w:val="none" w:color="auto"/>
                      <w:lang w:val="en-US" w:eastAsia="zh-CN"/>
                    </w:rPr>
                    <w:t>：废气处理设施发生故障，导致油烟废气，蒸汽发生器废气超标外排，影响周边大气环境。</w:t>
                  </w:r>
                </w:p>
                <w:p w14:paraId="5C9161A0">
                  <w:pPr>
                    <w:pStyle w:val="283"/>
                    <w:numPr>
                      <w:ilvl w:val="0"/>
                      <w:numId w:val="7"/>
                    </w:numPr>
                    <w:jc w:val="both"/>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val="en-US" w:eastAsia="zh-CN"/>
                    </w:rPr>
                    <w:t>厂区发生火灾，可燃物质的未完全燃烧会导致挥发性有机物及一氧化碳的排放，污染周边环境空气</w:t>
                  </w:r>
                  <w:r>
                    <w:rPr>
                      <w:rFonts w:hint="eastAsia" w:cs="Times New Roman"/>
                      <w:color w:val="auto"/>
                      <w:sz w:val="21"/>
                      <w:szCs w:val="21"/>
                      <w:highlight w:val="none"/>
                      <w:u w:val="none" w:color="auto"/>
                      <w:lang w:val="en-US" w:eastAsia="zh-CN"/>
                    </w:rPr>
                    <w:t>；消防废水处置不当外排污染周边水体。</w:t>
                  </w:r>
                </w:p>
              </w:tc>
            </w:tr>
            <w:tr w14:paraId="0E46BA0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200" w:type="pct"/>
                  <w:tcBorders>
                    <w:tl2br w:val="nil"/>
                    <w:tr2bl w:val="nil"/>
                  </w:tcBorders>
                  <w:vAlign w:val="center"/>
                </w:tcPr>
                <w:p w14:paraId="448C5E82">
                  <w:pPr>
                    <w:pStyle w:val="283"/>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风险防范措施要求</w:t>
                  </w:r>
                </w:p>
              </w:tc>
              <w:tc>
                <w:tcPr>
                  <w:tcW w:w="3799" w:type="pct"/>
                  <w:gridSpan w:val="4"/>
                  <w:tcBorders>
                    <w:tl2br w:val="nil"/>
                    <w:tr2bl w:val="nil"/>
                  </w:tcBorders>
                  <w:vAlign w:val="center"/>
                </w:tcPr>
                <w:p w14:paraId="040D40C9">
                  <w:pPr>
                    <w:pStyle w:val="283"/>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①</w:t>
                  </w:r>
                  <w:r>
                    <w:rPr>
                      <w:rFonts w:hint="default" w:ascii="Times New Roman" w:hAnsi="Times New Roman" w:eastAsia="宋体" w:cs="Times New Roman"/>
                      <w:color w:val="auto"/>
                      <w:sz w:val="21"/>
                      <w:szCs w:val="21"/>
                      <w:highlight w:val="none"/>
                      <w:u w:val="none" w:color="auto"/>
                      <w:lang w:eastAsia="zh-CN"/>
                    </w:rPr>
                    <w:t>废水事故排放防治措施</w:t>
                  </w:r>
                  <w:r>
                    <w:rPr>
                      <w:rFonts w:hint="default" w:ascii="Times New Roman" w:hAnsi="Times New Roman" w:eastAsia="宋体" w:cs="Times New Roman"/>
                      <w:color w:val="auto"/>
                      <w:sz w:val="21"/>
                      <w:szCs w:val="21"/>
                      <w:highlight w:val="none"/>
                      <w:u w:val="none" w:color="auto"/>
                    </w:rPr>
                    <w:t>a.</w:t>
                  </w:r>
                  <w:r>
                    <w:rPr>
                      <w:rFonts w:hint="default" w:ascii="Times New Roman" w:hAnsi="Times New Roman" w:eastAsia="宋体" w:cs="Times New Roman"/>
                      <w:color w:val="auto"/>
                      <w:sz w:val="21"/>
                      <w:szCs w:val="21"/>
                      <w:highlight w:val="none"/>
                      <w:u w:val="none" w:color="auto"/>
                      <w:lang w:val="en-US" w:eastAsia="zh-CN"/>
                    </w:rPr>
                    <w:t>加强对废水处理站的运行管理，保证废水停留时间和沉淀效果；</w:t>
                  </w:r>
                  <w:r>
                    <w:rPr>
                      <w:rFonts w:hint="default" w:ascii="Times New Roman" w:hAnsi="Times New Roman" w:eastAsia="宋体" w:cs="Times New Roman"/>
                      <w:color w:val="auto"/>
                      <w:sz w:val="21"/>
                      <w:szCs w:val="21"/>
                      <w:highlight w:val="none"/>
                      <w:u w:val="none" w:color="auto"/>
                    </w:rPr>
                    <w:t>b.</w:t>
                  </w:r>
                  <w:r>
                    <w:rPr>
                      <w:rFonts w:hint="default" w:ascii="Times New Roman" w:hAnsi="Times New Roman" w:eastAsia="宋体" w:cs="Times New Roman"/>
                      <w:color w:val="auto"/>
                      <w:sz w:val="21"/>
                      <w:szCs w:val="21"/>
                      <w:highlight w:val="none"/>
                      <w:u w:val="none" w:color="auto"/>
                      <w:lang w:val="en-US" w:eastAsia="zh-CN"/>
                    </w:rPr>
                    <w:t>经常性检查废水收集、排放管道、风机和泵的运行情况，出现故障立即停产检修，防止废水事故性排放</w:t>
                  </w:r>
                  <w:r>
                    <w:rPr>
                      <w:rFonts w:hint="default" w:ascii="Times New Roman" w:hAnsi="Times New Roman" w:eastAsia="宋体" w:cs="Times New Roman"/>
                      <w:color w:val="auto"/>
                      <w:sz w:val="21"/>
                      <w:szCs w:val="21"/>
                      <w:highlight w:val="none"/>
                      <w:u w:val="none" w:color="auto"/>
                    </w:rPr>
                    <w:t>；c.</w:t>
                  </w:r>
                  <w:r>
                    <w:rPr>
                      <w:rFonts w:hint="default" w:ascii="Times New Roman" w:hAnsi="Times New Roman" w:eastAsia="宋体" w:cs="Times New Roman"/>
                      <w:color w:val="auto"/>
                      <w:sz w:val="21"/>
                      <w:szCs w:val="21"/>
                      <w:highlight w:val="none"/>
                      <w:u w:val="none" w:color="auto"/>
                      <w:lang w:val="en-US" w:eastAsia="zh-CN"/>
                    </w:rPr>
                    <w:t>加强极端天气下的生产管理，做好极端天气下的突发环境事件的应对，当极端暴雨天气时，及时安排停产、停止生产废水的产生，避免废水的外溢</w:t>
                  </w:r>
                  <w:r>
                    <w:rPr>
                      <w:rFonts w:hint="default" w:ascii="Times New Roman" w:hAnsi="Times New Roman" w:eastAsia="宋体" w:cs="Times New Roman"/>
                      <w:color w:val="auto"/>
                      <w:sz w:val="21"/>
                      <w:szCs w:val="21"/>
                      <w:highlight w:val="none"/>
                      <w:u w:val="none" w:color="auto"/>
                    </w:rPr>
                    <w:t>；d.当发现废水处理设施有故障时，应当立即停止生产，已产生的废水转排入废水调节池中暂时存放，待废水处理系统正常后再进行处理，而不是直接外排。②</w:t>
                  </w:r>
                  <w:r>
                    <w:rPr>
                      <w:rFonts w:hint="default" w:ascii="Times New Roman" w:hAnsi="Times New Roman" w:eastAsia="宋体" w:cs="Times New Roman"/>
                      <w:color w:val="auto"/>
                      <w:sz w:val="21"/>
                      <w:szCs w:val="21"/>
                      <w:highlight w:val="none"/>
                      <w:u w:val="none" w:color="auto"/>
                      <w:lang w:eastAsia="zh-CN"/>
                    </w:rPr>
                    <w:t>废气超标排放风险防范措施</w:t>
                  </w:r>
                  <w:r>
                    <w:rPr>
                      <w:rFonts w:hint="default" w:ascii="Times New Roman" w:hAnsi="Times New Roman" w:eastAsia="宋体" w:cs="Times New Roman"/>
                      <w:color w:val="auto"/>
                      <w:sz w:val="21"/>
                      <w:szCs w:val="21"/>
                      <w:highlight w:val="none"/>
                      <w:u w:val="none" w:color="auto"/>
                      <w:lang w:val="en-US" w:eastAsia="zh-CN"/>
                    </w:rPr>
                    <w:t>a.</w:t>
                  </w:r>
                  <w:r>
                    <w:rPr>
                      <w:rFonts w:hint="default" w:ascii="Times New Roman" w:hAnsi="Times New Roman" w:eastAsia="宋体" w:cs="Times New Roman"/>
                      <w:color w:val="auto"/>
                      <w:sz w:val="21"/>
                      <w:szCs w:val="21"/>
                      <w:highlight w:val="none"/>
                      <w:u w:val="none" w:color="auto"/>
                    </w:rPr>
                    <w:t>各生产环节严格执行生产管理的有关规定，加强设备的检修和保养，提高管理人员素质，并设置机器事故应急措施及管理制度，确保设备长期处于良好状态，使设备达到预期的处理效果</w:t>
                  </w:r>
                  <w:r>
                    <w:rPr>
                      <w:rFonts w:hint="default" w:ascii="Times New Roman" w:hAnsi="Times New Roman" w:eastAsia="宋体" w:cs="Times New Roman"/>
                      <w:color w:val="auto"/>
                      <w:sz w:val="21"/>
                      <w:szCs w:val="21"/>
                      <w:highlight w:val="none"/>
                      <w:u w:val="none" w:color="auto"/>
                      <w:lang w:eastAsia="zh-CN"/>
                    </w:rPr>
                    <w:t>；</w:t>
                  </w:r>
                  <w:r>
                    <w:rPr>
                      <w:rFonts w:hint="default" w:ascii="Times New Roman" w:hAnsi="Times New Roman" w:eastAsia="宋体" w:cs="Times New Roman"/>
                      <w:color w:val="auto"/>
                      <w:sz w:val="21"/>
                      <w:szCs w:val="21"/>
                      <w:highlight w:val="none"/>
                      <w:u w:val="none" w:color="auto"/>
                      <w:lang w:val="en-US" w:eastAsia="zh-CN"/>
                    </w:rPr>
                    <w:t>b.对废气处理设施的系统、抽风机等设备进行点检工作，并派专人巡视，遇不良工作状况立即停止车间相关作业，维修正常后再开始作业，杜绝事故性废气直排。待检修并确认无障碍后生产车间方可生产。c.加强员工培训，防止员工操作失误导致废气直接排放。</w:t>
                  </w:r>
                  <w:r>
                    <w:rPr>
                      <w:rFonts w:hint="default" w:ascii="Times New Roman" w:hAnsi="Times New Roman" w:eastAsia="宋体" w:cs="Times New Roman"/>
                      <w:color w:val="auto"/>
                      <w:sz w:val="21"/>
                      <w:szCs w:val="21"/>
                      <w:highlight w:val="none"/>
                      <w:u w:val="none" w:color="auto"/>
                      <w:lang w:val="en-US" w:eastAsia="zh-CN"/>
                    </w:rPr>
                    <w:fldChar w:fldCharType="begin"/>
                  </w:r>
                  <w:r>
                    <w:rPr>
                      <w:rFonts w:hint="default" w:ascii="Times New Roman" w:hAnsi="Times New Roman" w:eastAsia="宋体" w:cs="Times New Roman"/>
                      <w:color w:val="auto"/>
                      <w:sz w:val="21"/>
                      <w:szCs w:val="21"/>
                      <w:highlight w:val="none"/>
                      <w:u w:val="none" w:color="auto"/>
                      <w:lang w:val="en-US" w:eastAsia="zh-CN"/>
                    </w:rPr>
                    <w:instrText xml:space="preserve"> = 3 \* GB3 \* MERGEFORMAT </w:instrText>
                  </w:r>
                  <w:r>
                    <w:rPr>
                      <w:rFonts w:hint="default" w:ascii="Times New Roman" w:hAnsi="Times New Roman" w:eastAsia="宋体" w:cs="Times New Roman"/>
                      <w:color w:val="auto"/>
                      <w:sz w:val="21"/>
                      <w:szCs w:val="21"/>
                      <w:highlight w:val="none"/>
                      <w:u w:val="none" w:color="auto"/>
                      <w:lang w:val="en-US" w:eastAsia="zh-CN"/>
                    </w:rPr>
                    <w:fldChar w:fldCharType="separate"/>
                  </w:r>
                  <w:r>
                    <w:rPr>
                      <w:rFonts w:hint="default" w:ascii="Times New Roman" w:hAnsi="Times New Roman" w:eastAsia="宋体" w:cs="Times New Roman"/>
                      <w:color w:val="auto"/>
                      <w:sz w:val="21"/>
                      <w:szCs w:val="21"/>
                      <w:highlight w:val="none"/>
                      <w:u w:val="none" w:color="auto"/>
                    </w:rPr>
                    <w:t>③</w:t>
                  </w:r>
                  <w:r>
                    <w:rPr>
                      <w:rFonts w:hint="default" w:ascii="Times New Roman" w:hAnsi="Times New Roman" w:eastAsia="宋体" w:cs="Times New Roman"/>
                      <w:color w:val="auto"/>
                      <w:sz w:val="21"/>
                      <w:szCs w:val="21"/>
                      <w:highlight w:val="none"/>
                      <w:u w:val="none" w:color="auto"/>
                      <w:lang w:val="en-US" w:eastAsia="zh-CN"/>
                    </w:rPr>
                    <w:fldChar w:fldCharType="end"/>
                  </w:r>
                  <w:r>
                    <w:rPr>
                      <w:rFonts w:hint="default" w:ascii="Times New Roman" w:hAnsi="Times New Roman" w:eastAsia="宋体" w:cs="Times New Roman"/>
                      <w:color w:val="auto"/>
                      <w:sz w:val="21"/>
                      <w:szCs w:val="21"/>
                      <w:highlight w:val="none"/>
                      <w:u w:val="none" w:color="auto"/>
                    </w:rPr>
                    <w:t>火灾次生环境风险防范措施</w:t>
                  </w:r>
                </w:p>
                <w:p w14:paraId="1F5A609D">
                  <w:pPr>
                    <w:pStyle w:val="283"/>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a.按照消防要求进行厂区建设，各建筑均必须满足相应的消防等级要求；b.厂区内配备足够的消防应急物资、消防设施，能够第一时间进行消防响应；c.厂房各车间内均安装火灾烟雾报警器，能在火灾的第一时间做出报警，加快响应速度，降低火灾次生环境风险的污染</w:t>
                  </w:r>
                  <w:r>
                    <w:rPr>
                      <w:rFonts w:hint="default" w:ascii="Times New Roman" w:hAnsi="Times New Roman" w:eastAsia="宋体" w:cs="Times New Roman"/>
                      <w:color w:val="auto"/>
                      <w:sz w:val="21"/>
                      <w:szCs w:val="21"/>
                      <w:highlight w:val="none"/>
                      <w:u w:val="none" w:color="auto"/>
                      <w:lang w:eastAsia="zh-CN"/>
                    </w:rPr>
                    <w:t>。</w:t>
                  </w:r>
                </w:p>
              </w:tc>
            </w:tr>
            <w:tr w14:paraId="7498843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000" w:type="pct"/>
                  <w:gridSpan w:val="5"/>
                  <w:tcBorders>
                    <w:tl2br w:val="nil"/>
                    <w:tr2bl w:val="nil"/>
                  </w:tcBorders>
                  <w:vAlign w:val="center"/>
                </w:tcPr>
                <w:p w14:paraId="3BAA829C">
                  <w:pPr>
                    <w:pStyle w:val="283"/>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填表说明（列出项目相关信息及评价说明）：</w:t>
                  </w:r>
                </w:p>
                <w:p w14:paraId="595CE26E">
                  <w:pPr>
                    <w:pStyle w:val="283"/>
                    <w:rPr>
                      <w:rFonts w:hint="default" w:ascii="Times New Roman" w:hAnsi="Times New Roman" w:eastAsia="宋体" w:cs="Times New Roman"/>
                      <w:color w:val="auto"/>
                      <w:sz w:val="21"/>
                      <w:szCs w:val="21"/>
                      <w:highlight w:val="none"/>
                      <w:u w:val="none" w:color="auto"/>
                    </w:rPr>
                  </w:pPr>
                  <w:r>
                    <w:rPr>
                      <w:rFonts w:hint="eastAsia" w:cs="Times New Roman"/>
                      <w:color w:val="auto"/>
                      <w:sz w:val="21"/>
                      <w:szCs w:val="21"/>
                      <w:highlight w:val="none"/>
                      <w:u w:val="none" w:color="auto"/>
                      <w:lang w:eastAsia="zh-CN"/>
                    </w:rPr>
                    <w:t>本项目</w:t>
                  </w:r>
                  <w:r>
                    <w:rPr>
                      <w:rFonts w:hint="default" w:ascii="Times New Roman" w:hAnsi="Times New Roman" w:eastAsia="宋体" w:cs="Times New Roman"/>
                      <w:color w:val="auto"/>
                      <w:sz w:val="21"/>
                      <w:szCs w:val="21"/>
                      <w:highlight w:val="none"/>
                      <w:u w:val="none" w:color="auto"/>
                    </w:rPr>
                    <w:t>主要的环境风险事故为环保运行设施泄露引发的污染事件，要严格按照操作规范，加强对操作工人的培训，有效减少事故发生。</w:t>
                  </w:r>
                </w:p>
              </w:tc>
            </w:tr>
          </w:tbl>
          <w:p w14:paraId="374CC8CB">
            <w:pPr>
              <w:pStyle w:val="288"/>
              <w:spacing w:line="360" w:lineRule="auto"/>
              <w:ind w:firstLine="482"/>
              <w:rPr>
                <w:rFonts w:hint="default" w:ascii="Times New Roman" w:hAnsi="Times New Roman" w:eastAsia="宋体" w:cs="Times New Roman"/>
                <w:b/>
                <w:bCs/>
                <w:color w:val="auto"/>
                <w:highlight w:val="none"/>
                <w:u w:val="none" w:color="auto"/>
              </w:rPr>
            </w:pPr>
            <w:r>
              <w:rPr>
                <w:rFonts w:hint="default" w:ascii="Times New Roman" w:hAnsi="Times New Roman" w:eastAsia="宋体" w:cs="Times New Roman"/>
                <w:b/>
                <w:bCs/>
                <w:color w:val="auto"/>
                <w:highlight w:val="none"/>
                <w:u w:val="none" w:color="auto"/>
                <w:lang w:val="en-US" w:eastAsia="zh-CN"/>
              </w:rPr>
              <w:t>七</w:t>
            </w:r>
            <w:r>
              <w:rPr>
                <w:rFonts w:hint="default" w:ascii="Times New Roman" w:hAnsi="Times New Roman" w:eastAsia="宋体" w:cs="Times New Roman"/>
                <w:b/>
                <w:bCs/>
                <w:color w:val="auto"/>
                <w:highlight w:val="none"/>
                <w:u w:val="none" w:color="auto"/>
              </w:rPr>
              <w:t>、排污口规范化设置</w:t>
            </w:r>
          </w:p>
          <w:p w14:paraId="44D416C7">
            <w:pPr>
              <w:pStyle w:val="288"/>
              <w:spacing w:line="360" w:lineRule="auto"/>
              <w:ind w:firstLine="482"/>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（1）排污口立标管理</w:t>
            </w:r>
          </w:p>
          <w:p w14:paraId="21678420">
            <w:pPr>
              <w:pStyle w:val="288"/>
              <w:spacing w:line="360" w:lineRule="auto"/>
              <w:ind w:firstLine="482"/>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废气排放口、废水排放口和固体废物堆场应按《环境保护图形标志－排污口（源）》（GBl5562.1-1995）、《环境保护图形标志—固体废物贮存（处置）场》（GB15562.2-1995）及其2023年修改单规定，设置统一制作的环境保护图形标志牌，污染物排放口设置提示性环境保护图形标志牌。</w:t>
            </w:r>
          </w:p>
          <w:p w14:paraId="6EB191D6">
            <w:pPr>
              <w:pStyle w:val="288"/>
              <w:keepNext w:val="0"/>
              <w:keepLines w:val="0"/>
              <w:pageBreakBefore w:val="0"/>
              <w:widowControl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b/>
                <w:bCs/>
                <w:color w:val="auto"/>
                <w:sz w:val="21"/>
                <w:szCs w:val="21"/>
                <w:highlight w:val="none"/>
                <w:u w:val="none" w:color="auto"/>
                <w:lang w:val="en-US" w:eastAsia="zh-CN"/>
              </w:rPr>
              <w:t>表4-</w:t>
            </w:r>
            <w:r>
              <w:rPr>
                <w:rFonts w:hint="eastAsia" w:cs="Times New Roman"/>
                <w:b/>
                <w:bCs/>
                <w:color w:val="auto"/>
                <w:sz w:val="21"/>
                <w:szCs w:val="21"/>
                <w:highlight w:val="none"/>
                <w:u w:val="none" w:color="auto"/>
                <w:lang w:val="en-US" w:eastAsia="zh-CN"/>
              </w:rPr>
              <w:t xml:space="preserve">26 </w:t>
            </w:r>
            <w:r>
              <w:rPr>
                <w:rFonts w:hint="default" w:ascii="Times New Roman" w:hAnsi="Times New Roman" w:eastAsia="宋体" w:cs="Times New Roman"/>
                <w:b/>
                <w:bCs/>
                <w:color w:val="auto"/>
                <w:sz w:val="21"/>
                <w:szCs w:val="21"/>
                <w:highlight w:val="none"/>
                <w:u w:val="none" w:color="auto"/>
                <w:lang w:val="en-US" w:eastAsia="zh-CN"/>
              </w:rPr>
              <w:t>环境保护图形符号一览表</w:t>
            </w:r>
          </w:p>
          <w:tbl>
            <w:tblPr>
              <w:tblStyle w:val="42"/>
              <w:tblW w:w="793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36"/>
              <w:gridCol w:w="1952"/>
              <w:gridCol w:w="2061"/>
              <w:gridCol w:w="1227"/>
              <w:gridCol w:w="2061"/>
            </w:tblGrid>
            <w:tr w14:paraId="2FD53D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36" w:type="dxa"/>
                  <w:noWrap w:val="0"/>
                  <w:vAlign w:val="center"/>
                </w:tcPr>
                <w:p w14:paraId="6A8E0206">
                  <w:pPr>
                    <w:pStyle w:val="28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序号</w:t>
                  </w:r>
                </w:p>
              </w:tc>
              <w:tc>
                <w:tcPr>
                  <w:tcW w:w="1952" w:type="dxa"/>
                  <w:noWrap w:val="0"/>
                  <w:vAlign w:val="center"/>
                </w:tcPr>
                <w:p w14:paraId="59CD267A">
                  <w:pPr>
                    <w:pStyle w:val="28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提示图形符号</w:t>
                  </w:r>
                </w:p>
              </w:tc>
              <w:tc>
                <w:tcPr>
                  <w:tcW w:w="2061" w:type="dxa"/>
                  <w:noWrap w:val="0"/>
                  <w:vAlign w:val="center"/>
                </w:tcPr>
                <w:p w14:paraId="3C999D8E">
                  <w:pPr>
                    <w:pStyle w:val="28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警告图形符号</w:t>
                  </w:r>
                </w:p>
              </w:tc>
              <w:tc>
                <w:tcPr>
                  <w:tcW w:w="1227" w:type="dxa"/>
                  <w:noWrap w:val="0"/>
                  <w:vAlign w:val="center"/>
                </w:tcPr>
                <w:p w14:paraId="48F78296">
                  <w:pPr>
                    <w:pStyle w:val="28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名称</w:t>
                  </w:r>
                </w:p>
              </w:tc>
              <w:tc>
                <w:tcPr>
                  <w:tcW w:w="2061" w:type="dxa"/>
                  <w:noWrap w:val="0"/>
                  <w:vAlign w:val="center"/>
                </w:tcPr>
                <w:p w14:paraId="444F9EAE">
                  <w:pPr>
                    <w:pStyle w:val="28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功能</w:t>
                  </w:r>
                </w:p>
              </w:tc>
            </w:tr>
            <w:tr w14:paraId="4DDE89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36" w:type="dxa"/>
                  <w:noWrap w:val="0"/>
                  <w:vAlign w:val="center"/>
                </w:tcPr>
                <w:p w14:paraId="29E2242B">
                  <w:pPr>
                    <w:pStyle w:val="28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w:t>
                  </w:r>
                </w:p>
              </w:tc>
              <w:tc>
                <w:tcPr>
                  <w:tcW w:w="1952" w:type="dxa"/>
                  <w:noWrap w:val="0"/>
                  <w:vAlign w:val="center"/>
                </w:tcPr>
                <w:p w14:paraId="1186CAFE">
                  <w:pPr>
                    <w:pStyle w:val="28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drawing>
                      <wp:inline distT="0" distB="0" distL="114300" distR="114300">
                        <wp:extent cx="882650" cy="906145"/>
                        <wp:effectExtent l="0" t="0" r="12700" b="8255"/>
                        <wp:docPr id="1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pic:cNvPicPr>
                                  <a:picLocks noChangeAspect="1"/>
                                </pic:cNvPicPr>
                              </pic:nvPicPr>
                              <pic:blipFill>
                                <a:blip r:embed="rId28"/>
                                <a:stretch>
                                  <a:fillRect/>
                                </a:stretch>
                              </pic:blipFill>
                              <pic:spPr>
                                <a:xfrm>
                                  <a:off x="0" y="0"/>
                                  <a:ext cx="882650" cy="906145"/>
                                </a:xfrm>
                                <a:prstGeom prst="rect">
                                  <a:avLst/>
                                </a:prstGeom>
                                <a:noFill/>
                                <a:ln>
                                  <a:noFill/>
                                </a:ln>
                              </pic:spPr>
                            </pic:pic>
                          </a:graphicData>
                        </a:graphic>
                      </wp:inline>
                    </w:drawing>
                  </w:r>
                </w:p>
              </w:tc>
              <w:tc>
                <w:tcPr>
                  <w:tcW w:w="2061" w:type="dxa"/>
                  <w:noWrap w:val="0"/>
                  <w:vAlign w:val="center"/>
                </w:tcPr>
                <w:p w14:paraId="32427A4C">
                  <w:pPr>
                    <w:pStyle w:val="28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drawing>
                      <wp:inline distT="0" distB="0" distL="114300" distR="114300">
                        <wp:extent cx="993775" cy="993775"/>
                        <wp:effectExtent l="0" t="0" r="15875" b="15875"/>
                        <wp:docPr id="1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0"/>
                                <pic:cNvPicPr>
                                  <a:picLocks noChangeAspect="1"/>
                                </pic:cNvPicPr>
                              </pic:nvPicPr>
                              <pic:blipFill>
                                <a:blip r:embed="rId29"/>
                                <a:stretch>
                                  <a:fillRect/>
                                </a:stretch>
                              </pic:blipFill>
                              <pic:spPr>
                                <a:xfrm>
                                  <a:off x="0" y="0"/>
                                  <a:ext cx="993775" cy="993775"/>
                                </a:xfrm>
                                <a:prstGeom prst="rect">
                                  <a:avLst/>
                                </a:prstGeom>
                                <a:noFill/>
                                <a:ln>
                                  <a:noFill/>
                                </a:ln>
                              </pic:spPr>
                            </pic:pic>
                          </a:graphicData>
                        </a:graphic>
                      </wp:inline>
                    </w:drawing>
                  </w:r>
                </w:p>
              </w:tc>
              <w:tc>
                <w:tcPr>
                  <w:tcW w:w="1227" w:type="dxa"/>
                  <w:noWrap w:val="0"/>
                  <w:vAlign w:val="center"/>
                </w:tcPr>
                <w:p w14:paraId="34D4498D">
                  <w:pPr>
                    <w:pStyle w:val="28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废气排放口</w:t>
                  </w:r>
                </w:p>
              </w:tc>
              <w:tc>
                <w:tcPr>
                  <w:tcW w:w="2061" w:type="dxa"/>
                  <w:noWrap w:val="0"/>
                  <w:vAlign w:val="center"/>
                </w:tcPr>
                <w:p w14:paraId="205DBEF6">
                  <w:pPr>
                    <w:pStyle w:val="28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表示废气向大气环境排放</w:t>
                  </w:r>
                </w:p>
              </w:tc>
            </w:tr>
            <w:tr w14:paraId="10D9EA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36" w:type="dxa"/>
                  <w:noWrap w:val="0"/>
                  <w:vAlign w:val="center"/>
                </w:tcPr>
                <w:p w14:paraId="3021A2D6">
                  <w:pPr>
                    <w:pStyle w:val="28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w:t>
                  </w:r>
                </w:p>
              </w:tc>
              <w:tc>
                <w:tcPr>
                  <w:tcW w:w="1952" w:type="dxa"/>
                  <w:noWrap w:val="0"/>
                  <w:vAlign w:val="center"/>
                </w:tcPr>
                <w:p w14:paraId="32D7E312">
                  <w:pPr>
                    <w:pStyle w:val="28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drawing>
                      <wp:inline distT="0" distB="0" distL="114300" distR="114300">
                        <wp:extent cx="880110" cy="887730"/>
                        <wp:effectExtent l="0" t="0" r="15240" b="7620"/>
                        <wp:docPr id="1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1"/>
                                <pic:cNvPicPr>
                                  <a:picLocks noChangeAspect="1"/>
                                </pic:cNvPicPr>
                              </pic:nvPicPr>
                              <pic:blipFill>
                                <a:blip r:embed="rId30"/>
                                <a:stretch>
                                  <a:fillRect/>
                                </a:stretch>
                              </pic:blipFill>
                              <pic:spPr>
                                <a:xfrm>
                                  <a:off x="0" y="0"/>
                                  <a:ext cx="880110" cy="887730"/>
                                </a:xfrm>
                                <a:prstGeom prst="rect">
                                  <a:avLst/>
                                </a:prstGeom>
                                <a:noFill/>
                                <a:ln>
                                  <a:noFill/>
                                </a:ln>
                              </pic:spPr>
                            </pic:pic>
                          </a:graphicData>
                        </a:graphic>
                      </wp:inline>
                    </w:drawing>
                  </w:r>
                </w:p>
              </w:tc>
              <w:tc>
                <w:tcPr>
                  <w:tcW w:w="2061" w:type="dxa"/>
                  <w:noWrap w:val="0"/>
                  <w:vAlign w:val="center"/>
                </w:tcPr>
                <w:p w14:paraId="14C3E96A">
                  <w:pPr>
                    <w:pStyle w:val="28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drawing>
                      <wp:inline distT="0" distB="0" distL="114300" distR="114300">
                        <wp:extent cx="1171575" cy="995045"/>
                        <wp:effectExtent l="0" t="0" r="9525" b="14605"/>
                        <wp:docPr id="1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2"/>
                                <pic:cNvPicPr>
                                  <a:picLocks noChangeAspect="1"/>
                                </pic:cNvPicPr>
                              </pic:nvPicPr>
                              <pic:blipFill>
                                <a:blip r:embed="rId31"/>
                                <a:stretch>
                                  <a:fillRect/>
                                </a:stretch>
                              </pic:blipFill>
                              <pic:spPr>
                                <a:xfrm>
                                  <a:off x="0" y="0"/>
                                  <a:ext cx="1171575" cy="995045"/>
                                </a:xfrm>
                                <a:prstGeom prst="rect">
                                  <a:avLst/>
                                </a:prstGeom>
                                <a:noFill/>
                                <a:ln>
                                  <a:noFill/>
                                </a:ln>
                              </pic:spPr>
                            </pic:pic>
                          </a:graphicData>
                        </a:graphic>
                      </wp:inline>
                    </w:drawing>
                  </w:r>
                </w:p>
              </w:tc>
              <w:tc>
                <w:tcPr>
                  <w:tcW w:w="1227" w:type="dxa"/>
                  <w:noWrap w:val="0"/>
                  <w:vAlign w:val="center"/>
                </w:tcPr>
                <w:p w14:paraId="7A183343">
                  <w:pPr>
                    <w:pStyle w:val="28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噪声排放源</w:t>
                  </w:r>
                </w:p>
              </w:tc>
              <w:tc>
                <w:tcPr>
                  <w:tcW w:w="2061" w:type="dxa"/>
                  <w:noWrap w:val="0"/>
                  <w:vAlign w:val="center"/>
                </w:tcPr>
                <w:p w14:paraId="3124FEB8">
                  <w:pPr>
                    <w:pStyle w:val="28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表示噪声向外环境排放</w:t>
                  </w:r>
                </w:p>
              </w:tc>
            </w:tr>
            <w:tr w14:paraId="7104F0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36" w:type="dxa"/>
                  <w:vMerge w:val="restart"/>
                  <w:noWrap w:val="0"/>
                  <w:vAlign w:val="center"/>
                </w:tcPr>
                <w:p w14:paraId="774FFB1D">
                  <w:pPr>
                    <w:pStyle w:val="28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3</w:t>
                  </w:r>
                </w:p>
              </w:tc>
              <w:tc>
                <w:tcPr>
                  <w:tcW w:w="1952" w:type="dxa"/>
                  <w:vMerge w:val="restart"/>
                  <w:noWrap w:val="0"/>
                  <w:vAlign w:val="center"/>
                </w:tcPr>
                <w:p w14:paraId="5C306560">
                  <w:pPr>
                    <w:pStyle w:val="28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drawing>
                      <wp:inline distT="0" distB="0" distL="114300" distR="114300">
                        <wp:extent cx="906145" cy="914400"/>
                        <wp:effectExtent l="0" t="0" r="8255" b="0"/>
                        <wp:docPr id="1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3"/>
                                <pic:cNvPicPr>
                                  <a:picLocks noChangeAspect="1"/>
                                </pic:cNvPicPr>
                              </pic:nvPicPr>
                              <pic:blipFill>
                                <a:blip r:embed="rId32"/>
                                <a:stretch>
                                  <a:fillRect/>
                                </a:stretch>
                              </pic:blipFill>
                              <pic:spPr>
                                <a:xfrm>
                                  <a:off x="0" y="0"/>
                                  <a:ext cx="906145" cy="914400"/>
                                </a:xfrm>
                                <a:prstGeom prst="rect">
                                  <a:avLst/>
                                </a:prstGeom>
                                <a:noFill/>
                                <a:ln>
                                  <a:noFill/>
                                </a:ln>
                              </pic:spPr>
                            </pic:pic>
                          </a:graphicData>
                        </a:graphic>
                      </wp:inline>
                    </w:drawing>
                  </w:r>
                </w:p>
              </w:tc>
              <w:tc>
                <w:tcPr>
                  <w:tcW w:w="2061" w:type="dxa"/>
                  <w:noWrap w:val="0"/>
                  <w:vAlign w:val="center"/>
                </w:tcPr>
                <w:p w14:paraId="2D3C185C">
                  <w:pPr>
                    <w:pStyle w:val="28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drawing>
                      <wp:inline distT="0" distB="0" distL="114300" distR="114300">
                        <wp:extent cx="1017905" cy="954405"/>
                        <wp:effectExtent l="0" t="0" r="10795" b="17145"/>
                        <wp:docPr id="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4"/>
                                <pic:cNvPicPr>
                                  <a:picLocks noChangeAspect="1"/>
                                </pic:cNvPicPr>
                              </pic:nvPicPr>
                              <pic:blipFill>
                                <a:blip r:embed="rId33"/>
                                <a:stretch>
                                  <a:fillRect/>
                                </a:stretch>
                              </pic:blipFill>
                              <pic:spPr>
                                <a:xfrm>
                                  <a:off x="0" y="0"/>
                                  <a:ext cx="1017905" cy="954405"/>
                                </a:xfrm>
                                <a:prstGeom prst="rect">
                                  <a:avLst/>
                                </a:prstGeom>
                                <a:noFill/>
                                <a:ln>
                                  <a:noFill/>
                                </a:ln>
                              </pic:spPr>
                            </pic:pic>
                          </a:graphicData>
                        </a:graphic>
                      </wp:inline>
                    </w:drawing>
                  </w:r>
                </w:p>
              </w:tc>
              <w:tc>
                <w:tcPr>
                  <w:tcW w:w="1227" w:type="dxa"/>
                  <w:noWrap w:val="0"/>
                  <w:vAlign w:val="center"/>
                </w:tcPr>
                <w:p w14:paraId="2FFC1F8B">
                  <w:pPr>
                    <w:pStyle w:val="28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一般固体废物</w:t>
                  </w:r>
                </w:p>
              </w:tc>
              <w:tc>
                <w:tcPr>
                  <w:tcW w:w="2061" w:type="dxa"/>
                  <w:vMerge w:val="restart"/>
                  <w:noWrap w:val="0"/>
                  <w:vAlign w:val="center"/>
                </w:tcPr>
                <w:p w14:paraId="5674FFC2">
                  <w:pPr>
                    <w:pStyle w:val="28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表示固体废物贮存、处置场</w:t>
                  </w:r>
                </w:p>
              </w:tc>
            </w:tr>
            <w:tr w14:paraId="786582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636" w:type="dxa"/>
                  <w:vMerge w:val="continue"/>
                  <w:noWrap w:val="0"/>
                  <w:vAlign w:val="center"/>
                </w:tcPr>
                <w:p w14:paraId="00A71382">
                  <w:pPr>
                    <w:pStyle w:val="28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rPr>
                  </w:pPr>
                </w:p>
              </w:tc>
              <w:tc>
                <w:tcPr>
                  <w:tcW w:w="1952" w:type="dxa"/>
                  <w:vMerge w:val="continue"/>
                  <w:noWrap w:val="0"/>
                  <w:vAlign w:val="center"/>
                </w:tcPr>
                <w:p w14:paraId="11754E8C">
                  <w:pPr>
                    <w:pStyle w:val="28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rPr>
                  </w:pPr>
                </w:p>
              </w:tc>
              <w:tc>
                <w:tcPr>
                  <w:tcW w:w="2061" w:type="dxa"/>
                  <w:noWrap w:val="0"/>
                  <w:vAlign w:val="center"/>
                </w:tcPr>
                <w:p w14:paraId="271D5025">
                  <w:pPr>
                    <w:pStyle w:val="28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drawing>
                      <wp:inline distT="0" distB="0" distL="114300" distR="114300">
                        <wp:extent cx="1060450" cy="904240"/>
                        <wp:effectExtent l="0" t="0" r="6350" b="10160"/>
                        <wp:docPr id="2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5"/>
                                <pic:cNvPicPr>
                                  <a:picLocks noChangeAspect="1"/>
                                </pic:cNvPicPr>
                              </pic:nvPicPr>
                              <pic:blipFill>
                                <a:blip r:embed="rId34"/>
                                <a:stretch>
                                  <a:fillRect/>
                                </a:stretch>
                              </pic:blipFill>
                              <pic:spPr>
                                <a:xfrm>
                                  <a:off x="0" y="0"/>
                                  <a:ext cx="1060450" cy="904240"/>
                                </a:xfrm>
                                <a:prstGeom prst="rect">
                                  <a:avLst/>
                                </a:prstGeom>
                                <a:noFill/>
                                <a:ln>
                                  <a:noFill/>
                                </a:ln>
                              </pic:spPr>
                            </pic:pic>
                          </a:graphicData>
                        </a:graphic>
                      </wp:inline>
                    </w:drawing>
                  </w:r>
                </w:p>
              </w:tc>
              <w:tc>
                <w:tcPr>
                  <w:tcW w:w="1227" w:type="dxa"/>
                  <w:noWrap w:val="0"/>
                  <w:vAlign w:val="center"/>
                </w:tcPr>
                <w:p w14:paraId="658D209C">
                  <w:pPr>
                    <w:pStyle w:val="288"/>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危险废物</w:t>
                  </w:r>
                </w:p>
              </w:tc>
              <w:tc>
                <w:tcPr>
                  <w:tcW w:w="2061" w:type="dxa"/>
                  <w:vMerge w:val="continue"/>
                  <w:noWrap w:val="0"/>
                  <w:vAlign w:val="center"/>
                </w:tcPr>
                <w:p w14:paraId="3A449463">
                  <w:pPr>
                    <w:pStyle w:val="288"/>
                    <w:keepNext w:val="0"/>
                    <w:keepLines w:val="0"/>
                    <w:pageBreakBefore w:val="0"/>
                    <w:widowControl w:val="0"/>
                    <w:kinsoku/>
                    <w:wordWrap/>
                    <w:overflowPunct/>
                    <w:topLinePunct w:val="0"/>
                    <w:autoSpaceDE/>
                    <w:autoSpaceDN/>
                    <w:bidi w:val="0"/>
                    <w:adjustRightInd/>
                    <w:snapToGrid/>
                    <w:spacing w:line="240" w:lineRule="auto"/>
                    <w:ind w:firstLine="482"/>
                    <w:jc w:val="center"/>
                    <w:textAlignment w:val="auto"/>
                    <w:rPr>
                      <w:rFonts w:hint="default" w:ascii="Times New Roman" w:hAnsi="Times New Roman" w:eastAsia="宋体" w:cs="Times New Roman"/>
                      <w:color w:val="auto"/>
                      <w:sz w:val="21"/>
                      <w:szCs w:val="21"/>
                      <w:highlight w:val="none"/>
                      <w:u w:val="none" w:color="auto"/>
                    </w:rPr>
                  </w:pPr>
                </w:p>
              </w:tc>
            </w:tr>
          </w:tbl>
          <w:p w14:paraId="5ACE7A4B">
            <w:pPr>
              <w:pStyle w:val="288"/>
              <w:spacing w:line="360" w:lineRule="auto"/>
              <w:ind w:firstLine="482"/>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（2）排污口建档管理</w:t>
            </w:r>
          </w:p>
          <w:p w14:paraId="32CA1B39">
            <w:pPr>
              <w:pStyle w:val="288"/>
              <w:spacing w:line="360" w:lineRule="auto"/>
              <w:ind w:firstLine="482"/>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项目建成后，使用国家环保部门统一印制的《中华人民共和国规范化排污口标志登记证》，并按要求填写有关内容，项目建成后，应将主要污染物种类、数量、浓度、排放去向、立标情况及设施运行情况记录于档案。</w:t>
            </w:r>
          </w:p>
          <w:p w14:paraId="3FA42D0F">
            <w:pPr>
              <w:pStyle w:val="288"/>
              <w:spacing w:line="360" w:lineRule="auto"/>
              <w:ind w:firstLine="482"/>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（3）废气采样口及平台设置规范</w:t>
            </w:r>
          </w:p>
          <w:p w14:paraId="5B569860">
            <w:pPr>
              <w:pStyle w:val="288"/>
              <w:spacing w:line="360" w:lineRule="auto"/>
              <w:ind w:firstLine="482"/>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本项目共设置</w:t>
            </w:r>
            <w:r>
              <w:rPr>
                <w:rFonts w:hint="eastAsia" w:cs="Times New Roman"/>
                <w:color w:val="auto"/>
                <w:highlight w:val="none"/>
                <w:u w:val="none" w:color="auto"/>
                <w:lang w:val="en-US" w:eastAsia="zh-CN"/>
              </w:rPr>
              <w:t>3</w:t>
            </w:r>
            <w:r>
              <w:rPr>
                <w:rFonts w:hint="default" w:ascii="Times New Roman" w:hAnsi="Times New Roman" w:eastAsia="宋体" w:cs="Times New Roman"/>
                <w:color w:val="auto"/>
                <w:highlight w:val="none"/>
                <w:u w:val="none" w:color="auto"/>
                <w:lang w:val="en-US" w:eastAsia="zh-CN"/>
              </w:rPr>
              <w:t>根排气筒，设置</w:t>
            </w:r>
            <w:r>
              <w:rPr>
                <w:rFonts w:hint="eastAsia" w:cs="Times New Roman"/>
                <w:color w:val="auto"/>
                <w:highlight w:val="none"/>
                <w:u w:val="none" w:color="auto"/>
                <w:lang w:val="en-US" w:eastAsia="zh-CN"/>
              </w:rPr>
              <w:t>3</w:t>
            </w:r>
            <w:r>
              <w:rPr>
                <w:rFonts w:hint="default" w:ascii="Times New Roman" w:hAnsi="Times New Roman" w:eastAsia="宋体" w:cs="Times New Roman"/>
                <w:color w:val="auto"/>
                <w:highlight w:val="none"/>
                <w:u w:val="none" w:color="auto"/>
                <w:lang w:val="en-US" w:eastAsia="zh-CN"/>
              </w:rPr>
              <w:t>个有组织废气排放口。</w:t>
            </w:r>
          </w:p>
          <w:p w14:paraId="0505578A">
            <w:pPr>
              <w:pStyle w:val="288"/>
              <w:spacing w:line="360" w:lineRule="auto"/>
              <w:ind w:firstLine="482"/>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排污口管理的原则：</w:t>
            </w:r>
          </w:p>
          <w:p w14:paraId="178DC1FB">
            <w:pPr>
              <w:pStyle w:val="288"/>
              <w:spacing w:line="360" w:lineRule="auto"/>
              <w:ind w:firstLine="482"/>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①向环境排放污染物的排污口必须规范化。</w:t>
            </w:r>
          </w:p>
          <w:p w14:paraId="52B97CE1">
            <w:pPr>
              <w:pStyle w:val="288"/>
              <w:spacing w:line="360" w:lineRule="auto"/>
              <w:ind w:firstLine="482"/>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②列入总量控制指标的排污口为管理重点。</w:t>
            </w:r>
          </w:p>
          <w:p w14:paraId="38177123">
            <w:pPr>
              <w:pStyle w:val="288"/>
              <w:spacing w:line="360" w:lineRule="auto"/>
              <w:ind w:firstLine="482"/>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③排污口应便于采样与计量监测，便于日常监督检查。</w:t>
            </w:r>
          </w:p>
          <w:p w14:paraId="3AA15B6C">
            <w:pPr>
              <w:pStyle w:val="288"/>
              <w:spacing w:line="360" w:lineRule="auto"/>
              <w:ind w:firstLine="482"/>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参考《排污单位污染物排放口监测点位设置技术规范》（HJ1405—2024）中“4废气排放口监测点位设置技术要求”，本项目废气排污口的技术要求如下：</w:t>
            </w:r>
          </w:p>
          <w:p w14:paraId="300F0AE1">
            <w:pPr>
              <w:pStyle w:val="288"/>
              <w:spacing w:line="360" w:lineRule="auto"/>
              <w:ind w:firstLine="482"/>
              <w:rPr>
                <w:rFonts w:hint="default" w:ascii="Times New Roman" w:hAnsi="Times New Roman" w:eastAsia="宋体" w:cs="Times New Roman"/>
                <w:color w:val="auto"/>
                <w:highlight w:val="none"/>
                <w:u w:val="none" w:color="auto"/>
                <w:lang w:val="en-US" w:eastAsia="zh-CN"/>
              </w:rPr>
            </w:pPr>
            <w:r>
              <w:rPr>
                <w:rFonts w:hint="eastAsia" w:cs="Times New Roman"/>
                <w:color w:val="auto"/>
                <w:highlight w:val="none"/>
                <w:u w:val="none" w:color="auto"/>
                <w:lang w:val="en-US" w:eastAsia="zh-CN"/>
              </w:rPr>
              <w:t>1）</w:t>
            </w:r>
            <w:r>
              <w:rPr>
                <w:rFonts w:hint="default" w:ascii="Times New Roman" w:hAnsi="Times New Roman" w:eastAsia="宋体" w:cs="Times New Roman"/>
                <w:color w:val="auto"/>
                <w:highlight w:val="none"/>
                <w:u w:val="none" w:color="auto"/>
                <w:lang w:val="en-US" w:eastAsia="zh-CN"/>
              </w:rPr>
              <w:t>一般要求</w:t>
            </w:r>
          </w:p>
          <w:p w14:paraId="7732D454">
            <w:pPr>
              <w:pStyle w:val="288"/>
              <w:spacing w:line="360" w:lineRule="auto"/>
              <w:ind w:firstLine="482"/>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①应在废气排放口设置科学、规范、便于采样监测的监测点位，避开对测试人员操作有危险的场所。</w:t>
            </w:r>
          </w:p>
          <w:p w14:paraId="751D4768">
            <w:pPr>
              <w:pStyle w:val="288"/>
              <w:spacing w:line="360" w:lineRule="auto"/>
              <w:ind w:firstLine="482"/>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②在流场均匀稳定的监测断面规范开设监测孔，设置工作平台、梯架及相应安全防护设施等。</w:t>
            </w:r>
          </w:p>
          <w:p w14:paraId="1AA4B2B0">
            <w:pPr>
              <w:pStyle w:val="288"/>
              <w:spacing w:line="360" w:lineRule="auto"/>
              <w:ind w:firstLine="482"/>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2）监测断面要求</w:t>
            </w:r>
          </w:p>
          <w:p w14:paraId="6284D02D">
            <w:pPr>
              <w:pStyle w:val="288"/>
              <w:spacing w:line="360" w:lineRule="auto"/>
              <w:ind w:firstLine="482"/>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①手工监测断面应设置在规则的圆形、矩形排气筒/烟道上的竖直段或水平段，并避开拉筋等影响监测的内部结构件。</w:t>
            </w:r>
          </w:p>
          <w:p w14:paraId="25783E35">
            <w:pPr>
              <w:pStyle w:val="288"/>
              <w:spacing w:line="360" w:lineRule="auto"/>
              <w:ind w:firstLine="482"/>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②手工监测断面宜设置在排气筒/烟道的负压段，相关标准有特殊要求的除外。</w:t>
            </w:r>
          </w:p>
          <w:p w14:paraId="06250326">
            <w:pPr>
              <w:pStyle w:val="288"/>
              <w:spacing w:line="360" w:lineRule="auto"/>
              <w:ind w:firstLine="482"/>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③手工监测断面设置位置应满足，其按照气流方向的上游距离弯头、阀门、变径管≥4倍烟道直径，其下游距离上述部件≥2倍烟道直径；对无法满足上述要求的，应尽可能选择流场均匀稳定的监测断面，避开涡流区，并采取相应措施保证监测断面废气分布相对均匀，断面无紊流，流速相对均方差σr≤0.15。</w:t>
            </w:r>
          </w:p>
          <w:p w14:paraId="5A2BC209">
            <w:pPr>
              <w:pStyle w:val="288"/>
              <w:spacing w:line="360" w:lineRule="auto"/>
              <w:ind w:firstLine="482"/>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3）监测孔要求</w:t>
            </w:r>
          </w:p>
          <w:p w14:paraId="09A67B2B">
            <w:pPr>
              <w:pStyle w:val="288"/>
              <w:spacing w:line="360" w:lineRule="auto"/>
              <w:ind w:firstLine="482"/>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fldChar w:fldCharType="begin"/>
            </w:r>
            <w:r>
              <w:rPr>
                <w:rFonts w:hint="default" w:ascii="Times New Roman" w:hAnsi="Times New Roman" w:eastAsia="宋体" w:cs="Times New Roman"/>
                <w:color w:val="auto"/>
                <w:highlight w:val="none"/>
                <w:u w:val="none" w:color="auto"/>
                <w:lang w:val="en-US" w:eastAsia="zh-CN"/>
              </w:rPr>
              <w:instrText xml:space="preserve"> = 1 \* GB3 \* MERGEFORMAT </w:instrText>
            </w:r>
            <w:r>
              <w:rPr>
                <w:rFonts w:hint="default" w:ascii="Times New Roman" w:hAnsi="Times New Roman" w:eastAsia="宋体" w:cs="Times New Roman"/>
                <w:color w:val="auto"/>
                <w:highlight w:val="none"/>
                <w:u w:val="none" w:color="auto"/>
                <w:lang w:val="en-US" w:eastAsia="zh-CN"/>
              </w:rPr>
              <w:fldChar w:fldCharType="separate"/>
            </w:r>
            <w:r>
              <w:rPr>
                <w:rFonts w:hint="default" w:ascii="Times New Roman" w:hAnsi="Times New Roman" w:eastAsia="宋体" w:cs="Times New Roman"/>
                <w:color w:val="auto"/>
                <w:highlight w:val="none"/>
                <w:u w:val="none" w:color="auto"/>
              </w:rPr>
              <w:t>①</w:t>
            </w:r>
            <w:r>
              <w:rPr>
                <w:rFonts w:hint="default" w:ascii="Times New Roman" w:hAnsi="Times New Roman" w:eastAsia="宋体" w:cs="Times New Roman"/>
                <w:color w:val="auto"/>
                <w:highlight w:val="none"/>
                <w:u w:val="none" w:color="auto"/>
                <w:lang w:val="en-US" w:eastAsia="zh-CN"/>
              </w:rPr>
              <w:fldChar w:fldCharType="end"/>
            </w:r>
            <w:r>
              <w:rPr>
                <w:rFonts w:hint="default" w:ascii="Times New Roman" w:hAnsi="Times New Roman" w:eastAsia="宋体" w:cs="Times New Roman"/>
                <w:color w:val="auto"/>
                <w:highlight w:val="none"/>
                <w:u w:val="none" w:color="auto"/>
                <w:lang w:val="en-US" w:eastAsia="zh-CN"/>
              </w:rPr>
              <w:t>在手工监测断面处设置手工监测孔，其内径应满足相关污染物和排气参数的监测需要，一般应≥80mm。</w:t>
            </w:r>
          </w:p>
          <w:p w14:paraId="075FE1E2">
            <w:pPr>
              <w:pStyle w:val="288"/>
              <w:spacing w:line="360" w:lineRule="auto"/>
              <w:ind w:firstLine="482"/>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fldChar w:fldCharType="begin"/>
            </w:r>
            <w:r>
              <w:rPr>
                <w:rFonts w:hint="default" w:ascii="Times New Roman" w:hAnsi="Times New Roman" w:eastAsia="宋体" w:cs="Times New Roman"/>
                <w:color w:val="auto"/>
                <w:highlight w:val="none"/>
                <w:u w:val="none" w:color="auto"/>
                <w:lang w:val="en-US" w:eastAsia="zh-CN"/>
              </w:rPr>
              <w:instrText xml:space="preserve"> = 2 \* GB3 \* MERGEFORMAT </w:instrText>
            </w:r>
            <w:r>
              <w:rPr>
                <w:rFonts w:hint="default" w:ascii="Times New Roman" w:hAnsi="Times New Roman" w:eastAsia="宋体" w:cs="Times New Roman"/>
                <w:color w:val="auto"/>
                <w:highlight w:val="none"/>
                <w:u w:val="none" w:color="auto"/>
                <w:lang w:val="en-US" w:eastAsia="zh-CN"/>
              </w:rPr>
              <w:fldChar w:fldCharType="separate"/>
            </w:r>
            <w:r>
              <w:rPr>
                <w:rFonts w:hint="default" w:ascii="Times New Roman" w:hAnsi="Times New Roman" w:eastAsia="宋体" w:cs="Times New Roman"/>
                <w:color w:val="auto"/>
                <w:highlight w:val="none"/>
                <w:u w:val="none" w:color="auto"/>
              </w:rPr>
              <w:t>②</w:t>
            </w:r>
            <w:r>
              <w:rPr>
                <w:rFonts w:hint="default" w:ascii="Times New Roman" w:hAnsi="Times New Roman" w:eastAsia="宋体" w:cs="Times New Roman"/>
                <w:color w:val="auto"/>
                <w:highlight w:val="none"/>
                <w:u w:val="none" w:color="auto"/>
                <w:lang w:val="en-US" w:eastAsia="zh-CN"/>
              </w:rPr>
              <w:fldChar w:fldCharType="end"/>
            </w:r>
            <w:r>
              <w:rPr>
                <w:rFonts w:hint="default" w:ascii="Times New Roman" w:hAnsi="Times New Roman" w:eastAsia="宋体" w:cs="Times New Roman"/>
                <w:color w:val="auto"/>
                <w:highlight w:val="none"/>
                <w:u w:val="none" w:color="auto"/>
                <w:lang w:val="en-US" w:eastAsia="zh-CN"/>
              </w:rPr>
              <w:t>手工监测孔应符合排气筒/烟道的密封要求，封闭形式宜优先参照HG/T21533、HG/T21534、HG/T21535设计为快开方式。采用盖板、管堵或管帽等封闭的，应在监测时便于开启。</w:t>
            </w:r>
          </w:p>
          <w:p w14:paraId="0A339F6D">
            <w:pPr>
              <w:pStyle w:val="288"/>
              <w:spacing w:line="360" w:lineRule="auto"/>
              <w:ind w:firstLine="482"/>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fldChar w:fldCharType="begin"/>
            </w:r>
            <w:r>
              <w:rPr>
                <w:rFonts w:hint="default" w:ascii="Times New Roman" w:hAnsi="Times New Roman" w:eastAsia="宋体" w:cs="Times New Roman"/>
                <w:color w:val="auto"/>
                <w:highlight w:val="none"/>
                <w:u w:val="none" w:color="auto"/>
                <w:lang w:val="en-US" w:eastAsia="zh-CN"/>
              </w:rPr>
              <w:instrText xml:space="preserve"> = 3 \* GB3 \* MERGEFORMAT </w:instrText>
            </w:r>
            <w:r>
              <w:rPr>
                <w:rFonts w:hint="default" w:ascii="Times New Roman" w:hAnsi="Times New Roman" w:eastAsia="宋体" w:cs="Times New Roman"/>
                <w:color w:val="auto"/>
                <w:highlight w:val="none"/>
                <w:u w:val="none" w:color="auto"/>
                <w:lang w:val="en-US" w:eastAsia="zh-CN"/>
              </w:rPr>
              <w:fldChar w:fldCharType="separate"/>
            </w:r>
            <w:r>
              <w:rPr>
                <w:rFonts w:hint="default" w:ascii="Times New Roman" w:hAnsi="Times New Roman" w:eastAsia="宋体" w:cs="Times New Roman"/>
                <w:color w:val="auto"/>
                <w:highlight w:val="none"/>
                <w:u w:val="none" w:color="auto"/>
              </w:rPr>
              <w:t>③</w:t>
            </w:r>
            <w:r>
              <w:rPr>
                <w:rFonts w:hint="default" w:ascii="Times New Roman" w:hAnsi="Times New Roman" w:eastAsia="宋体" w:cs="Times New Roman"/>
                <w:color w:val="auto"/>
                <w:highlight w:val="none"/>
                <w:u w:val="none" w:color="auto"/>
                <w:lang w:val="en-US" w:eastAsia="zh-CN"/>
              </w:rPr>
              <w:fldChar w:fldCharType="end"/>
            </w:r>
            <w:r>
              <w:rPr>
                <w:rFonts w:hint="default" w:ascii="Times New Roman" w:hAnsi="Times New Roman" w:eastAsia="宋体" w:cs="Times New Roman"/>
                <w:color w:val="auto"/>
                <w:highlight w:val="none"/>
                <w:u w:val="none" w:color="auto"/>
                <w:lang w:val="en-US" w:eastAsia="zh-CN"/>
              </w:rPr>
              <w:t>对正压下输送高温或有毒有害气体的排气筒/烟道，应安装带有闸板阀的密封防喷监测孔。其他形式的手工监测孔外沿距离排气筒/烟道或保温层外壁距离应≤50mm。</w:t>
            </w:r>
          </w:p>
          <w:p w14:paraId="680D8FAB">
            <w:pPr>
              <w:pStyle w:val="288"/>
              <w:spacing w:line="360" w:lineRule="auto"/>
              <w:ind w:firstLine="482"/>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fldChar w:fldCharType="begin"/>
            </w:r>
            <w:r>
              <w:rPr>
                <w:rFonts w:hint="default" w:ascii="Times New Roman" w:hAnsi="Times New Roman" w:eastAsia="宋体" w:cs="Times New Roman"/>
                <w:color w:val="auto"/>
                <w:highlight w:val="none"/>
                <w:u w:val="none" w:color="auto"/>
                <w:lang w:val="en-US" w:eastAsia="zh-CN"/>
              </w:rPr>
              <w:instrText xml:space="preserve"> = 4 \* GB3 \* MERGEFORMAT </w:instrText>
            </w:r>
            <w:r>
              <w:rPr>
                <w:rFonts w:hint="default" w:ascii="Times New Roman" w:hAnsi="Times New Roman" w:eastAsia="宋体" w:cs="Times New Roman"/>
                <w:color w:val="auto"/>
                <w:highlight w:val="none"/>
                <w:u w:val="none" w:color="auto"/>
                <w:lang w:val="en-US" w:eastAsia="zh-CN"/>
              </w:rPr>
              <w:fldChar w:fldCharType="separate"/>
            </w:r>
            <w:r>
              <w:rPr>
                <w:rFonts w:hint="default" w:ascii="Times New Roman" w:hAnsi="Times New Roman" w:eastAsia="宋体" w:cs="Times New Roman"/>
                <w:color w:val="auto"/>
                <w:highlight w:val="none"/>
                <w:u w:val="none" w:color="auto"/>
              </w:rPr>
              <w:t>④</w:t>
            </w:r>
            <w:r>
              <w:rPr>
                <w:rFonts w:hint="default" w:ascii="Times New Roman" w:hAnsi="Times New Roman" w:eastAsia="宋体" w:cs="Times New Roman"/>
                <w:color w:val="auto"/>
                <w:highlight w:val="none"/>
                <w:u w:val="none" w:color="auto"/>
                <w:lang w:val="en-US" w:eastAsia="zh-CN"/>
              </w:rPr>
              <w:fldChar w:fldCharType="end"/>
            </w:r>
            <w:r>
              <w:rPr>
                <w:rFonts w:hint="default" w:ascii="Times New Roman" w:hAnsi="Times New Roman" w:eastAsia="宋体" w:cs="Times New Roman"/>
                <w:color w:val="auto"/>
                <w:highlight w:val="none"/>
                <w:u w:val="none" w:color="auto"/>
                <w:lang w:val="en-US" w:eastAsia="zh-CN"/>
              </w:rPr>
              <w:t>法兰、闸板阀等部件伸入排气筒/烟道部分应与其内壁平齐。</w:t>
            </w:r>
          </w:p>
          <w:p w14:paraId="5B308E46">
            <w:pPr>
              <w:pStyle w:val="288"/>
              <w:spacing w:line="360" w:lineRule="auto"/>
              <w:ind w:firstLine="482"/>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fldChar w:fldCharType="begin"/>
            </w:r>
            <w:r>
              <w:rPr>
                <w:rFonts w:hint="default" w:ascii="Times New Roman" w:hAnsi="Times New Roman" w:eastAsia="宋体" w:cs="Times New Roman"/>
                <w:color w:val="auto"/>
                <w:highlight w:val="none"/>
                <w:u w:val="none" w:color="auto"/>
                <w:lang w:val="en-US" w:eastAsia="zh-CN"/>
              </w:rPr>
              <w:instrText xml:space="preserve"> = 5 \* GB3 \* MERGEFORMAT </w:instrText>
            </w:r>
            <w:r>
              <w:rPr>
                <w:rFonts w:hint="default" w:ascii="Times New Roman" w:hAnsi="Times New Roman" w:eastAsia="宋体" w:cs="Times New Roman"/>
                <w:color w:val="auto"/>
                <w:highlight w:val="none"/>
                <w:u w:val="none" w:color="auto"/>
                <w:lang w:val="en-US" w:eastAsia="zh-CN"/>
              </w:rPr>
              <w:fldChar w:fldCharType="separate"/>
            </w:r>
            <w:r>
              <w:rPr>
                <w:rFonts w:hint="default" w:ascii="Times New Roman" w:hAnsi="Times New Roman" w:eastAsia="宋体" w:cs="Times New Roman"/>
                <w:color w:val="auto"/>
                <w:highlight w:val="none"/>
                <w:u w:val="none" w:color="auto"/>
              </w:rPr>
              <w:t>⑤</w:t>
            </w:r>
            <w:r>
              <w:rPr>
                <w:rFonts w:hint="default" w:ascii="Times New Roman" w:hAnsi="Times New Roman" w:eastAsia="宋体" w:cs="Times New Roman"/>
                <w:color w:val="auto"/>
                <w:highlight w:val="none"/>
                <w:u w:val="none" w:color="auto"/>
                <w:lang w:val="en-US" w:eastAsia="zh-CN"/>
              </w:rPr>
              <w:fldChar w:fldCharType="end"/>
            </w:r>
            <w:r>
              <w:rPr>
                <w:rFonts w:hint="default" w:ascii="Times New Roman" w:hAnsi="Times New Roman" w:eastAsia="宋体" w:cs="Times New Roman"/>
                <w:color w:val="auto"/>
                <w:highlight w:val="none"/>
                <w:u w:val="none" w:color="auto"/>
                <w:lang w:val="en-US" w:eastAsia="zh-CN"/>
              </w:rPr>
              <w:t>圆形竖直排气筒/烟道直径D≤1m时，至少设置1个手工监测孔，手工监测孔应设在直径线上。</w:t>
            </w:r>
          </w:p>
          <w:p w14:paraId="1FFB7263">
            <w:pPr>
              <w:pStyle w:val="288"/>
              <w:spacing w:line="360" w:lineRule="auto"/>
              <w:ind w:firstLine="482"/>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工作平台要求</w:t>
            </w:r>
          </w:p>
          <w:p w14:paraId="750AAD2D">
            <w:pPr>
              <w:pStyle w:val="288"/>
              <w:spacing w:line="360" w:lineRule="auto"/>
              <w:ind w:firstLine="482"/>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①一般要求</w:t>
            </w:r>
          </w:p>
          <w:p w14:paraId="1BBB7397">
            <w:pPr>
              <w:pStyle w:val="288"/>
              <w:spacing w:line="360" w:lineRule="auto"/>
              <w:ind w:firstLine="482"/>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监测断面距离坠落高度基准面2m以上时，应配套建设永久、安全、便于采样和测试的工作平台。</w:t>
            </w:r>
          </w:p>
          <w:p w14:paraId="47C77350">
            <w:pPr>
              <w:pStyle w:val="288"/>
              <w:spacing w:line="360" w:lineRule="auto"/>
              <w:ind w:firstLine="482"/>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除在水平烟道顶部开设监测孔外，工作平台宜设置在监测孔的正下方1.2m~1.3m处。</w:t>
            </w:r>
          </w:p>
          <w:p w14:paraId="6EE8C3A4">
            <w:pPr>
              <w:pStyle w:val="288"/>
              <w:spacing w:line="360" w:lineRule="auto"/>
              <w:ind w:firstLine="482"/>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②结构要求</w:t>
            </w:r>
          </w:p>
          <w:p w14:paraId="73E19161">
            <w:pPr>
              <w:pStyle w:val="288"/>
              <w:spacing w:line="360" w:lineRule="auto"/>
              <w:ind w:firstLine="482"/>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工作平台长度应≥2m，宽度应保证人员及采样探杆操作的空间。对于监测断面直径（圆形）或者在监测孔方向的长度（矩形）&gt;1m的，工作平台宽度应≥2m；≤1m的，工作平台宽度应≥1.5m。</w:t>
            </w:r>
          </w:p>
          <w:p w14:paraId="3946D388">
            <w:pPr>
              <w:pStyle w:val="288"/>
              <w:spacing w:line="360" w:lineRule="auto"/>
              <w:ind w:firstLine="482"/>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单层工作平台及通道上方竖直方向净高应≥2m，需设置多层工作平台的，每层净高应≥1.9m。</w:t>
            </w:r>
          </w:p>
          <w:p w14:paraId="62748A7C">
            <w:pPr>
              <w:pStyle w:val="288"/>
              <w:spacing w:line="360" w:lineRule="auto"/>
              <w:ind w:firstLine="482"/>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工作平台宜采用厚度≥4mm的花纹钢板或经防滑处理的钢板铺装，相邻钢板不应搭接，上表面的高度差应≤4mm，载荷满足GB4053.3要求。</w:t>
            </w:r>
          </w:p>
          <w:p w14:paraId="4C15ED30">
            <w:pPr>
              <w:pStyle w:val="288"/>
              <w:spacing w:line="360" w:lineRule="auto"/>
              <w:ind w:firstLine="482"/>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工作平台与竖直烟道/排气筒的间隙距离≤10mm。</w:t>
            </w:r>
          </w:p>
          <w:p w14:paraId="1766CF4A">
            <w:pPr>
              <w:pStyle w:val="288"/>
              <w:spacing w:line="360" w:lineRule="auto"/>
              <w:ind w:firstLine="482"/>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工作平台及通道的制造安装应符合GB4053.3相关要求。</w:t>
            </w:r>
          </w:p>
          <w:p w14:paraId="670DD536">
            <w:pPr>
              <w:pStyle w:val="288"/>
              <w:spacing w:line="360" w:lineRule="auto"/>
              <w:ind w:firstLine="482"/>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③防护要求</w:t>
            </w:r>
          </w:p>
          <w:p w14:paraId="1140A52D">
            <w:pPr>
              <w:pStyle w:val="288"/>
              <w:spacing w:line="360" w:lineRule="auto"/>
              <w:ind w:firstLine="482"/>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距离坠落高度基准面1.2m以上的工作平台及通道的所有敞开边缘应设置防护栏杆，见图5，其中工作平台的防护栏杆应带踢脚板。</w:t>
            </w:r>
          </w:p>
          <w:p w14:paraId="4AD68BE1">
            <w:pPr>
              <w:pStyle w:val="288"/>
              <w:spacing w:line="360" w:lineRule="auto"/>
              <w:ind w:firstLine="482"/>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防护栏杆的高度应≥1.2m，扶手宜选用外径30mm~50mm钢管，扶手后应有不少于75mm净空间。</w:t>
            </w:r>
          </w:p>
          <w:p w14:paraId="07F74D37">
            <w:pPr>
              <w:pStyle w:val="288"/>
              <w:spacing w:line="360" w:lineRule="auto"/>
              <w:ind w:firstLine="482"/>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防护栏杆的踢脚板宜采用不小于100mm×2mm的钢板制造，其顶部在平台面之上高度应不小于100mm，底部距平台面应不大于10mm。4.4.3.4扶手和踢脚板之间应至少设置一道中间栏杆，中间栏杆与上下方构件的空隙间距≤500mm，其载荷、制造安装应满足GB4053.3要求。</w:t>
            </w:r>
          </w:p>
          <w:p w14:paraId="40CEDAFD">
            <w:pPr>
              <w:pStyle w:val="288"/>
              <w:spacing w:line="360" w:lineRule="auto"/>
              <w:ind w:firstLine="482"/>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防护栏杆端部应设置立柱或确保与建筑物或其他固定结构牢固连接，立柱间距应不大于1m。</w:t>
            </w:r>
          </w:p>
          <w:p w14:paraId="714A78E9">
            <w:pPr>
              <w:pStyle w:val="288"/>
              <w:spacing w:line="360" w:lineRule="auto"/>
              <w:ind w:firstLine="482"/>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平台及防护栏杆安装后，应对其至少涂一层底漆和一层面漆，或采用等效的防锈防腐涂装。</w:t>
            </w:r>
          </w:p>
          <w:p w14:paraId="7A9136F7">
            <w:pPr>
              <w:pStyle w:val="288"/>
              <w:spacing w:line="360" w:lineRule="auto"/>
              <w:ind w:firstLine="482"/>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fldChar w:fldCharType="begin"/>
            </w:r>
            <w:r>
              <w:rPr>
                <w:rFonts w:hint="default" w:ascii="Times New Roman" w:hAnsi="Times New Roman" w:eastAsia="宋体" w:cs="Times New Roman"/>
                <w:color w:val="auto"/>
                <w:highlight w:val="none"/>
                <w:u w:val="none" w:color="auto"/>
                <w:lang w:val="en-US" w:eastAsia="zh-CN"/>
              </w:rPr>
              <w:instrText xml:space="preserve"> = 4 \* GB3 \* MERGEFORMAT </w:instrText>
            </w:r>
            <w:r>
              <w:rPr>
                <w:rFonts w:hint="default" w:ascii="Times New Roman" w:hAnsi="Times New Roman" w:eastAsia="宋体" w:cs="Times New Roman"/>
                <w:color w:val="auto"/>
                <w:highlight w:val="none"/>
                <w:u w:val="none" w:color="auto"/>
                <w:lang w:val="en-US" w:eastAsia="zh-CN"/>
              </w:rPr>
              <w:fldChar w:fldCharType="separate"/>
            </w:r>
            <w:r>
              <w:rPr>
                <w:rFonts w:hint="default" w:ascii="Times New Roman" w:hAnsi="Times New Roman" w:eastAsia="宋体" w:cs="Times New Roman"/>
                <w:color w:val="auto"/>
                <w:highlight w:val="none"/>
                <w:u w:val="none" w:color="auto"/>
              </w:rPr>
              <w:t>④</w:t>
            </w:r>
            <w:r>
              <w:rPr>
                <w:rFonts w:hint="default" w:ascii="Times New Roman" w:hAnsi="Times New Roman" w:eastAsia="宋体" w:cs="Times New Roman"/>
                <w:color w:val="auto"/>
                <w:highlight w:val="none"/>
                <w:u w:val="none" w:color="auto"/>
                <w:lang w:val="en-US" w:eastAsia="zh-CN"/>
              </w:rPr>
              <w:fldChar w:fldCharType="end"/>
            </w:r>
            <w:r>
              <w:rPr>
                <w:rFonts w:hint="default" w:ascii="Times New Roman" w:hAnsi="Times New Roman" w:eastAsia="宋体" w:cs="Times New Roman"/>
                <w:color w:val="auto"/>
                <w:highlight w:val="none"/>
                <w:u w:val="none" w:color="auto"/>
                <w:lang w:val="en-US" w:eastAsia="zh-CN"/>
              </w:rPr>
              <w:t>其他要求</w:t>
            </w:r>
          </w:p>
          <w:p w14:paraId="5F559C62">
            <w:pPr>
              <w:pStyle w:val="288"/>
              <w:spacing w:line="360" w:lineRule="auto"/>
              <w:ind w:firstLine="482"/>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排放口工作平台50m内应配备永久电源和不少于2个电缆卷盘，长度不少于50m。现场有安全防爆要求的，应在设置时予以考虑。</w:t>
            </w:r>
          </w:p>
          <w:p w14:paraId="3F81E438">
            <w:pPr>
              <w:pStyle w:val="288"/>
              <w:spacing w:line="360" w:lineRule="auto"/>
              <w:ind w:firstLine="482"/>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工作平台附近有造成人体机械伤害、灼烫、腐蚀、触电等危险源的，应在平台相应位置设置防护装置，并在醒目处设置安全警告、禁止等标志牌。工作平台上方有坠落物体隐患时，应在工作平台上方3m高处设置顶棚等防护装置。防护装置的设计与制造应符合GB/T8196相关要求。</w:t>
            </w:r>
          </w:p>
          <w:p w14:paraId="23D49E7F">
            <w:pPr>
              <w:pStyle w:val="288"/>
              <w:spacing w:line="360" w:lineRule="auto"/>
              <w:ind w:firstLine="482"/>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梯架要求</w:t>
            </w:r>
          </w:p>
          <w:p w14:paraId="6817F4FF">
            <w:pPr>
              <w:pStyle w:val="288"/>
              <w:spacing w:line="360" w:lineRule="auto"/>
              <w:ind w:firstLine="482"/>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①工作平台与坠落高度基准面之间距离超过0.5m且不足2m时，应按照GB4053.1或GB4053.2要求设置固定式钢梯到达工作平台。</w:t>
            </w:r>
          </w:p>
          <w:p w14:paraId="35157066">
            <w:pPr>
              <w:pStyle w:val="288"/>
              <w:spacing w:line="360" w:lineRule="auto"/>
              <w:ind w:firstLine="482"/>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②工作平台与坠落高度基准面之间距离不小于2m时，应安装钢斜梯、转梯到达监测平台，不得仅设置钢直梯。梯架无障碍宽度应不小于0.8m，倾角应不超过38°；踏板前后深度不小于80mm，相邻两踏板的前后方向重叠应在10mm~35mm之间；梯高大于6m时，应设置梯间平台。斜梯、转梯的材料、载荷、制造安装等要求按照GB4053.2执行。</w:t>
            </w:r>
          </w:p>
          <w:p w14:paraId="2C087910">
            <w:pPr>
              <w:pStyle w:val="288"/>
              <w:spacing w:line="360" w:lineRule="auto"/>
              <w:ind w:firstLine="482"/>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（4）废水采样口设置规范</w:t>
            </w:r>
          </w:p>
          <w:p w14:paraId="7715B023">
            <w:pPr>
              <w:pStyle w:val="288"/>
              <w:spacing w:line="360" w:lineRule="auto"/>
              <w:ind w:firstLine="482"/>
              <w:rPr>
                <w:rFonts w:hint="default" w:ascii="Times New Roman" w:hAnsi="Times New Roman" w:eastAsia="宋体" w:cs="Times New Roman"/>
                <w:color w:val="auto"/>
                <w:highlight w:val="none"/>
                <w:u w:val="none" w:color="auto"/>
                <w:lang w:val="en-US" w:eastAsia="zh-CN"/>
              </w:rPr>
            </w:pPr>
            <w:r>
              <w:rPr>
                <w:rFonts w:hint="default" w:ascii="Times New Roman" w:hAnsi="Times New Roman" w:eastAsia="宋体" w:cs="Times New Roman"/>
                <w:color w:val="auto"/>
                <w:highlight w:val="none"/>
                <w:u w:val="none" w:color="auto"/>
                <w:lang w:val="en-US" w:eastAsia="zh-CN"/>
              </w:rPr>
              <w:t>本项目不设置废水排污口。</w:t>
            </w:r>
          </w:p>
          <w:p w14:paraId="60DE7F0A">
            <w:pPr>
              <w:pStyle w:val="288"/>
              <w:spacing w:line="360" w:lineRule="auto"/>
              <w:ind w:firstLine="482"/>
              <w:rPr>
                <w:rFonts w:hint="default" w:ascii="Times New Roman" w:hAnsi="Times New Roman" w:eastAsia="宋体" w:cs="Times New Roman"/>
                <w:b/>
                <w:bCs/>
                <w:color w:val="auto"/>
                <w:highlight w:val="none"/>
                <w:u w:val="none" w:color="auto"/>
              </w:rPr>
            </w:pPr>
            <w:r>
              <w:rPr>
                <w:rFonts w:hint="default" w:ascii="Times New Roman" w:hAnsi="Times New Roman" w:eastAsia="宋体" w:cs="Times New Roman"/>
                <w:b/>
                <w:bCs/>
                <w:color w:val="auto"/>
                <w:highlight w:val="none"/>
                <w:u w:val="none" w:color="auto"/>
                <w:lang w:val="en-US" w:eastAsia="zh-CN"/>
              </w:rPr>
              <w:t>八</w:t>
            </w:r>
            <w:r>
              <w:rPr>
                <w:rFonts w:hint="default" w:ascii="Times New Roman" w:hAnsi="Times New Roman" w:eastAsia="宋体" w:cs="Times New Roman"/>
                <w:b/>
                <w:bCs/>
                <w:color w:val="auto"/>
                <w:highlight w:val="none"/>
                <w:u w:val="none" w:color="auto"/>
              </w:rPr>
              <w:t>、环保及环保投资</w:t>
            </w:r>
          </w:p>
          <w:p w14:paraId="5DF294BD">
            <w:pPr>
              <w:pStyle w:val="288"/>
              <w:spacing w:line="360" w:lineRule="auto"/>
              <w:ind w:firstLine="480"/>
              <w:rPr>
                <w:rFonts w:hint="default" w:ascii="Times New Roman" w:hAnsi="Times New Roman" w:eastAsia="宋体" w:cs="Times New Roman"/>
                <w:color w:val="auto"/>
                <w:highlight w:val="none"/>
                <w:u w:val="single" w:color="auto"/>
              </w:rPr>
            </w:pPr>
            <w:r>
              <w:rPr>
                <w:rFonts w:hint="default" w:ascii="Times New Roman" w:hAnsi="Times New Roman" w:eastAsia="宋体" w:cs="Times New Roman"/>
                <w:color w:val="auto"/>
                <w:highlight w:val="none"/>
                <w:u w:val="none" w:color="auto"/>
              </w:rPr>
              <w:t>根据以上分析，汇总出项目在不同时段控制“三废”和噪声污染源的环保措施，处理效果及投资费用等，本项目总投资</w:t>
            </w:r>
            <w:r>
              <w:rPr>
                <w:rFonts w:hint="eastAsia" w:cs="Times New Roman"/>
                <w:color w:val="auto"/>
                <w:highlight w:val="none"/>
                <w:u w:val="none" w:color="auto"/>
                <w:lang w:val="en-US" w:eastAsia="zh-CN"/>
              </w:rPr>
              <w:t>2000</w:t>
            </w:r>
            <w:r>
              <w:rPr>
                <w:rFonts w:hint="default" w:ascii="Times New Roman" w:hAnsi="Times New Roman" w:eastAsia="宋体" w:cs="Times New Roman"/>
                <w:color w:val="auto"/>
                <w:highlight w:val="none"/>
                <w:u w:val="none" w:color="auto"/>
              </w:rPr>
              <w:t>万元，其中环保投资</w:t>
            </w:r>
            <w:r>
              <w:rPr>
                <w:rFonts w:hint="eastAsia" w:cs="Times New Roman"/>
                <w:color w:val="auto"/>
                <w:highlight w:val="none"/>
                <w:u w:val="none" w:color="auto"/>
                <w:lang w:val="en-US" w:eastAsia="zh-CN"/>
              </w:rPr>
              <w:t>96.5</w:t>
            </w:r>
            <w:r>
              <w:rPr>
                <w:rFonts w:hint="default" w:ascii="Times New Roman" w:hAnsi="Times New Roman" w:eastAsia="宋体" w:cs="Times New Roman"/>
                <w:color w:val="auto"/>
                <w:highlight w:val="none"/>
                <w:u w:val="none" w:color="auto"/>
              </w:rPr>
              <w:t>万元，占项目总投资</w:t>
            </w:r>
            <w:r>
              <w:rPr>
                <w:rFonts w:hint="eastAsia" w:cs="Times New Roman"/>
                <w:color w:val="auto"/>
                <w:highlight w:val="none"/>
                <w:u w:val="none" w:color="auto"/>
                <w:lang w:val="en-US" w:eastAsia="zh-CN"/>
              </w:rPr>
              <w:t>4.825</w:t>
            </w:r>
            <w:r>
              <w:rPr>
                <w:rFonts w:hint="default" w:ascii="Times New Roman" w:hAnsi="Times New Roman" w:eastAsia="宋体" w:cs="Times New Roman"/>
                <w:color w:val="auto"/>
                <w:highlight w:val="none"/>
                <w:u w:val="none" w:color="auto"/>
              </w:rPr>
              <w:t>%。本项目环保投资及其建设内容见下表：</w:t>
            </w:r>
          </w:p>
          <w:p w14:paraId="3B007C65">
            <w:pPr>
              <w:pStyle w:val="281"/>
              <w:spacing w:before="156"/>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表4-</w:t>
            </w:r>
            <w:r>
              <w:rPr>
                <w:rFonts w:hint="eastAsia" w:cs="Times New Roman"/>
                <w:color w:val="auto"/>
                <w:sz w:val="21"/>
                <w:szCs w:val="21"/>
                <w:highlight w:val="none"/>
                <w:u w:val="none" w:color="auto"/>
                <w:lang w:val="en-US" w:eastAsia="zh-CN"/>
              </w:rPr>
              <w:t>27</w:t>
            </w:r>
            <w:r>
              <w:rPr>
                <w:rFonts w:hint="default" w:ascii="Times New Roman" w:hAnsi="Times New Roman" w:eastAsia="宋体" w:cs="Times New Roman"/>
                <w:color w:val="auto"/>
                <w:sz w:val="21"/>
                <w:szCs w:val="21"/>
                <w:highlight w:val="none"/>
                <w:u w:val="none" w:color="auto"/>
              </w:rPr>
              <w:t xml:space="preserve">  环保措施及投资一览表（单位：万元）</w:t>
            </w:r>
          </w:p>
          <w:tbl>
            <w:tblPr>
              <w:tblStyle w:val="42"/>
              <w:tblW w:w="499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624"/>
              <w:gridCol w:w="952"/>
              <w:gridCol w:w="1454"/>
              <w:gridCol w:w="3879"/>
              <w:gridCol w:w="1052"/>
            </w:tblGrid>
            <w:tr w14:paraId="028F1A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391" w:type="pct"/>
                  <w:tcBorders>
                    <w:tl2br w:val="nil"/>
                    <w:tr2bl w:val="nil"/>
                  </w:tcBorders>
                  <w:vAlign w:val="center"/>
                </w:tcPr>
                <w:p w14:paraId="3B527595">
                  <w:pPr>
                    <w:pStyle w:val="285"/>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阶段</w:t>
                  </w:r>
                </w:p>
              </w:tc>
              <w:tc>
                <w:tcPr>
                  <w:tcW w:w="597" w:type="pct"/>
                  <w:tcBorders>
                    <w:tl2br w:val="nil"/>
                    <w:tr2bl w:val="nil"/>
                  </w:tcBorders>
                  <w:vAlign w:val="center"/>
                </w:tcPr>
                <w:p w14:paraId="5DD5F707">
                  <w:pPr>
                    <w:pStyle w:val="285"/>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类别</w:t>
                  </w:r>
                </w:p>
              </w:tc>
              <w:tc>
                <w:tcPr>
                  <w:tcW w:w="913" w:type="pct"/>
                  <w:tcBorders>
                    <w:tl2br w:val="nil"/>
                    <w:tr2bl w:val="nil"/>
                  </w:tcBorders>
                  <w:vAlign w:val="center"/>
                </w:tcPr>
                <w:p w14:paraId="52CA5E84">
                  <w:pPr>
                    <w:pStyle w:val="285"/>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污染源</w:t>
                  </w:r>
                </w:p>
              </w:tc>
              <w:tc>
                <w:tcPr>
                  <w:tcW w:w="2436" w:type="pct"/>
                  <w:tcBorders>
                    <w:tl2br w:val="nil"/>
                    <w:tr2bl w:val="nil"/>
                  </w:tcBorders>
                  <w:vAlign w:val="center"/>
                </w:tcPr>
                <w:p w14:paraId="48564B88">
                  <w:pPr>
                    <w:pStyle w:val="285"/>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内容</w:t>
                  </w:r>
                </w:p>
              </w:tc>
              <w:tc>
                <w:tcPr>
                  <w:tcW w:w="660" w:type="pct"/>
                  <w:tcBorders>
                    <w:tl2br w:val="nil"/>
                    <w:tr2bl w:val="nil"/>
                  </w:tcBorders>
                  <w:vAlign w:val="center"/>
                </w:tcPr>
                <w:p w14:paraId="128FE724">
                  <w:pPr>
                    <w:pStyle w:val="285"/>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投资</w:t>
                  </w:r>
                </w:p>
              </w:tc>
            </w:tr>
            <w:tr w14:paraId="3BCD6F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391" w:type="pct"/>
                  <w:vMerge w:val="restart"/>
                  <w:tcBorders>
                    <w:tl2br w:val="nil"/>
                    <w:tr2bl w:val="nil"/>
                  </w:tcBorders>
                  <w:vAlign w:val="center"/>
                </w:tcPr>
                <w:p w14:paraId="47F1AC33">
                  <w:pPr>
                    <w:pStyle w:val="285"/>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营运期</w:t>
                  </w:r>
                </w:p>
              </w:tc>
              <w:tc>
                <w:tcPr>
                  <w:tcW w:w="597" w:type="pct"/>
                  <w:vMerge w:val="restart"/>
                  <w:tcBorders>
                    <w:tl2br w:val="nil"/>
                    <w:tr2bl w:val="nil"/>
                  </w:tcBorders>
                  <w:vAlign w:val="center"/>
                </w:tcPr>
                <w:p w14:paraId="3C3C012A">
                  <w:pPr>
                    <w:pStyle w:val="285"/>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废气</w:t>
                  </w:r>
                </w:p>
              </w:tc>
              <w:tc>
                <w:tcPr>
                  <w:tcW w:w="913" w:type="pct"/>
                  <w:tcBorders>
                    <w:tl2br w:val="nil"/>
                    <w:tr2bl w:val="nil"/>
                  </w:tcBorders>
                  <w:vAlign w:val="center"/>
                </w:tcPr>
                <w:p w14:paraId="427F3068">
                  <w:pPr>
                    <w:pStyle w:val="285"/>
                    <w:ind w:right="113" w:rightChars="0" w:firstLine="0" w:firstLineChars="0"/>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2.2t/h蒸汽发生器</w:t>
                  </w:r>
                </w:p>
              </w:tc>
              <w:tc>
                <w:tcPr>
                  <w:tcW w:w="2436" w:type="pct"/>
                  <w:tcBorders>
                    <w:tl2br w:val="nil"/>
                    <w:tr2bl w:val="nil"/>
                  </w:tcBorders>
                  <w:vAlign w:val="center"/>
                </w:tcPr>
                <w:p w14:paraId="60CA4B9C">
                  <w:pPr>
                    <w:pStyle w:val="285"/>
                    <w:ind w:right="113" w:rightChars="0" w:firstLine="0" w:firstLineChars="0"/>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布袋除尘+30m排气筒（DA001）</w:t>
                  </w:r>
                </w:p>
              </w:tc>
              <w:tc>
                <w:tcPr>
                  <w:tcW w:w="660" w:type="pct"/>
                  <w:tcBorders>
                    <w:tl2br w:val="nil"/>
                    <w:tr2bl w:val="nil"/>
                  </w:tcBorders>
                  <w:vAlign w:val="center"/>
                </w:tcPr>
                <w:p w14:paraId="1D254231">
                  <w:pPr>
                    <w:pStyle w:val="285"/>
                    <w:ind w:right="113" w:rightChars="0" w:firstLine="0" w:firstLineChars="0"/>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10</w:t>
                  </w:r>
                </w:p>
              </w:tc>
            </w:tr>
            <w:tr w14:paraId="6D3CEBF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391" w:type="pct"/>
                  <w:vMerge w:val="continue"/>
                  <w:tcBorders>
                    <w:tl2br w:val="nil"/>
                    <w:tr2bl w:val="nil"/>
                  </w:tcBorders>
                  <w:vAlign w:val="center"/>
                </w:tcPr>
                <w:p w14:paraId="292B4D85">
                  <w:pPr>
                    <w:pStyle w:val="285"/>
                    <w:rPr>
                      <w:rFonts w:hint="default" w:ascii="Times New Roman" w:hAnsi="Times New Roman" w:eastAsia="宋体" w:cs="Times New Roman"/>
                      <w:color w:val="auto"/>
                      <w:sz w:val="21"/>
                      <w:szCs w:val="21"/>
                      <w:highlight w:val="none"/>
                      <w:u w:val="none" w:color="auto"/>
                    </w:rPr>
                  </w:pPr>
                </w:p>
              </w:tc>
              <w:tc>
                <w:tcPr>
                  <w:tcW w:w="597" w:type="pct"/>
                  <w:vMerge w:val="continue"/>
                  <w:tcBorders>
                    <w:tl2br w:val="nil"/>
                    <w:tr2bl w:val="nil"/>
                  </w:tcBorders>
                  <w:vAlign w:val="center"/>
                </w:tcPr>
                <w:p w14:paraId="2DC74FB9">
                  <w:pPr>
                    <w:pStyle w:val="285"/>
                    <w:rPr>
                      <w:rFonts w:hint="default" w:ascii="Times New Roman" w:hAnsi="Times New Roman" w:eastAsia="宋体" w:cs="Times New Roman"/>
                      <w:color w:val="auto"/>
                      <w:sz w:val="21"/>
                      <w:szCs w:val="21"/>
                      <w:highlight w:val="none"/>
                      <w:u w:val="none" w:color="auto"/>
                    </w:rPr>
                  </w:pPr>
                </w:p>
              </w:tc>
              <w:tc>
                <w:tcPr>
                  <w:tcW w:w="913" w:type="pct"/>
                  <w:tcBorders>
                    <w:tl2br w:val="nil"/>
                    <w:tr2bl w:val="nil"/>
                  </w:tcBorders>
                  <w:vAlign w:val="center"/>
                </w:tcPr>
                <w:p w14:paraId="625B42A7">
                  <w:pPr>
                    <w:pStyle w:val="285"/>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2.</w:t>
                  </w:r>
                  <w:r>
                    <w:rPr>
                      <w:rFonts w:hint="eastAsia" w:cs="Times New Roman"/>
                      <w:color w:val="auto"/>
                      <w:sz w:val="21"/>
                      <w:szCs w:val="21"/>
                      <w:highlight w:val="none"/>
                      <w:u w:val="none" w:color="auto"/>
                      <w:lang w:val="en-US" w:eastAsia="zh-CN"/>
                    </w:rPr>
                    <w:t>5</w:t>
                  </w:r>
                  <w:r>
                    <w:rPr>
                      <w:rFonts w:hint="default" w:ascii="Times New Roman" w:hAnsi="Times New Roman" w:eastAsia="宋体" w:cs="Times New Roman"/>
                      <w:color w:val="auto"/>
                      <w:sz w:val="21"/>
                      <w:szCs w:val="21"/>
                      <w:highlight w:val="none"/>
                      <w:u w:val="none" w:color="auto"/>
                      <w:lang w:val="en-US" w:eastAsia="zh-CN"/>
                    </w:rPr>
                    <w:t>t/h蒸汽发生器</w:t>
                  </w:r>
                </w:p>
              </w:tc>
              <w:tc>
                <w:tcPr>
                  <w:tcW w:w="2436" w:type="pct"/>
                  <w:tcBorders>
                    <w:tl2br w:val="nil"/>
                    <w:tr2bl w:val="nil"/>
                  </w:tcBorders>
                  <w:vAlign w:val="center"/>
                </w:tcPr>
                <w:p w14:paraId="6A8F62CA">
                  <w:pPr>
                    <w:pStyle w:val="285"/>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布袋除尘+</w:t>
                  </w:r>
                  <w:r>
                    <w:rPr>
                      <w:rFonts w:hint="eastAsia" w:cs="Times New Roman"/>
                      <w:color w:val="auto"/>
                      <w:sz w:val="21"/>
                      <w:szCs w:val="21"/>
                      <w:highlight w:val="none"/>
                      <w:u w:val="none" w:color="auto"/>
                      <w:lang w:val="en-US" w:eastAsia="zh-CN"/>
                    </w:rPr>
                    <w:t>30</w:t>
                  </w:r>
                  <w:r>
                    <w:rPr>
                      <w:rFonts w:hint="default" w:ascii="Times New Roman" w:hAnsi="Times New Roman" w:eastAsia="宋体" w:cs="Times New Roman"/>
                      <w:color w:val="auto"/>
                      <w:sz w:val="21"/>
                      <w:szCs w:val="21"/>
                      <w:highlight w:val="none"/>
                      <w:u w:val="none" w:color="auto"/>
                      <w:lang w:val="en-US" w:eastAsia="zh-CN"/>
                    </w:rPr>
                    <w:t>m排气筒（DA00</w:t>
                  </w:r>
                  <w:r>
                    <w:rPr>
                      <w:rFonts w:hint="eastAsia" w:cs="Times New Roman"/>
                      <w:color w:val="auto"/>
                      <w:sz w:val="21"/>
                      <w:szCs w:val="21"/>
                      <w:highlight w:val="none"/>
                      <w:u w:val="none" w:color="auto"/>
                      <w:lang w:val="en-US" w:eastAsia="zh-CN"/>
                    </w:rPr>
                    <w:t>2</w:t>
                  </w:r>
                  <w:r>
                    <w:rPr>
                      <w:rFonts w:hint="default" w:ascii="Times New Roman" w:hAnsi="Times New Roman" w:eastAsia="宋体" w:cs="Times New Roman"/>
                      <w:color w:val="auto"/>
                      <w:sz w:val="21"/>
                      <w:szCs w:val="21"/>
                      <w:highlight w:val="none"/>
                      <w:u w:val="none" w:color="auto"/>
                      <w:lang w:val="en-US" w:eastAsia="zh-CN"/>
                    </w:rPr>
                    <w:t>）</w:t>
                  </w:r>
                </w:p>
              </w:tc>
              <w:tc>
                <w:tcPr>
                  <w:tcW w:w="660" w:type="pct"/>
                  <w:tcBorders>
                    <w:tl2br w:val="nil"/>
                    <w:tr2bl w:val="nil"/>
                  </w:tcBorders>
                  <w:vAlign w:val="center"/>
                </w:tcPr>
                <w:p w14:paraId="0E93F066">
                  <w:pPr>
                    <w:pStyle w:val="285"/>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10</w:t>
                  </w:r>
                </w:p>
              </w:tc>
            </w:tr>
            <w:tr w14:paraId="1D6276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72" w:hRule="atLeast"/>
                <w:jc w:val="center"/>
              </w:trPr>
              <w:tc>
                <w:tcPr>
                  <w:tcW w:w="391" w:type="pct"/>
                  <w:vMerge w:val="continue"/>
                  <w:tcBorders>
                    <w:tl2br w:val="nil"/>
                    <w:tr2bl w:val="nil"/>
                  </w:tcBorders>
                  <w:vAlign w:val="center"/>
                </w:tcPr>
                <w:p w14:paraId="5558FA1A">
                  <w:pPr>
                    <w:pStyle w:val="285"/>
                    <w:rPr>
                      <w:rFonts w:hint="default" w:ascii="Times New Roman" w:hAnsi="Times New Roman" w:eastAsia="宋体" w:cs="Times New Roman"/>
                      <w:color w:val="auto"/>
                      <w:sz w:val="21"/>
                      <w:szCs w:val="21"/>
                      <w:highlight w:val="none"/>
                      <w:u w:val="none" w:color="auto"/>
                    </w:rPr>
                  </w:pPr>
                </w:p>
              </w:tc>
              <w:tc>
                <w:tcPr>
                  <w:tcW w:w="597" w:type="pct"/>
                  <w:vMerge w:val="continue"/>
                  <w:tcBorders>
                    <w:tl2br w:val="nil"/>
                    <w:tr2bl w:val="nil"/>
                  </w:tcBorders>
                  <w:vAlign w:val="center"/>
                </w:tcPr>
                <w:p w14:paraId="26F01E2D">
                  <w:pPr>
                    <w:pStyle w:val="285"/>
                    <w:rPr>
                      <w:rFonts w:hint="default" w:ascii="Times New Roman" w:hAnsi="Times New Roman" w:eastAsia="宋体" w:cs="Times New Roman"/>
                      <w:color w:val="auto"/>
                      <w:sz w:val="21"/>
                      <w:szCs w:val="21"/>
                      <w:highlight w:val="none"/>
                      <w:u w:val="none" w:color="auto"/>
                    </w:rPr>
                  </w:pPr>
                </w:p>
              </w:tc>
              <w:tc>
                <w:tcPr>
                  <w:tcW w:w="913" w:type="pct"/>
                  <w:tcBorders>
                    <w:tl2br w:val="nil"/>
                    <w:tr2bl w:val="nil"/>
                  </w:tcBorders>
                  <w:vAlign w:val="center"/>
                </w:tcPr>
                <w:p w14:paraId="1C2ADAE4">
                  <w:pPr>
                    <w:pStyle w:val="285"/>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油炸</w:t>
                  </w:r>
                </w:p>
              </w:tc>
              <w:tc>
                <w:tcPr>
                  <w:tcW w:w="2436" w:type="pct"/>
                  <w:tcBorders>
                    <w:tl2br w:val="nil"/>
                    <w:tr2bl w:val="nil"/>
                  </w:tcBorders>
                  <w:vAlign w:val="center"/>
                </w:tcPr>
                <w:p w14:paraId="41B6C17E">
                  <w:pPr>
                    <w:pStyle w:val="285"/>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油锅油炸过程油烟经集气罩收集</w:t>
                  </w:r>
                  <w:r>
                    <w:rPr>
                      <w:rFonts w:hint="eastAsia" w:cs="Times New Roman"/>
                      <w:color w:val="auto"/>
                      <w:sz w:val="21"/>
                      <w:szCs w:val="21"/>
                      <w:highlight w:val="none"/>
                      <w:u w:val="none" w:color="auto"/>
                      <w:lang w:val="en-US" w:eastAsia="zh-CN"/>
                    </w:rPr>
                    <w:t>后经</w:t>
                  </w:r>
                  <w:r>
                    <w:rPr>
                      <w:rFonts w:hint="default" w:ascii="Times New Roman" w:hAnsi="Times New Roman" w:eastAsia="宋体" w:cs="Times New Roman"/>
                      <w:color w:val="auto"/>
                      <w:sz w:val="21"/>
                      <w:szCs w:val="21"/>
                      <w:highlight w:val="none"/>
                      <w:u w:val="none" w:color="auto"/>
                      <w:lang w:val="en-US" w:eastAsia="zh-CN"/>
                    </w:rPr>
                    <w:t>油烟化器处理后排气筒（DA00</w:t>
                  </w:r>
                  <w:r>
                    <w:rPr>
                      <w:rFonts w:hint="eastAsia" w:cs="Times New Roman"/>
                      <w:color w:val="auto"/>
                      <w:sz w:val="21"/>
                      <w:szCs w:val="21"/>
                      <w:highlight w:val="none"/>
                      <w:u w:val="none" w:color="auto"/>
                      <w:lang w:val="en-US" w:eastAsia="zh-CN"/>
                    </w:rPr>
                    <w:t>3</w:t>
                  </w:r>
                  <w:r>
                    <w:rPr>
                      <w:rFonts w:hint="default" w:ascii="Times New Roman" w:hAnsi="Times New Roman" w:eastAsia="宋体" w:cs="Times New Roman"/>
                      <w:color w:val="auto"/>
                      <w:sz w:val="21"/>
                      <w:szCs w:val="21"/>
                      <w:highlight w:val="none"/>
                      <w:u w:val="none" w:color="auto"/>
                      <w:lang w:val="en-US" w:eastAsia="zh-CN"/>
                    </w:rPr>
                    <w:t>）排放</w:t>
                  </w:r>
                </w:p>
              </w:tc>
              <w:tc>
                <w:tcPr>
                  <w:tcW w:w="660" w:type="pct"/>
                  <w:tcBorders>
                    <w:tl2br w:val="nil"/>
                    <w:tr2bl w:val="nil"/>
                  </w:tcBorders>
                  <w:vAlign w:val="center"/>
                </w:tcPr>
                <w:p w14:paraId="5D0D4354">
                  <w:pPr>
                    <w:pStyle w:val="285"/>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5</w:t>
                  </w:r>
                </w:p>
              </w:tc>
            </w:tr>
            <w:tr w14:paraId="1F4A0CE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391" w:type="pct"/>
                  <w:vMerge w:val="continue"/>
                  <w:tcBorders>
                    <w:tl2br w:val="nil"/>
                    <w:tr2bl w:val="nil"/>
                  </w:tcBorders>
                  <w:vAlign w:val="center"/>
                </w:tcPr>
                <w:p w14:paraId="4A614E4E">
                  <w:pPr>
                    <w:pStyle w:val="285"/>
                    <w:rPr>
                      <w:rFonts w:hint="default" w:ascii="Times New Roman" w:hAnsi="Times New Roman" w:eastAsia="宋体" w:cs="Times New Roman"/>
                      <w:color w:val="auto"/>
                      <w:sz w:val="21"/>
                      <w:szCs w:val="21"/>
                      <w:highlight w:val="none"/>
                      <w:u w:val="none" w:color="auto"/>
                    </w:rPr>
                  </w:pPr>
                </w:p>
              </w:tc>
              <w:tc>
                <w:tcPr>
                  <w:tcW w:w="597" w:type="pct"/>
                  <w:vMerge w:val="restart"/>
                  <w:tcBorders>
                    <w:tl2br w:val="nil"/>
                    <w:tr2bl w:val="nil"/>
                  </w:tcBorders>
                  <w:vAlign w:val="center"/>
                </w:tcPr>
                <w:p w14:paraId="7C6D8F47">
                  <w:pPr>
                    <w:pStyle w:val="285"/>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废水</w:t>
                  </w:r>
                </w:p>
              </w:tc>
              <w:tc>
                <w:tcPr>
                  <w:tcW w:w="913" w:type="pct"/>
                  <w:tcBorders>
                    <w:tl2br w:val="nil"/>
                    <w:tr2bl w:val="nil"/>
                  </w:tcBorders>
                  <w:vAlign w:val="center"/>
                </w:tcPr>
                <w:p w14:paraId="76E6231B">
                  <w:pPr>
                    <w:pStyle w:val="285"/>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生活污水</w:t>
                  </w:r>
                </w:p>
              </w:tc>
              <w:tc>
                <w:tcPr>
                  <w:tcW w:w="2436" w:type="pct"/>
                  <w:tcBorders>
                    <w:tl2br w:val="nil"/>
                    <w:tr2bl w:val="nil"/>
                  </w:tcBorders>
                  <w:vAlign w:val="center"/>
                </w:tcPr>
                <w:p w14:paraId="79CD82F0">
                  <w:pPr>
                    <w:pStyle w:val="285"/>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化粪池</w:t>
                  </w:r>
                </w:p>
              </w:tc>
              <w:tc>
                <w:tcPr>
                  <w:tcW w:w="660" w:type="pct"/>
                  <w:tcBorders>
                    <w:tl2br w:val="nil"/>
                    <w:tr2bl w:val="nil"/>
                  </w:tcBorders>
                  <w:vAlign w:val="center"/>
                </w:tcPr>
                <w:p w14:paraId="2E0E20E8">
                  <w:pPr>
                    <w:pStyle w:val="285"/>
                    <w:rPr>
                      <w:rFonts w:hint="default" w:ascii="Times New Roman" w:hAnsi="Times New Roman" w:eastAsia="宋体" w:cs="Times New Roman"/>
                      <w:color w:val="auto"/>
                      <w:sz w:val="21"/>
                      <w:szCs w:val="21"/>
                      <w:highlight w:val="none"/>
                      <w:u w:val="none" w:color="auto"/>
                      <w:lang w:eastAsia="zh-CN"/>
                    </w:rPr>
                  </w:pPr>
                  <w:r>
                    <w:rPr>
                      <w:rFonts w:hint="eastAsia" w:cs="Times New Roman"/>
                      <w:color w:val="auto"/>
                      <w:sz w:val="21"/>
                      <w:szCs w:val="21"/>
                      <w:highlight w:val="none"/>
                      <w:u w:val="none" w:color="auto"/>
                      <w:lang w:val="en-US" w:eastAsia="zh-CN"/>
                    </w:rPr>
                    <w:t>2</w:t>
                  </w:r>
                </w:p>
              </w:tc>
            </w:tr>
            <w:tr w14:paraId="2F3DB2E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391" w:type="pct"/>
                  <w:vMerge w:val="continue"/>
                  <w:tcBorders>
                    <w:tl2br w:val="nil"/>
                    <w:tr2bl w:val="nil"/>
                  </w:tcBorders>
                  <w:vAlign w:val="center"/>
                </w:tcPr>
                <w:p w14:paraId="38248B15">
                  <w:pPr>
                    <w:pStyle w:val="285"/>
                    <w:rPr>
                      <w:rFonts w:hint="default" w:ascii="Times New Roman" w:hAnsi="Times New Roman" w:eastAsia="宋体" w:cs="Times New Roman"/>
                      <w:color w:val="auto"/>
                      <w:sz w:val="21"/>
                      <w:szCs w:val="21"/>
                      <w:highlight w:val="none"/>
                      <w:u w:val="none" w:color="auto"/>
                    </w:rPr>
                  </w:pPr>
                </w:p>
              </w:tc>
              <w:tc>
                <w:tcPr>
                  <w:tcW w:w="597" w:type="pct"/>
                  <w:vMerge w:val="continue"/>
                  <w:tcBorders>
                    <w:tl2br w:val="nil"/>
                    <w:tr2bl w:val="nil"/>
                  </w:tcBorders>
                  <w:vAlign w:val="center"/>
                </w:tcPr>
                <w:p w14:paraId="770B6ACB">
                  <w:pPr>
                    <w:pStyle w:val="285"/>
                    <w:rPr>
                      <w:rFonts w:hint="default" w:ascii="Times New Roman" w:hAnsi="Times New Roman" w:eastAsia="宋体" w:cs="Times New Roman"/>
                      <w:color w:val="auto"/>
                      <w:sz w:val="21"/>
                      <w:szCs w:val="21"/>
                      <w:highlight w:val="none"/>
                      <w:u w:val="none" w:color="auto"/>
                    </w:rPr>
                  </w:pPr>
                </w:p>
              </w:tc>
              <w:tc>
                <w:tcPr>
                  <w:tcW w:w="913" w:type="pct"/>
                  <w:tcBorders>
                    <w:tl2br w:val="nil"/>
                    <w:tr2bl w:val="nil"/>
                  </w:tcBorders>
                  <w:vAlign w:val="center"/>
                </w:tcPr>
                <w:p w14:paraId="27130F36">
                  <w:pPr>
                    <w:pStyle w:val="285"/>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生产废水</w:t>
                  </w:r>
                </w:p>
              </w:tc>
              <w:tc>
                <w:tcPr>
                  <w:tcW w:w="2436" w:type="pct"/>
                  <w:tcBorders>
                    <w:tl2br w:val="nil"/>
                    <w:tr2bl w:val="nil"/>
                  </w:tcBorders>
                  <w:vAlign w:val="center"/>
                </w:tcPr>
                <w:p w14:paraId="6E54469F">
                  <w:pPr>
                    <w:pStyle w:val="285"/>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污水处理站</w:t>
                  </w:r>
                </w:p>
              </w:tc>
              <w:tc>
                <w:tcPr>
                  <w:tcW w:w="660" w:type="pct"/>
                  <w:tcBorders>
                    <w:tl2br w:val="nil"/>
                    <w:tr2bl w:val="nil"/>
                  </w:tcBorders>
                  <w:vAlign w:val="center"/>
                </w:tcPr>
                <w:p w14:paraId="407A06DE">
                  <w:pPr>
                    <w:pStyle w:val="285"/>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60</w:t>
                  </w:r>
                </w:p>
              </w:tc>
            </w:tr>
            <w:tr w14:paraId="768043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391" w:type="pct"/>
                  <w:vMerge w:val="continue"/>
                  <w:tcBorders>
                    <w:tl2br w:val="nil"/>
                    <w:tr2bl w:val="nil"/>
                  </w:tcBorders>
                  <w:vAlign w:val="center"/>
                </w:tcPr>
                <w:p w14:paraId="72D63A79">
                  <w:pPr>
                    <w:pStyle w:val="285"/>
                    <w:rPr>
                      <w:rFonts w:hint="default" w:ascii="Times New Roman" w:hAnsi="Times New Roman" w:eastAsia="宋体" w:cs="Times New Roman"/>
                      <w:color w:val="auto"/>
                      <w:sz w:val="21"/>
                      <w:szCs w:val="21"/>
                      <w:highlight w:val="none"/>
                      <w:u w:val="none" w:color="auto"/>
                    </w:rPr>
                  </w:pPr>
                </w:p>
              </w:tc>
              <w:tc>
                <w:tcPr>
                  <w:tcW w:w="597" w:type="pct"/>
                  <w:tcBorders>
                    <w:tl2br w:val="nil"/>
                    <w:tr2bl w:val="nil"/>
                  </w:tcBorders>
                  <w:vAlign w:val="center"/>
                </w:tcPr>
                <w:p w14:paraId="0E92E20B">
                  <w:pPr>
                    <w:pStyle w:val="285"/>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噪声</w:t>
                  </w:r>
                </w:p>
              </w:tc>
              <w:tc>
                <w:tcPr>
                  <w:tcW w:w="913" w:type="pct"/>
                  <w:tcBorders>
                    <w:tl2br w:val="nil"/>
                    <w:tr2bl w:val="nil"/>
                  </w:tcBorders>
                  <w:vAlign w:val="center"/>
                </w:tcPr>
                <w:p w14:paraId="78B305A5">
                  <w:pPr>
                    <w:pStyle w:val="285"/>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设备噪声</w:t>
                  </w:r>
                </w:p>
              </w:tc>
              <w:tc>
                <w:tcPr>
                  <w:tcW w:w="2436" w:type="pct"/>
                  <w:tcBorders>
                    <w:tl2br w:val="nil"/>
                    <w:tr2bl w:val="nil"/>
                  </w:tcBorders>
                  <w:vAlign w:val="center"/>
                </w:tcPr>
                <w:p w14:paraId="2C6DC019">
                  <w:pPr>
                    <w:pStyle w:val="285"/>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采用低噪声设备，设备安装基础采用减振措施；</w:t>
                  </w:r>
                  <w:r>
                    <w:rPr>
                      <w:rFonts w:hint="default" w:ascii="Times New Roman" w:hAnsi="Times New Roman" w:eastAsia="宋体" w:cs="Times New Roman"/>
                      <w:color w:val="auto"/>
                      <w:sz w:val="21"/>
                      <w:szCs w:val="21"/>
                      <w:highlight w:val="none"/>
                      <w:u w:val="none" w:color="auto"/>
                      <w:lang w:val="en-US" w:eastAsia="zh-CN"/>
                    </w:rPr>
                    <w:t>厂房</w:t>
                  </w:r>
                  <w:r>
                    <w:rPr>
                      <w:rFonts w:hint="default" w:ascii="Times New Roman" w:hAnsi="Times New Roman" w:eastAsia="宋体" w:cs="Times New Roman"/>
                      <w:color w:val="auto"/>
                      <w:sz w:val="21"/>
                      <w:szCs w:val="21"/>
                      <w:highlight w:val="none"/>
                      <w:u w:val="none" w:color="auto"/>
                    </w:rPr>
                    <w:t>墙体隔声降噪；合理平面布局</w:t>
                  </w:r>
                </w:p>
              </w:tc>
              <w:tc>
                <w:tcPr>
                  <w:tcW w:w="660" w:type="pct"/>
                  <w:tcBorders>
                    <w:tl2br w:val="nil"/>
                    <w:tr2bl w:val="nil"/>
                  </w:tcBorders>
                  <w:vAlign w:val="center"/>
                </w:tcPr>
                <w:p w14:paraId="217711CC">
                  <w:pPr>
                    <w:pStyle w:val="285"/>
                    <w:rPr>
                      <w:rFonts w:hint="default"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lang w:val="en-US" w:eastAsia="zh-CN"/>
                    </w:rPr>
                    <w:t>2</w:t>
                  </w:r>
                </w:p>
              </w:tc>
            </w:tr>
            <w:tr w14:paraId="505E781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9" w:hRule="atLeast"/>
                <w:jc w:val="center"/>
              </w:trPr>
              <w:tc>
                <w:tcPr>
                  <w:tcW w:w="391" w:type="pct"/>
                  <w:vMerge w:val="continue"/>
                  <w:tcBorders>
                    <w:tl2br w:val="nil"/>
                    <w:tr2bl w:val="nil"/>
                  </w:tcBorders>
                  <w:vAlign w:val="center"/>
                </w:tcPr>
                <w:p w14:paraId="7667D9E5">
                  <w:pPr>
                    <w:pStyle w:val="285"/>
                    <w:rPr>
                      <w:rFonts w:hint="default" w:ascii="Times New Roman" w:hAnsi="Times New Roman" w:eastAsia="宋体" w:cs="Times New Roman"/>
                      <w:color w:val="auto"/>
                      <w:sz w:val="21"/>
                      <w:szCs w:val="21"/>
                      <w:highlight w:val="none"/>
                      <w:u w:val="none" w:color="auto"/>
                    </w:rPr>
                  </w:pPr>
                </w:p>
              </w:tc>
              <w:tc>
                <w:tcPr>
                  <w:tcW w:w="597" w:type="pct"/>
                  <w:vMerge w:val="restart"/>
                  <w:tcBorders>
                    <w:tl2br w:val="nil"/>
                    <w:tr2bl w:val="nil"/>
                  </w:tcBorders>
                  <w:vAlign w:val="center"/>
                </w:tcPr>
                <w:p w14:paraId="5405A6BA">
                  <w:pPr>
                    <w:pStyle w:val="285"/>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固体废物</w:t>
                  </w:r>
                </w:p>
              </w:tc>
              <w:tc>
                <w:tcPr>
                  <w:tcW w:w="913" w:type="pct"/>
                  <w:tcBorders>
                    <w:tl2br w:val="nil"/>
                    <w:tr2bl w:val="nil"/>
                  </w:tcBorders>
                  <w:vAlign w:val="center"/>
                </w:tcPr>
                <w:p w14:paraId="00B5EA3B">
                  <w:pPr>
                    <w:pStyle w:val="285"/>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生活垃圾</w:t>
                  </w:r>
                </w:p>
              </w:tc>
              <w:tc>
                <w:tcPr>
                  <w:tcW w:w="2436" w:type="pct"/>
                  <w:tcBorders>
                    <w:tl2br w:val="nil"/>
                    <w:tr2bl w:val="nil"/>
                  </w:tcBorders>
                  <w:vAlign w:val="center"/>
                </w:tcPr>
                <w:p w14:paraId="57ECDFFB">
                  <w:pPr>
                    <w:pStyle w:val="285"/>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分类垃圾收集桶若干</w:t>
                  </w:r>
                </w:p>
              </w:tc>
              <w:tc>
                <w:tcPr>
                  <w:tcW w:w="660" w:type="pct"/>
                  <w:tcBorders>
                    <w:tl2br w:val="nil"/>
                    <w:tr2bl w:val="nil"/>
                  </w:tcBorders>
                  <w:vAlign w:val="center"/>
                </w:tcPr>
                <w:p w14:paraId="0565ADCF">
                  <w:pPr>
                    <w:pStyle w:val="285"/>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rPr>
                    <w:t>0.</w:t>
                  </w:r>
                  <w:r>
                    <w:rPr>
                      <w:rFonts w:hint="default" w:ascii="Times New Roman" w:hAnsi="Times New Roman" w:eastAsia="宋体" w:cs="Times New Roman"/>
                      <w:color w:val="auto"/>
                      <w:sz w:val="21"/>
                      <w:szCs w:val="21"/>
                      <w:highlight w:val="none"/>
                      <w:u w:val="none" w:color="auto"/>
                      <w:lang w:val="en-US" w:eastAsia="zh-CN"/>
                    </w:rPr>
                    <w:t>5</w:t>
                  </w:r>
                </w:p>
              </w:tc>
            </w:tr>
            <w:tr w14:paraId="678E77B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391" w:type="pct"/>
                  <w:vMerge w:val="continue"/>
                  <w:tcBorders>
                    <w:tl2br w:val="nil"/>
                    <w:tr2bl w:val="nil"/>
                  </w:tcBorders>
                  <w:vAlign w:val="center"/>
                </w:tcPr>
                <w:p w14:paraId="60A6372A">
                  <w:pPr>
                    <w:pStyle w:val="285"/>
                    <w:rPr>
                      <w:rFonts w:hint="default" w:ascii="Times New Roman" w:hAnsi="Times New Roman" w:eastAsia="宋体" w:cs="Times New Roman"/>
                      <w:color w:val="auto"/>
                      <w:sz w:val="21"/>
                      <w:szCs w:val="21"/>
                      <w:highlight w:val="none"/>
                      <w:u w:val="none" w:color="auto"/>
                    </w:rPr>
                  </w:pPr>
                </w:p>
              </w:tc>
              <w:tc>
                <w:tcPr>
                  <w:tcW w:w="597" w:type="pct"/>
                  <w:vMerge w:val="continue"/>
                  <w:tcBorders>
                    <w:tl2br w:val="nil"/>
                    <w:tr2bl w:val="nil"/>
                  </w:tcBorders>
                  <w:vAlign w:val="center"/>
                </w:tcPr>
                <w:p w14:paraId="5875C748">
                  <w:pPr>
                    <w:pStyle w:val="285"/>
                    <w:rPr>
                      <w:rFonts w:hint="default" w:ascii="Times New Roman" w:hAnsi="Times New Roman" w:eastAsia="宋体" w:cs="Times New Roman"/>
                      <w:color w:val="auto"/>
                      <w:sz w:val="21"/>
                      <w:szCs w:val="21"/>
                      <w:highlight w:val="none"/>
                      <w:u w:val="none" w:color="auto"/>
                    </w:rPr>
                  </w:pPr>
                </w:p>
              </w:tc>
              <w:tc>
                <w:tcPr>
                  <w:tcW w:w="913" w:type="pct"/>
                  <w:tcBorders>
                    <w:tl2br w:val="nil"/>
                    <w:tr2bl w:val="nil"/>
                  </w:tcBorders>
                  <w:vAlign w:val="center"/>
                </w:tcPr>
                <w:p w14:paraId="6CF35273">
                  <w:pPr>
                    <w:pStyle w:val="285"/>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一般固废</w:t>
                  </w:r>
                </w:p>
              </w:tc>
              <w:tc>
                <w:tcPr>
                  <w:tcW w:w="2436" w:type="pct"/>
                  <w:tcBorders>
                    <w:tl2br w:val="nil"/>
                    <w:tr2bl w:val="nil"/>
                  </w:tcBorders>
                  <w:vAlign w:val="center"/>
                </w:tcPr>
                <w:p w14:paraId="2C9109D6">
                  <w:pPr>
                    <w:pStyle w:val="285"/>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设置</w:t>
                  </w:r>
                  <w:r>
                    <w:rPr>
                      <w:rFonts w:hint="eastAsia" w:cs="Times New Roman"/>
                      <w:color w:val="auto"/>
                      <w:sz w:val="21"/>
                      <w:szCs w:val="21"/>
                      <w:highlight w:val="none"/>
                      <w:u w:val="none" w:color="auto"/>
                      <w:lang w:val="en-US" w:eastAsia="zh-CN"/>
                    </w:rPr>
                    <w:t>2个</w:t>
                  </w:r>
                  <w:r>
                    <w:rPr>
                      <w:rFonts w:hint="default" w:ascii="Times New Roman" w:hAnsi="Times New Roman" w:eastAsia="宋体" w:cs="Times New Roman"/>
                      <w:color w:val="auto"/>
                      <w:sz w:val="21"/>
                      <w:szCs w:val="21"/>
                      <w:highlight w:val="none"/>
                      <w:u w:val="none" w:color="auto"/>
                      <w:lang w:val="en-US" w:eastAsia="zh-CN"/>
                    </w:rPr>
                    <w:t>10</w:t>
                  </w:r>
                  <w:r>
                    <w:rPr>
                      <w:rFonts w:hint="default" w:ascii="Times New Roman" w:hAnsi="Times New Roman" w:eastAsia="宋体" w:cs="Times New Roman"/>
                      <w:color w:val="auto"/>
                      <w:sz w:val="21"/>
                      <w:szCs w:val="21"/>
                      <w:highlight w:val="none"/>
                      <w:u w:val="none" w:color="auto"/>
                    </w:rPr>
                    <w:t>m</w:t>
                  </w:r>
                  <w:r>
                    <w:rPr>
                      <w:rFonts w:hint="default" w:ascii="Times New Roman" w:hAnsi="Times New Roman" w:eastAsia="宋体" w:cs="Times New Roman"/>
                      <w:color w:val="auto"/>
                      <w:sz w:val="21"/>
                      <w:szCs w:val="21"/>
                      <w:highlight w:val="none"/>
                      <w:u w:val="none" w:color="auto"/>
                      <w:vertAlign w:val="superscript"/>
                    </w:rPr>
                    <w:t>2</w:t>
                  </w:r>
                  <w:r>
                    <w:rPr>
                      <w:rFonts w:hint="default" w:ascii="Times New Roman" w:hAnsi="Times New Roman" w:eastAsia="宋体" w:cs="Times New Roman"/>
                      <w:color w:val="auto"/>
                      <w:sz w:val="21"/>
                      <w:szCs w:val="21"/>
                      <w:highlight w:val="none"/>
                      <w:u w:val="none" w:color="auto"/>
                    </w:rPr>
                    <w:t>一般固体废物暂存间，一般固废外售其他单位综合利用</w:t>
                  </w:r>
                </w:p>
              </w:tc>
              <w:tc>
                <w:tcPr>
                  <w:tcW w:w="660" w:type="pct"/>
                  <w:tcBorders>
                    <w:tl2br w:val="nil"/>
                    <w:tr2bl w:val="nil"/>
                  </w:tcBorders>
                  <w:vAlign w:val="center"/>
                </w:tcPr>
                <w:p w14:paraId="3B436BE4">
                  <w:pPr>
                    <w:pStyle w:val="285"/>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2</w:t>
                  </w:r>
                </w:p>
              </w:tc>
            </w:tr>
            <w:tr w14:paraId="7AD356B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391" w:type="pct"/>
                  <w:vMerge w:val="continue"/>
                  <w:tcBorders>
                    <w:tl2br w:val="nil"/>
                    <w:tr2bl w:val="nil"/>
                  </w:tcBorders>
                  <w:vAlign w:val="center"/>
                </w:tcPr>
                <w:p w14:paraId="6C9FEBBC">
                  <w:pPr>
                    <w:pStyle w:val="285"/>
                    <w:rPr>
                      <w:rFonts w:hint="default" w:ascii="Times New Roman" w:hAnsi="Times New Roman" w:eastAsia="宋体" w:cs="Times New Roman"/>
                      <w:color w:val="auto"/>
                      <w:sz w:val="21"/>
                      <w:szCs w:val="21"/>
                      <w:highlight w:val="none"/>
                      <w:u w:val="none" w:color="auto"/>
                    </w:rPr>
                  </w:pPr>
                </w:p>
              </w:tc>
              <w:tc>
                <w:tcPr>
                  <w:tcW w:w="597" w:type="pct"/>
                  <w:vMerge w:val="continue"/>
                  <w:tcBorders>
                    <w:tl2br w:val="nil"/>
                    <w:tr2bl w:val="nil"/>
                  </w:tcBorders>
                  <w:vAlign w:val="center"/>
                </w:tcPr>
                <w:p w14:paraId="7AF64923">
                  <w:pPr>
                    <w:pStyle w:val="285"/>
                    <w:rPr>
                      <w:rFonts w:hint="default" w:ascii="Times New Roman" w:hAnsi="Times New Roman" w:eastAsia="宋体" w:cs="Times New Roman"/>
                      <w:color w:val="auto"/>
                      <w:sz w:val="21"/>
                      <w:szCs w:val="21"/>
                      <w:highlight w:val="none"/>
                      <w:u w:val="none" w:color="auto"/>
                    </w:rPr>
                  </w:pPr>
                </w:p>
              </w:tc>
              <w:tc>
                <w:tcPr>
                  <w:tcW w:w="913" w:type="pct"/>
                  <w:tcBorders>
                    <w:tl2br w:val="nil"/>
                    <w:tr2bl w:val="nil"/>
                  </w:tcBorders>
                  <w:vAlign w:val="center"/>
                </w:tcPr>
                <w:p w14:paraId="1CB33981">
                  <w:pPr>
                    <w:pStyle w:val="285"/>
                    <w:rPr>
                      <w:rFonts w:hint="eastAsia" w:ascii="Times New Roman" w:hAnsi="Times New Roman" w:eastAsia="宋体" w:cs="Times New Roman"/>
                      <w:color w:val="auto"/>
                      <w:sz w:val="21"/>
                      <w:szCs w:val="21"/>
                      <w:highlight w:val="none"/>
                      <w:u w:val="none" w:color="auto"/>
                      <w:lang w:eastAsia="zh-CN"/>
                    </w:rPr>
                  </w:pPr>
                  <w:r>
                    <w:rPr>
                      <w:rFonts w:hint="eastAsia" w:cs="Times New Roman"/>
                      <w:color w:val="auto"/>
                      <w:sz w:val="21"/>
                      <w:szCs w:val="21"/>
                      <w:highlight w:val="none"/>
                      <w:u w:val="none" w:color="auto"/>
                      <w:lang w:eastAsia="zh-CN"/>
                    </w:rPr>
                    <w:t>危险废物</w:t>
                  </w:r>
                </w:p>
              </w:tc>
              <w:tc>
                <w:tcPr>
                  <w:tcW w:w="2436" w:type="pct"/>
                  <w:tcBorders>
                    <w:tl2br w:val="nil"/>
                    <w:tr2bl w:val="nil"/>
                  </w:tcBorders>
                  <w:vAlign w:val="center"/>
                </w:tcPr>
                <w:p w14:paraId="4F165B86">
                  <w:pPr>
                    <w:pStyle w:val="285"/>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eastAsia="zh-CN"/>
                    </w:rPr>
                    <w:t>设置</w:t>
                  </w:r>
                  <w:r>
                    <w:rPr>
                      <w:rFonts w:hint="eastAsia" w:cs="Times New Roman"/>
                      <w:color w:val="auto"/>
                      <w:sz w:val="21"/>
                      <w:szCs w:val="21"/>
                      <w:highlight w:val="none"/>
                      <w:u w:val="none" w:color="auto"/>
                      <w:lang w:val="en-US" w:eastAsia="zh-CN"/>
                    </w:rPr>
                    <w:t>1个5m</w:t>
                  </w:r>
                  <w:r>
                    <w:rPr>
                      <w:rFonts w:hint="eastAsia" w:cs="Times New Roman"/>
                      <w:color w:val="auto"/>
                      <w:sz w:val="21"/>
                      <w:szCs w:val="21"/>
                      <w:highlight w:val="none"/>
                      <w:u w:val="none" w:color="auto"/>
                      <w:vertAlign w:val="superscript"/>
                      <w:lang w:val="en-US" w:eastAsia="zh-CN"/>
                    </w:rPr>
                    <w:t>2</w:t>
                  </w:r>
                  <w:r>
                    <w:rPr>
                      <w:rFonts w:hint="eastAsia" w:cs="Times New Roman"/>
                      <w:color w:val="auto"/>
                      <w:sz w:val="21"/>
                      <w:szCs w:val="21"/>
                      <w:highlight w:val="none"/>
                      <w:u w:val="none" w:color="auto"/>
                      <w:lang w:val="en-US" w:eastAsia="zh-CN"/>
                    </w:rPr>
                    <w:t>的危险废物暂存间</w:t>
                  </w:r>
                </w:p>
              </w:tc>
              <w:tc>
                <w:tcPr>
                  <w:tcW w:w="660" w:type="pct"/>
                  <w:tcBorders>
                    <w:tl2br w:val="nil"/>
                    <w:tr2bl w:val="nil"/>
                  </w:tcBorders>
                  <w:vAlign w:val="center"/>
                </w:tcPr>
                <w:p w14:paraId="1B13CF23">
                  <w:pPr>
                    <w:pStyle w:val="285"/>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5</w:t>
                  </w:r>
                </w:p>
              </w:tc>
            </w:tr>
            <w:tr w14:paraId="74928F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1903" w:type="pct"/>
                  <w:gridSpan w:val="3"/>
                  <w:tcBorders>
                    <w:tl2br w:val="nil"/>
                    <w:tr2bl w:val="nil"/>
                  </w:tcBorders>
                  <w:vAlign w:val="center"/>
                </w:tcPr>
                <w:p w14:paraId="6620426C">
                  <w:pPr>
                    <w:pStyle w:val="285"/>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合计</w:t>
                  </w:r>
                </w:p>
              </w:tc>
              <w:tc>
                <w:tcPr>
                  <w:tcW w:w="2436" w:type="pct"/>
                  <w:tcBorders>
                    <w:tl2br w:val="nil"/>
                    <w:tr2bl w:val="nil"/>
                  </w:tcBorders>
                  <w:vAlign w:val="center"/>
                </w:tcPr>
                <w:p w14:paraId="3ED320F0">
                  <w:pPr>
                    <w:pStyle w:val="285"/>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c>
                <w:tcPr>
                  <w:tcW w:w="660" w:type="pct"/>
                  <w:tcBorders>
                    <w:tl2br w:val="nil"/>
                    <w:tr2bl w:val="nil"/>
                  </w:tcBorders>
                  <w:vAlign w:val="center"/>
                </w:tcPr>
                <w:p w14:paraId="34444A8E">
                  <w:pPr>
                    <w:pStyle w:val="285"/>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96.5</w:t>
                  </w:r>
                </w:p>
              </w:tc>
            </w:tr>
          </w:tbl>
          <w:p w14:paraId="4F143F92">
            <w:pPr>
              <w:pStyle w:val="282"/>
              <w:ind w:firstLine="480"/>
              <w:rPr>
                <w:rFonts w:hint="default" w:ascii="Times New Roman" w:hAnsi="Times New Roman" w:eastAsia="宋体" w:cs="Times New Roman"/>
                <w:b/>
                <w:bCs/>
                <w:color w:val="auto"/>
                <w:highlight w:val="none"/>
                <w:u w:val="none" w:color="auto"/>
              </w:rPr>
            </w:pPr>
            <w:r>
              <w:rPr>
                <w:rFonts w:hint="default" w:ascii="Times New Roman" w:hAnsi="Times New Roman" w:eastAsia="宋体" w:cs="Times New Roman"/>
                <w:b/>
                <w:bCs/>
                <w:color w:val="auto"/>
                <w:highlight w:val="none"/>
                <w:u w:val="none" w:color="auto"/>
                <w:lang w:val="en-US" w:eastAsia="zh-CN"/>
              </w:rPr>
              <w:t>九</w:t>
            </w:r>
            <w:r>
              <w:rPr>
                <w:rFonts w:hint="default" w:ascii="Times New Roman" w:hAnsi="Times New Roman" w:eastAsia="宋体" w:cs="Times New Roman"/>
                <w:b/>
                <w:bCs/>
                <w:color w:val="auto"/>
                <w:highlight w:val="none"/>
                <w:u w:val="none" w:color="auto"/>
              </w:rPr>
              <w:t>、环境管理</w:t>
            </w:r>
          </w:p>
          <w:p w14:paraId="318AA11A">
            <w:pPr>
              <w:pStyle w:val="282"/>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本着“谁污染谁治理”的原则，本项目将建立以建设单位为责任主体的环境管理体系，为确保项目影响区域环境保护目标的实现和各项环保措施的落实，特提出如下环境管理实施建议：</w:t>
            </w:r>
          </w:p>
          <w:p w14:paraId="7C7A9E36">
            <w:pPr>
              <w:pStyle w:val="282"/>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（1）加强环境监督与管理，环境管理人员应深入施工现场，监督环保措施的实施。</w:t>
            </w:r>
          </w:p>
          <w:p w14:paraId="10605DB9">
            <w:pPr>
              <w:pStyle w:val="282"/>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（2）实现环境保护目标责任制，结合本工程招投标承包体制，把环境保护纳入施工单位的承包任务中，并将环境保护落实到整个施工过程中。</w:t>
            </w:r>
          </w:p>
          <w:p w14:paraId="7D3F8907">
            <w:pPr>
              <w:pStyle w:val="282"/>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（3）严格执行国家环保有关政策和法规，及时协助有关环保部门进行项目环境保护。</w:t>
            </w:r>
          </w:p>
          <w:p w14:paraId="51471EFA">
            <w:pPr>
              <w:pStyle w:val="282"/>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（4）建立、健全环境管理制度，设置专职或兼职环保人员，负责日常环保安全，定期检查环保管理和环境监测工作。</w:t>
            </w:r>
          </w:p>
          <w:p w14:paraId="4E51BBF7">
            <w:pPr>
              <w:pStyle w:val="282"/>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（5）制定各种可能发生事故的应急计划，定期对职工进行培训演练，配备各种必要的维护、抢修器材和设备，保证发生事故时能及时到位。</w:t>
            </w:r>
          </w:p>
          <w:p w14:paraId="76A8F88D">
            <w:pPr>
              <w:pStyle w:val="282"/>
              <w:ind w:firstLine="48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（6）加强原辅材料管理，风险物质采用托盘贮存，明确能力责任人，定期对原辅材料贮存情况进行隐患排查。</w:t>
            </w:r>
          </w:p>
          <w:p w14:paraId="703F250C">
            <w:pPr>
              <w:pStyle w:val="100"/>
              <w:spacing w:line="500" w:lineRule="exact"/>
              <w:ind w:firstLine="482" w:firstLineChars="200"/>
              <w:rPr>
                <w:rFonts w:hint="default" w:ascii="Times New Roman" w:hAnsi="Times New Roman" w:eastAsia="宋体" w:cs="Times New Roman"/>
                <w:b/>
                <w:bCs/>
                <w:color w:val="auto"/>
                <w:sz w:val="24"/>
                <w:szCs w:val="24"/>
                <w:highlight w:val="none"/>
                <w:u w:val="none" w:color="auto"/>
              </w:rPr>
            </w:pPr>
            <w:r>
              <w:rPr>
                <w:rFonts w:hint="default" w:ascii="Times New Roman" w:hAnsi="Times New Roman" w:eastAsia="宋体" w:cs="Times New Roman"/>
                <w:b/>
                <w:bCs/>
                <w:color w:val="auto"/>
                <w:sz w:val="24"/>
                <w:szCs w:val="24"/>
                <w:highlight w:val="none"/>
                <w:u w:val="none" w:color="auto"/>
                <w:lang w:val="en-US" w:eastAsia="zh-CN"/>
              </w:rPr>
              <w:t>十</w:t>
            </w:r>
            <w:r>
              <w:rPr>
                <w:rFonts w:hint="default" w:ascii="Times New Roman" w:hAnsi="Times New Roman" w:eastAsia="宋体" w:cs="Times New Roman"/>
                <w:b/>
                <w:bCs/>
                <w:color w:val="auto"/>
                <w:sz w:val="24"/>
                <w:szCs w:val="24"/>
                <w:highlight w:val="none"/>
                <w:u w:val="none" w:color="auto"/>
              </w:rPr>
              <w:t>、环境监测计划</w:t>
            </w:r>
            <w:bookmarkEnd w:id="14"/>
            <w:bookmarkEnd w:id="15"/>
          </w:p>
          <w:p w14:paraId="31DEE3C1">
            <w:pPr>
              <w:pStyle w:val="100"/>
              <w:spacing w:line="500" w:lineRule="exact"/>
              <w:ind w:firstLine="480" w:firstLineChars="200"/>
              <w:rPr>
                <w:rFonts w:hint="default" w:ascii="Times New Roman" w:hAnsi="Times New Roman" w:eastAsia="宋体" w:cs="Times New Roman"/>
                <w:color w:val="auto"/>
                <w:sz w:val="24"/>
                <w:szCs w:val="24"/>
                <w:highlight w:val="none"/>
                <w:u w:val="none" w:color="auto"/>
              </w:rPr>
            </w:pPr>
            <w:r>
              <w:rPr>
                <w:rFonts w:hint="default" w:ascii="Times New Roman" w:hAnsi="Times New Roman" w:eastAsia="宋体" w:cs="Times New Roman"/>
                <w:color w:val="auto"/>
                <w:sz w:val="24"/>
                <w:szCs w:val="24"/>
                <w:highlight w:val="none"/>
                <w:u w:val="none" w:color="auto"/>
              </w:rPr>
              <w:t>根据《排污单位自行监测技术指南 总则》（HJ819-2017）</w:t>
            </w:r>
            <w:r>
              <w:rPr>
                <w:rFonts w:hint="eastAsia"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lang w:val="en-US" w:eastAsia="zh-CN"/>
              </w:rPr>
              <w:t>《排污单位自行监测技术指南 农副食品加工业》（HJ986-2018）</w:t>
            </w:r>
            <w:r>
              <w:rPr>
                <w:rFonts w:hint="eastAsia" w:ascii="Times New Roman" w:hAnsi="Times New Roman" w:eastAsia="宋体" w:cs="Times New Roman"/>
                <w:color w:val="auto"/>
                <w:sz w:val="24"/>
                <w:szCs w:val="24"/>
                <w:highlight w:val="none"/>
                <w:u w:val="none" w:color="auto"/>
                <w:lang w:val="en-US" w:eastAsia="zh-CN"/>
              </w:rPr>
              <w:t>、《排污单位自行监测技术指南 火力发电及锅炉》（HJ820-2017）及</w:t>
            </w:r>
            <w:r>
              <w:rPr>
                <w:rFonts w:hint="default" w:ascii="Times New Roman" w:hAnsi="Times New Roman" w:eastAsia="宋体" w:cs="Times New Roman"/>
                <w:color w:val="auto"/>
                <w:sz w:val="24"/>
                <w:szCs w:val="24"/>
                <w:highlight w:val="none"/>
                <w:u w:val="none" w:color="auto"/>
                <w:lang w:val="en-US" w:eastAsia="zh-CN"/>
              </w:rPr>
              <w:t>《排污许可证申请与核发技术规范农副食品加工工业—屠宰及肉类加工工业》（HJ860.3—2018）自行监测管理要求</w:t>
            </w:r>
            <w:r>
              <w:rPr>
                <w:rFonts w:hint="eastAsia" w:ascii="Times New Roman" w:hAnsi="Times New Roman" w:eastAsia="宋体" w:cs="Times New Roman"/>
                <w:color w:val="auto"/>
                <w:sz w:val="24"/>
                <w:szCs w:val="24"/>
                <w:highlight w:val="none"/>
                <w:u w:val="none" w:color="auto"/>
                <w:lang w:eastAsia="zh-CN"/>
              </w:rPr>
              <w:t>，</w:t>
            </w:r>
            <w:r>
              <w:rPr>
                <w:rFonts w:hint="default" w:ascii="Times New Roman" w:hAnsi="Times New Roman" w:eastAsia="宋体" w:cs="Times New Roman"/>
                <w:color w:val="auto"/>
                <w:sz w:val="24"/>
                <w:szCs w:val="24"/>
                <w:highlight w:val="none"/>
                <w:u w:val="none" w:color="auto"/>
              </w:rPr>
              <w:t>制定以下相应监测计划：</w:t>
            </w:r>
          </w:p>
          <w:p w14:paraId="672A63F9">
            <w:pPr>
              <w:pStyle w:val="262"/>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表4-</w:t>
            </w:r>
            <w:r>
              <w:rPr>
                <w:rFonts w:hint="eastAsia" w:cs="Times New Roman"/>
                <w:color w:val="auto"/>
                <w:sz w:val="21"/>
                <w:szCs w:val="21"/>
                <w:highlight w:val="none"/>
                <w:u w:val="none" w:color="auto"/>
                <w:lang w:val="en-US" w:eastAsia="zh-CN"/>
              </w:rPr>
              <w:t>28</w:t>
            </w:r>
            <w:r>
              <w:rPr>
                <w:rFonts w:hint="default" w:ascii="Times New Roman" w:hAnsi="Times New Roman" w:eastAsia="宋体" w:cs="Times New Roman"/>
                <w:color w:val="auto"/>
                <w:sz w:val="21"/>
                <w:szCs w:val="21"/>
                <w:highlight w:val="none"/>
                <w:u w:val="none" w:color="auto"/>
              </w:rPr>
              <w:t xml:space="preserve"> 营运期环境监测计划</w:t>
            </w:r>
          </w:p>
          <w:tbl>
            <w:tblPr>
              <w:tblStyle w:val="42"/>
              <w:tblW w:w="8175"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40"/>
              <w:gridCol w:w="1065"/>
              <w:gridCol w:w="2055"/>
              <w:gridCol w:w="1605"/>
              <w:gridCol w:w="2710"/>
            </w:tblGrid>
            <w:tr w14:paraId="7E5F6BB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0" w:type="dxa"/>
                  <w:vMerge w:val="restart"/>
                  <w:tcBorders>
                    <w:tl2br w:val="nil"/>
                    <w:tr2bl w:val="nil"/>
                  </w:tcBorders>
                  <w:vAlign w:val="center"/>
                </w:tcPr>
                <w:p w14:paraId="26676F7E">
                  <w:pPr>
                    <w:pStyle w:val="103"/>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项目</w:t>
                  </w:r>
                </w:p>
              </w:tc>
              <w:tc>
                <w:tcPr>
                  <w:tcW w:w="7435" w:type="dxa"/>
                  <w:gridSpan w:val="4"/>
                  <w:tcBorders>
                    <w:tl2br w:val="nil"/>
                    <w:tr2bl w:val="nil"/>
                  </w:tcBorders>
                  <w:vAlign w:val="center"/>
                </w:tcPr>
                <w:p w14:paraId="1B06DC75">
                  <w:pPr>
                    <w:pStyle w:val="103"/>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建议内容</w:t>
                  </w:r>
                </w:p>
              </w:tc>
            </w:tr>
            <w:tr w14:paraId="694EAB8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0" w:type="dxa"/>
                  <w:vMerge w:val="continue"/>
                  <w:tcBorders>
                    <w:tl2br w:val="nil"/>
                    <w:tr2bl w:val="nil"/>
                  </w:tcBorders>
                  <w:vAlign w:val="center"/>
                </w:tcPr>
                <w:p w14:paraId="5D87E39B">
                  <w:pPr>
                    <w:pStyle w:val="103"/>
                    <w:rPr>
                      <w:rFonts w:hint="default" w:ascii="Times New Roman" w:hAnsi="Times New Roman" w:eastAsia="宋体" w:cs="Times New Roman"/>
                      <w:color w:val="auto"/>
                      <w:sz w:val="21"/>
                      <w:szCs w:val="21"/>
                      <w:highlight w:val="none"/>
                      <w:u w:val="none" w:color="auto"/>
                    </w:rPr>
                  </w:pPr>
                </w:p>
              </w:tc>
              <w:tc>
                <w:tcPr>
                  <w:tcW w:w="1065" w:type="dxa"/>
                  <w:tcBorders>
                    <w:tl2br w:val="nil"/>
                    <w:tr2bl w:val="nil"/>
                  </w:tcBorders>
                  <w:vAlign w:val="center"/>
                </w:tcPr>
                <w:p w14:paraId="0940CB08">
                  <w:pPr>
                    <w:pStyle w:val="103"/>
                    <w:rPr>
                      <w:rFonts w:hint="eastAsia" w:ascii="Times New Roman" w:hAnsi="Times New Roman" w:eastAsia="宋体" w:cs="Times New Roman"/>
                      <w:color w:val="auto"/>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rPr>
                    <w:t>监测</w:t>
                  </w:r>
                  <w:r>
                    <w:rPr>
                      <w:rFonts w:hint="eastAsia" w:ascii="Times New Roman" w:hAnsi="Times New Roman" w:cs="Times New Roman"/>
                      <w:color w:val="auto"/>
                      <w:sz w:val="21"/>
                      <w:szCs w:val="21"/>
                      <w:highlight w:val="none"/>
                      <w:u w:val="none" w:color="auto"/>
                      <w:lang w:eastAsia="zh-CN"/>
                    </w:rPr>
                    <w:t>点位</w:t>
                  </w:r>
                </w:p>
              </w:tc>
              <w:tc>
                <w:tcPr>
                  <w:tcW w:w="2055" w:type="dxa"/>
                  <w:tcBorders>
                    <w:tl2br w:val="nil"/>
                    <w:tr2bl w:val="nil"/>
                  </w:tcBorders>
                  <w:vAlign w:val="center"/>
                </w:tcPr>
                <w:p w14:paraId="2C14E275">
                  <w:pPr>
                    <w:pStyle w:val="103"/>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监测因子</w:t>
                  </w:r>
                </w:p>
              </w:tc>
              <w:tc>
                <w:tcPr>
                  <w:tcW w:w="1605" w:type="dxa"/>
                  <w:tcBorders>
                    <w:tl2br w:val="nil"/>
                    <w:tr2bl w:val="nil"/>
                  </w:tcBorders>
                  <w:vAlign w:val="center"/>
                </w:tcPr>
                <w:p w14:paraId="6F5ECCDA">
                  <w:pPr>
                    <w:pStyle w:val="103"/>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监测频率</w:t>
                  </w:r>
                </w:p>
              </w:tc>
              <w:tc>
                <w:tcPr>
                  <w:tcW w:w="2710" w:type="dxa"/>
                  <w:tcBorders>
                    <w:tl2br w:val="nil"/>
                    <w:tr2bl w:val="nil"/>
                  </w:tcBorders>
                  <w:vAlign w:val="center"/>
                </w:tcPr>
                <w:p w14:paraId="3BD8B047">
                  <w:pPr>
                    <w:pStyle w:val="103"/>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执行标准</w:t>
                  </w:r>
                </w:p>
              </w:tc>
            </w:tr>
            <w:tr w14:paraId="299E838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0" w:type="dxa"/>
                  <w:vMerge w:val="restart"/>
                  <w:tcBorders>
                    <w:tl2br w:val="nil"/>
                    <w:tr2bl w:val="nil"/>
                  </w:tcBorders>
                  <w:vAlign w:val="center"/>
                </w:tcPr>
                <w:p w14:paraId="37AE99C6">
                  <w:pPr>
                    <w:pStyle w:val="103"/>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废气</w:t>
                  </w:r>
                </w:p>
              </w:tc>
              <w:tc>
                <w:tcPr>
                  <w:tcW w:w="1065" w:type="dxa"/>
                  <w:tcBorders>
                    <w:tl2br w:val="nil"/>
                    <w:tr2bl w:val="nil"/>
                  </w:tcBorders>
                  <w:vAlign w:val="center"/>
                </w:tcPr>
                <w:p w14:paraId="03C753D7">
                  <w:pPr>
                    <w:pStyle w:val="103"/>
                    <w:rPr>
                      <w:rFonts w:hint="default" w:ascii="Times New Roman" w:hAnsi="Times New Roman" w:eastAsia="宋体" w:cs="Times New Roman"/>
                      <w:color w:val="auto"/>
                      <w:kern w:val="2"/>
                      <w:sz w:val="21"/>
                      <w:szCs w:val="21"/>
                      <w:highlight w:val="none"/>
                      <w:u w:val="none" w:color="auto"/>
                      <w:lang w:val="en-US" w:eastAsia="zh-CN"/>
                    </w:rPr>
                  </w:pPr>
                  <w:r>
                    <w:rPr>
                      <w:rFonts w:hint="eastAsia" w:cs="Times New Roman"/>
                      <w:color w:val="auto"/>
                      <w:sz w:val="21"/>
                      <w:szCs w:val="21"/>
                      <w:highlight w:val="none"/>
                      <w:u w:val="none" w:color="auto"/>
                      <w:lang w:val="en-US" w:eastAsia="zh-CN"/>
                    </w:rPr>
                    <w:t>DA001</w:t>
                  </w:r>
                </w:p>
              </w:tc>
              <w:tc>
                <w:tcPr>
                  <w:tcW w:w="2055" w:type="dxa"/>
                  <w:vMerge w:val="restart"/>
                  <w:tcBorders>
                    <w:tl2br w:val="nil"/>
                    <w:tr2bl w:val="nil"/>
                  </w:tcBorders>
                  <w:vAlign w:val="center"/>
                </w:tcPr>
                <w:p w14:paraId="1BCDB6E3">
                  <w:pPr>
                    <w:pStyle w:val="103"/>
                    <w:rPr>
                      <w:rFonts w:hint="default" w:ascii="Times New Roman" w:hAnsi="Times New Roman" w:eastAsia="宋体" w:cs="Times New Roman"/>
                      <w:color w:val="auto"/>
                      <w:kern w:val="2"/>
                      <w:sz w:val="21"/>
                      <w:szCs w:val="21"/>
                      <w:highlight w:val="none"/>
                      <w:u w:val="none" w:color="auto"/>
                      <w:lang w:val="en-US" w:eastAsia="zh-CN"/>
                    </w:rPr>
                  </w:pPr>
                  <w:r>
                    <w:rPr>
                      <w:rFonts w:hint="eastAsia" w:cs="Times New Roman"/>
                      <w:color w:val="auto"/>
                      <w:kern w:val="2"/>
                      <w:sz w:val="21"/>
                      <w:szCs w:val="21"/>
                      <w:highlight w:val="none"/>
                      <w:u w:val="none" w:color="auto"/>
                      <w:lang w:eastAsia="zh-CN"/>
                    </w:rPr>
                    <w:t>颗粒物、</w:t>
                  </w:r>
                  <w:r>
                    <w:rPr>
                      <w:rFonts w:hint="eastAsia" w:cs="Times New Roman"/>
                      <w:color w:val="auto"/>
                      <w:kern w:val="2"/>
                      <w:sz w:val="21"/>
                      <w:szCs w:val="21"/>
                      <w:highlight w:val="none"/>
                      <w:u w:val="none" w:color="auto"/>
                      <w:lang w:val="en-US" w:eastAsia="zh-CN"/>
                    </w:rPr>
                    <w:t>SO</w:t>
                  </w:r>
                  <w:r>
                    <w:rPr>
                      <w:rFonts w:hint="eastAsia" w:cs="Times New Roman"/>
                      <w:color w:val="auto"/>
                      <w:kern w:val="2"/>
                      <w:sz w:val="21"/>
                      <w:szCs w:val="21"/>
                      <w:highlight w:val="none"/>
                      <w:u w:val="none" w:color="auto"/>
                      <w:vertAlign w:val="subscript"/>
                      <w:lang w:val="en-US" w:eastAsia="zh-CN"/>
                    </w:rPr>
                    <w:t>2</w:t>
                  </w:r>
                  <w:r>
                    <w:rPr>
                      <w:rFonts w:hint="eastAsia" w:cs="Times New Roman"/>
                      <w:color w:val="auto"/>
                      <w:kern w:val="2"/>
                      <w:sz w:val="21"/>
                      <w:szCs w:val="21"/>
                      <w:highlight w:val="none"/>
                      <w:u w:val="none" w:color="auto"/>
                      <w:lang w:val="en-US" w:eastAsia="zh-CN"/>
                    </w:rPr>
                    <w:t>、氮氧化物、林格曼黑度</w:t>
                  </w:r>
                </w:p>
              </w:tc>
              <w:tc>
                <w:tcPr>
                  <w:tcW w:w="1605" w:type="dxa"/>
                  <w:tcBorders>
                    <w:tl2br w:val="nil"/>
                    <w:tr2bl w:val="nil"/>
                  </w:tcBorders>
                  <w:vAlign w:val="center"/>
                </w:tcPr>
                <w:p w14:paraId="1FC73F3D">
                  <w:pPr>
                    <w:pStyle w:val="103"/>
                    <w:rPr>
                      <w:rFonts w:hint="eastAsia" w:ascii="Times New Roman" w:hAnsi="Times New Roman" w:eastAsia="宋体" w:cs="Times New Roman"/>
                      <w:color w:val="auto"/>
                      <w:kern w:val="2"/>
                      <w:sz w:val="21"/>
                      <w:szCs w:val="21"/>
                      <w:highlight w:val="none"/>
                      <w:u w:val="none" w:color="auto"/>
                      <w:lang w:eastAsia="zh-CN"/>
                    </w:rPr>
                  </w:pPr>
                  <w:r>
                    <w:rPr>
                      <w:rFonts w:hint="default" w:ascii="Times New Roman" w:hAnsi="Times New Roman" w:eastAsia="宋体" w:cs="Times New Roman"/>
                      <w:color w:val="auto"/>
                      <w:sz w:val="21"/>
                      <w:szCs w:val="21"/>
                      <w:highlight w:val="none"/>
                      <w:u w:val="none" w:color="auto"/>
                    </w:rPr>
                    <w:t>1次/</w:t>
                  </w:r>
                  <w:r>
                    <w:rPr>
                      <w:rFonts w:hint="eastAsia" w:cs="Times New Roman"/>
                      <w:color w:val="auto"/>
                      <w:sz w:val="21"/>
                      <w:szCs w:val="21"/>
                      <w:highlight w:val="none"/>
                      <w:u w:val="none" w:color="auto"/>
                      <w:lang w:eastAsia="zh-CN"/>
                    </w:rPr>
                    <w:t>月</w:t>
                  </w:r>
                </w:p>
              </w:tc>
              <w:tc>
                <w:tcPr>
                  <w:tcW w:w="2710" w:type="dxa"/>
                  <w:vMerge w:val="restart"/>
                  <w:tcBorders>
                    <w:tl2br w:val="nil"/>
                    <w:tr2bl w:val="nil"/>
                  </w:tcBorders>
                  <w:vAlign w:val="center"/>
                </w:tcPr>
                <w:p w14:paraId="6D1CC8EB">
                  <w:pPr>
                    <w:pStyle w:val="103"/>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《锅炉大气污染物排放标准》（GB13271-2014）表3燃煤锅炉特别排放限值</w:t>
                  </w:r>
                </w:p>
              </w:tc>
            </w:tr>
            <w:tr w14:paraId="7FE2BE2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0" w:type="dxa"/>
                  <w:vMerge w:val="continue"/>
                  <w:tcBorders>
                    <w:tl2br w:val="nil"/>
                    <w:tr2bl w:val="nil"/>
                  </w:tcBorders>
                  <w:vAlign w:val="center"/>
                </w:tcPr>
                <w:p w14:paraId="751B1828">
                  <w:pPr>
                    <w:pStyle w:val="103"/>
                    <w:rPr>
                      <w:rFonts w:hint="default" w:ascii="Times New Roman" w:hAnsi="Times New Roman" w:eastAsia="宋体" w:cs="Times New Roman"/>
                      <w:color w:val="auto"/>
                      <w:sz w:val="21"/>
                      <w:szCs w:val="21"/>
                      <w:highlight w:val="none"/>
                      <w:u w:val="none" w:color="auto"/>
                    </w:rPr>
                  </w:pPr>
                </w:p>
              </w:tc>
              <w:tc>
                <w:tcPr>
                  <w:tcW w:w="1065" w:type="dxa"/>
                  <w:tcBorders>
                    <w:tl2br w:val="nil"/>
                    <w:tr2bl w:val="nil"/>
                  </w:tcBorders>
                  <w:vAlign w:val="center"/>
                </w:tcPr>
                <w:p w14:paraId="0538FDA2">
                  <w:pPr>
                    <w:pStyle w:val="103"/>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DA002</w:t>
                  </w:r>
                </w:p>
              </w:tc>
              <w:tc>
                <w:tcPr>
                  <w:tcW w:w="2055" w:type="dxa"/>
                  <w:vMerge w:val="continue"/>
                  <w:tcBorders>
                    <w:tl2br w:val="nil"/>
                    <w:tr2bl w:val="nil"/>
                  </w:tcBorders>
                  <w:vAlign w:val="center"/>
                </w:tcPr>
                <w:p w14:paraId="5EA5AB10">
                  <w:pPr>
                    <w:pStyle w:val="103"/>
                    <w:rPr>
                      <w:rFonts w:hint="default" w:ascii="Times New Roman" w:hAnsi="Times New Roman" w:eastAsia="宋体" w:cs="Times New Roman"/>
                      <w:color w:val="auto"/>
                      <w:sz w:val="21"/>
                      <w:szCs w:val="21"/>
                      <w:highlight w:val="none"/>
                      <w:u w:val="none" w:color="auto"/>
                    </w:rPr>
                  </w:pPr>
                </w:p>
              </w:tc>
              <w:tc>
                <w:tcPr>
                  <w:tcW w:w="1605" w:type="dxa"/>
                  <w:tcBorders>
                    <w:tl2br w:val="nil"/>
                    <w:tr2bl w:val="nil"/>
                  </w:tcBorders>
                  <w:vAlign w:val="center"/>
                </w:tcPr>
                <w:p w14:paraId="6EC1D37E">
                  <w:pPr>
                    <w:pStyle w:val="103"/>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1次/</w:t>
                  </w:r>
                  <w:r>
                    <w:rPr>
                      <w:rFonts w:hint="default" w:ascii="Times New Roman" w:hAnsi="Times New Roman" w:eastAsia="宋体" w:cs="Times New Roman"/>
                      <w:color w:val="auto"/>
                      <w:sz w:val="21"/>
                      <w:szCs w:val="21"/>
                      <w:highlight w:val="none"/>
                      <w:u w:val="none" w:color="auto"/>
                      <w:lang w:eastAsia="zh-CN"/>
                    </w:rPr>
                    <w:t>月</w:t>
                  </w:r>
                </w:p>
              </w:tc>
              <w:tc>
                <w:tcPr>
                  <w:tcW w:w="2710" w:type="dxa"/>
                  <w:vMerge w:val="continue"/>
                  <w:tcBorders>
                    <w:tl2br w:val="nil"/>
                    <w:tr2bl w:val="nil"/>
                  </w:tcBorders>
                  <w:vAlign w:val="center"/>
                </w:tcPr>
                <w:p w14:paraId="05C275F2">
                  <w:pPr>
                    <w:pStyle w:val="103"/>
                    <w:rPr>
                      <w:rFonts w:hint="default" w:ascii="Times New Roman" w:hAnsi="Times New Roman" w:eastAsia="宋体" w:cs="Times New Roman"/>
                      <w:color w:val="auto"/>
                      <w:sz w:val="21"/>
                      <w:szCs w:val="21"/>
                      <w:highlight w:val="none"/>
                      <w:u w:val="none" w:color="auto"/>
                      <w:lang w:val="en-US" w:eastAsia="zh-CN"/>
                    </w:rPr>
                  </w:pPr>
                </w:p>
              </w:tc>
            </w:tr>
            <w:tr w14:paraId="78502F1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0" w:type="dxa"/>
                  <w:vMerge w:val="continue"/>
                  <w:tcBorders>
                    <w:tl2br w:val="nil"/>
                    <w:tr2bl w:val="nil"/>
                  </w:tcBorders>
                  <w:vAlign w:val="center"/>
                </w:tcPr>
                <w:p w14:paraId="63869E16">
                  <w:pPr>
                    <w:pStyle w:val="103"/>
                    <w:rPr>
                      <w:rFonts w:hint="default" w:ascii="Times New Roman" w:hAnsi="Times New Roman" w:eastAsia="宋体" w:cs="Times New Roman"/>
                      <w:color w:val="auto"/>
                      <w:sz w:val="21"/>
                      <w:szCs w:val="21"/>
                      <w:highlight w:val="none"/>
                      <w:u w:val="none" w:color="auto"/>
                    </w:rPr>
                  </w:pPr>
                </w:p>
              </w:tc>
              <w:tc>
                <w:tcPr>
                  <w:tcW w:w="1065" w:type="dxa"/>
                  <w:tcBorders>
                    <w:tl2br w:val="nil"/>
                    <w:tr2bl w:val="nil"/>
                  </w:tcBorders>
                  <w:vAlign w:val="center"/>
                </w:tcPr>
                <w:p w14:paraId="34DB830D">
                  <w:pPr>
                    <w:pStyle w:val="103"/>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DA003</w:t>
                  </w:r>
                </w:p>
              </w:tc>
              <w:tc>
                <w:tcPr>
                  <w:tcW w:w="2055" w:type="dxa"/>
                  <w:tcBorders>
                    <w:tl2br w:val="nil"/>
                    <w:tr2bl w:val="nil"/>
                  </w:tcBorders>
                  <w:vAlign w:val="center"/>
                </w:tcPr>
                <w:p w14:paraId="5A7FE5BF">
                  <w:pPr>
                    <w:pStyle w:val="103"/>
                    <w:rPr>
                      <w:rFonts w:hint="default" w:ascii="Times New Roman" w:hAnsi="Times New Roman" w:eastAsia="宋体" w:cs="Times New Roman"/>
                      <w:color w:val="auto"/>
                      <w:sz w:val="21"/>
                      <w:szCs w:val="21"/>
                      <w:highlight w:val="none"/>
                      <w:u w:val="none" w:color="auto"/>
                      <w:lang w:eastAsia="zh-CN"/>
                    </w:rPr>
                  </w:pPr>
                  <w:r>
                    <w:rPr>
                      <w:rFonts w:hint="eastAsia" w:cs="Times New Roman"/>
                      <w:color w:val="auto"/>
                      <w:sz w:val="21"/>
                      <w:szCs w:val="21"/>
                      <w:highlight w:val="none"/>
                      <w:u w:val="none" w:color="auto"/>
                      <w:lang w:eastAsia="zh-CN"/>
                    </w:rPr>
                    <w:t>油烟</w:t>
                  </w:r>
                </w:p>
              </w:tc>
              <w:tc>
                <w:tcPr>
                  <w:tcW w:w="1605" w:type="dxa"/>
                  <w:tcBorders>
                    <w:tl2br w:val="nil"/>
                    <w:tr2bl w:val="nil"/>
                  </w:tcBorders>
                  <w:vAlign w:val="center"/>
                </w:tcPr>
                <w:p w14:paraId="30B13E1F">
                  <w:pPr>
                    <w:pStyle w:val="103"/>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1次/</w:t>
                  </w:r>
                  <w:r>
                    <w:rPr>
                      <w:rFonts w:hint="eastAsia" w:cs="Times New Roman"/>
                      <w:color w:val="auto"/>
                      <w:sz w:val="21"/>
                      <w:szCs w:val="21"/>
                      <w:highlight w:val="none"/>
                      <w:u w:val="none" w:color="auto"/>
                      <w:lang w:eastAsia="zh-CN"/>
                    </w:rPr>
                    <w:t>半年</w:t>
                  </w:r>
                </w:p>
              </w:tc>
              <w:tc>
                <w:tcPr>
                  <w:tcW w:w="2710" w:type="dxa"/>
                  <w:tcBorders>
                    <w:tl2br w:val="nil"/>
                    <w:tr2bl w:val="nil"/>
                  </w:tcBorders>
                  <w:vAlign w:val="center"/>
                </w:tcPr>
                <w:p w14:paraId="750057BC">
                  <w:pPr>
                    <w:pStyle w:val="103"/>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《饮食业油烟排放标准》（GB18483-2001）</w:t>
                  </w:r>
                </w:p>
              </w:tc>
            </w:tr>
            <w:tr w14:paraId="351F399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0" w:type="dxa"/>
                  <w:vMerge w:val="continue"/>
                  <w:tcBorders>
                    <w:tl2br w:val="nil"/>
                    <w:tr2bl w:val="nil"/>
                  </w:tcBorders>
                  <w:vAlign w:val="center"/>
                </w:tcPr>
                <w:p w14:paraId="0179FDD8">
                  <w:pPr>
                    <w:pStyle w:val="103"/>
                    <w:rPr>
                      <w:rFonts w:hint="default" w:ascii="Times New Roman" w:hAnsi="Times New Roman" w:eastAsia="宋体" w:cs="Times New Roman"/>
                      <w:color w:val="auto"/>
                      <w:sz w:val="21"/>
                      <w:szCs w:val="21"/>
                      <w:highlight w:val="none"/>
                      <w:u w:val="none" w:color="auto"/>
                    </w:rPr>
                  </w:pPr>
                </w:p>
              </w:tc>
              <w:tc>
                <w:tcPr>
                  <w:tcW w:w="1065" w:type="dxa"/>
                  <w:tcBorders>
                    <w:tl2br w:val="nil"/>
                    <w:tr2bl w:val="nil"/>
                  </w:tcBorders>
                  <w:vAlign w:val="center"/>
                </w:tcPr>
                <w:p w14:paraId="023CFEB7">
                  <w:pPr>
                    <w:pStyle w:val="103"/>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厂界</w:t>
                  </w:r>
                </w:p>
              </w:tc>
              <w:tc>
                <w:tcPr>
                  <w:tcW w:w="2055" w:type="dxa"/>
                  <w:tcBorders>
                    <w:tl2br w:val="nil"/>
                    <w:tr2bl w:val="nil"/>
                  </w:tcBorders>
                  <w:vAlign w:val="center"/>
                </w:tcPr>
                <w:p w14:paraId="6D456FCD">
                  <w:pPr>
                    <w:pStyle w:val="103"/>
                    <w:rPr>
                      <w:rFonts w:hint="eastAsia" w:ascii="Times New Roman" w:hAnsi="Times New Roman" w:eastAsia="宋体" w:cs="Times New Roman"/>
                      <w:color w:val="auto"/>
                      <w:sz w:val="21"/>
                      <w:szCs w:val="21"/>
                      <w:highlight w:val="none"/>
                      <w:u w:val="none" w:color="auto"/>
                      <w:lang w:eastAsia="zh-CN"/>
                    </w:rPr>
                  </w:pPr>
                  <w:r>
                    <w:rPr>
                      <w:rFonts w:hint="eastAsia" w:cs="Times New Roman"/>
                      <w:color w:val="auto"/>
                      <w:sz w:val="21"/>
                      <w:szCs w:val="21"/>
                      <w:highlight w:val="none"/>
                      <w:u w:val="none" w:color="auto"/>
                      <w:lang w:eastAsia="zh-CN"/>
                    </w:rPr>
                    <w:t>颗粒物、臭气浓度、氨、硫化氢</w:t>
                  </w:r>
                </w:p>
              </w:tc>
              <w:tc>
                <w:tcPr>
                  <w:tcW w:w="1605" w:type="dxa"/>
                  <w:tcBorders>
                    <w:tl2br w:val="nil"/>
                    <w:tr2bl w:val="nil"/>
                  </w:tcBorders>
                  <w:vAlign w:val="center"/>
                </w:tcPr>
                <w:p w14:paraId="5BE59979">
                  <w:pPr>
                    <w:pStyle w:val="103"/>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1次/</w:t>
                  </w:r>
                  <w:r>
                    <w:rPr>
                      <w:rFonts w:hint="default" w:ascii="Times New Roman" w:hAnsi="Times New Roman" w:eastAsia="宋体" w:cs="Times New Roman"/>
                      <w:color w:val="auto"/>
                      <w:sz w:val="21"/>
                      <w:szCs w:val="21"/>
                      <w:highlight w:val="none"/>
                      <w:u w:val="none" w:color="auto"/>
                      <w:lang w:eastAsia="zh-CN"/>
                    </w:rPr>
                    <w:t>半年</w:t>
                  </w:r>
                </w:p>
              </w:tc>
              <w:tc>
                <w:tcPr>
                  <w:tcW w:w="2710" w:type="dxa"/>
                  <w:tcBorders>
                    <w:tl2br w:val="nil"/>
                    <w:tr2bl w:val="nil"/>
                  </w:tcBorders>
                  <w:vAlign w:val="center"/>
                </w:tcPr>
                <w:p w14:paraId="31D53CAC">
                  <w:pPr>
                    <w:pStyle w:val="103"/>
                    <w:rPr>
                      <w:rFonts w:hint="default" w:ascii="Times New Roman" w:hAnsi="Times New Roman" w:eastAsia="宋体" w:cs="Times New Roman"/>
                      <w:color w:val="auto"/>
                      <w:sz w:val="21"/>
                      <w:szCs w:val="21"/>
                      <w:highlight w:val="none"/>
                      <w:u w:val="none" w:color="auto"/>
                      <w:lang w:val="en-US" w:eastAsia="zh-CN"/>
                    </w:rPr>
                  </w:pPr>
                  <w:r>
                    <w:rPr>
                      <w:rFonts w:hint="default" w:ascii="Times New Roman" w:hAnsi="Times New Roman" w:eastAsia="宋体" w:cs="Times New Roman"/>
                      <w:color w:val="auto"/>
                      <w:sz w:val="21"/>
                      <w:szCs w:val="21"/>
                      <w:highlight w:val="none"/>
                      <w:u w:val="none" w:color="auto"/>
                      <w:lang w:val="en-US" w:eastAsia="zh-CN"/>
                    </w:rPr>
                    <w:t>《大气污染物综合排放标准》（GB16297-1996）表2无组织排放监控浓度限值</w:t>
                  </w:r>
                  <w:r>
                    <w:rPr>
                      <w:rFonts w:hint="eastAsia" w:cs="Times New Roman"/>
                      <w:color w:val="auto"/>
                      <w:sz w:val="21"/>
                      <w:szCs w:val="21"/>
                      <w:highlight w:val="none"/>
                      <w:u w:val="none" w:color="auto"/>
                      <w:lang w:val="en-US" w:eastAsia="zh-CN"/>
                    </w:rPr>
                    <w:t>；《恶臭污染物排放标准》（GB14554-93）中表1新改扩建二级标准要求</w:t>
                  </w:r>
                </w:p>
              </w:tc>
            </w:tr>
            <w:tr w14:paraId="4BDD19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0" w:type="dxa"/>
                  <w:tcBorders>
                    <w:tl2br w:val="nil"/>
                    <w:tr2bl w:val="nil"/>
                  </w:tcBorders>
                  <w:vAlign w:val="center"/>
                </w:tcPr>
                <w:p w14:paraId="66E70698">
                  <w:pPr>
                    <w:pStyle w:val="103"/>
                    <w:rPr>
                      <w:rFonts w:hint="eastAsia" w:ascii="Times New Roman" w:hAnsi="Times New Roman" w:eastAsia="宋体" w:cs="Times New Roman"/>
                      <w:color w:val="auto"/>
                      <w:sz w:val="21"/>
                      <w:szCs w:val="21"/>
                      <w:highlight w:val="none"/>
                      <w:u w:val="none" w:color="auto"/>
                      <w:lang w:eastAsia="zh-CN"/>
                    </w:rPr>
                  </w:pPr>
                  <w:r>
                    <w:rPr>
                      <w:rFonts w:hint="eastAsia" w:cs="Times New Roman"/>
                      <w:color w:val="auto"/>
                      <w:sz w:val="21"/>
                      <w:szCs w:val="21"/>
                      <w:highlight w:val="none"/>
                      <w:u w:val="none" w:color="auto"/>
                      <w:lang w:eastAsia="zh-CN"/>
                    </w:rPr>
                    <w:t>废水</w:t>
                  </w:r>
                </w:p>
              </w:tc>
              <w:tc>
                <w:tcPr>
                  <w:tcW w:w="1065" w:type="dxa"/>
                  <w:tcBorders>
                    <w:tl2br w:val="nil"/>
                    <w:tr2bl w:val="nil"/>
                  </w:tcBorders>
                  <w:vAlign w:val="center"/>
                </w:tcPr>
                <w:p w14:paraId="3E351866">
                  <w:pPr>
                    <w:pStyle w:val="103"/>
                    <w:rPr>
                      <w:rFonts w:hint="eastAsia" w:ascii="Times New Roman" w:hAnsi="Times New Roman" w:eastAsia="宋体" w:cs="Times New Roman"/>
                      <w:color w:val="auto"/>
                      <w:sz w:val="21"/>
                      <w:szCs w:val="21"/>
                      <w:highlight w:val="none"/>
                      <w:u w:val="none" w:color="auto"/>
                      <w:lang w:eastAsia="zh-CN"/>
                    </w:rPr>
                  </w:pPr>
                  <w:r>
                    <w:rPr>
                      <w:rFonts w:hint="eastAsia" w:ascii="Times New Roman" w:hAnsi="Times New Roman" w:cs="Times New Roman"/>
                      <w:color w:val="auto"/>
                      <w:sz w:val="21"/>
                      <w:szCs w:val="21"/>
                      <w:highlight w:val="none"/>
                      <w:u w:val="none" w:color="auto"/>
                      <w:lang w:eastAsia="zh-CN"/>
                    </w:rPr>
                    <w:t>储水池</w:t>
                  </w:r>
                </w:p>
              </w:tc>
              <w:tc>
                <w:tcPr>
                  <w:tcW w:w="2055" w:type="dxa"/>
                  <w:tcBorders>
                    <w:tl2br w:val="nil"/>
                    <w:tr2bl w:val="nil"/>
                  </w:tcBorders>
                  <w:vAlign w:val="center"/>
                </w:tcPr>
                <w:p w14:paraId="01805A69">
                  <w:pPr>
                    <w:pStyle w:val="103"/>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pH、CODcr、BOD</w:t>
                  </w:r>
                  <w:r>
                    <w:rPr>
                      <w:rFonts w:hint="eastAsia" w:cs="Times New Roman"/>
                      <w:color w:val="auto"/>
                      <w:sz w:val="21"/>
                      <w:szCs w:val="21"/>
                      <w:highlight w:val="none"/>
                      <w:u w:val="none" w:color="auto"/>
                      <w:vertAlign w:val="subscript"/>
                      <w:lang w:val="en-US" w:eastAsia="zh-CN"/>
                    </w:rPr>
                    <w:t>5</w:t>
                  </w:r>
                  <w:r>
                    <w:rPr>
                      <w:rFonts w:hint="eastAsia" w:cs="Times New Roman"/>
                      <w:color w:val="auto"/>
                      <w:sz w:val="21"/>
                      <w:szCs w:val="21"/>
                      <w:highlight w:val="none"/>
                      <w:u w:val="none" w:color="auto"/>
                      <w:lang w:val="en-US" w:eastAsia="zh-CN"/>
                    </w:rPr>
                    <w:t>、SS、氨氮、总氮、总磷、动植物油、大肠菌群数、流量</w:t>
                  </w:r>
                </w:p>
              </w:tc>
              <w:tc>
                <w:tcPr>
                  <w:tcW w:w="1605" w:type="dxa"/>
                  <w:tcBorders>
                    <w:tl2br w:val="nil"/>
                    <w:tr2bl w:val="nil"/>
                  </w:tcBorders>
                  <w:vAlign w:val="center"/>
                </w:tcPr>
                <w:p w14:paraId="11139172">
                  <w:pPr>
                    <w:pStyle w:val="103"/>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1次/半年</w:t>
                  </w:r>
                </w:p>
              </w:tc>
              <w:tc>
                <w:tcPr>
                  <w:tcW w:w="2710" w:type="dxa"/>
                  <w:tcBorders>
                    <w:tl2br w:val="nil"/>
                    <w:tr2bl w:val="nil"/>
                  </w:tcBorders>
                  <w:vAlign w:val="center"/>
                </w:tcPr>
                <w:p w14:paraId="090CD3F8">
                  <w:pPr>
                    <w:pStyle w:val="103"/>
                    <w:rPr>
                      <w:rFonts w:hint="default" w:ascii="Times New Roman" w:hAnsi="Times New Roman" w:eastAsia="宋体" w:cs="Times New Roman"/>
                      <w:color w:val="auto"/>
                      <w:sz w:val="21"/>
                      <w:szCs w:val="21"/>
                      <w:highlight w:val="none"/>
                      <w:u w:val="none" w:color="auto"/>
                      <w:lang w:val="en-US" w:eastAsia="zh-CN"/>
                    </w:rPr>
                  </w:pPr>
                  <w:r>
                    <w:rPr>
                      <w:rFonts w:hint="eastAsia" w:ascii="Times New Roman" w:hAnsi="Times New Roman" w:cs="Times New Roman"/>
                      <w:color w:val="auto"/>
                      <w:sz w:val="21"/>
                      <w:szCs w:val="21"/>
                      <w:highlight w:val="none"/>
                      <w:u w:val="none" w:color="auto"/>
                      <w:lang w:val="en-US" w:eastAsia="zh-CN"/>
                    </w:rPr>
                    <w:t>汨罗市大荆镇古仑片区污水处理站进水标准</w:t>
                  </w:r>
                </w:p>
              </w:tc>
            </w:tr>
            <w:tr w14:paraId="4E364A3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740" w:type="dxa"/>
                  <w:tcBorders>
                    <w:tl2br w:val="nil"/>
                    <w:tr2bl w:val="nil"/>
                  </w:tcBorders>
                  <w:vAlign w:val="center"/>
                </w:tcPr>
                <w:p w14:paraId="0CBA521F">
                  <w:pPr>
                    <w:pStyle w:val="103"/>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厂界噪声</w:t>
                  </w:r>
                </w:p>
              </w:tc>
              <w:tc>
                <w:tcPr>
                  <w:tcW w:w="1065" w:type="dxa"/>
                  <w:tcBorders>
                    <w:tl2br w:val="nil"/>
                    <w:tr2bl w:val="nil"/>
                  </w:tcBorders>
                  <w:vAlign w:val="center"/>
                </w:tcPr>
                <w:p w14:paraId="3326E4F3">
                  <w:pPr>
                    <w:pStyle w:val="103"/>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厂界</w:t>
                  </w:r>
                </w:p>
              </w:tc>
              <w:tc>
                <w:tcPr>
                  <w:tcW w:w="2055" w:type="dxa"/>
                  <w:tcBorders>
                    <w:tl2br w:val="nil"/>
                    <w:tr2bl w:val="nil"/>
                  </w:tcBorders>
                  <w:vAlign w:val="center"/>
                </w:tcPr>
                <w:p w14:paraId="154B37D7">
                  <w:pPr>
                    <w:pStyle w:val="103"/>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Leq（A）</w:t>
                  </w:r>
                </w:p>
              </w:tc>
              <w:tc>
                <w:tcPr>
                  <w:tcW w:w="1605" w:type="dxa"/>
                  <w:tcBorders>
                    <w:tl2br w:val="nil"/>
                    <w:tr2bl w:val="nil"/>
                  </w:tcBorders>
                  <w:vAlign w:val="center"/>
                </w:tcPr>
                <w:p w14:paraId="2EC50294">
                  <w:pPr>
                    <w:pStyle w:val="103"/>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1次/季度</w:t>
                  </w:r>
                </w:p>
              </w:tc>
              <w:tc>
                <w:tcPr>
                  <w:tcW w:w="2710" w:type="dxa"/>
                  <w:tcBorders>
                    <w:tl2br w:val="nil"/>
                    <w:tr2bl w:val="nil"/>
                  </w:tcBorders>
                  <w:vAlign w:val="center"/>
                </w:tcPr>
                <w:p w14:paraId="371E0642">
                  <w:pPr>
                    <w:pStyle w:val="103"/>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《工业企业厂界环境噪声排放标准》（GB12348-2008）</w:t>
                  </w:r>
                </w:p>
              </w:tc>
            </w:tr>
          </w:tbl>
          <w:p w14:paraId="22952405">
            <w:pPr>
              <w:pStyle w:val="7"/>
              <w:ind w:left="0" w:leftChars="0" w:firstLine="0" w:firstLineChars="0"/>
              <w:rPr>
                <w:rFonts w:hint="default" w:ascii="Times New Roman" w:hAnsi="Times New Roman" w:eastAsia="宋体" w:cs="Times New Roman"/>
                <w:color w:val="auto"/>
                <w:sz w:val="24"/>
                <w:szCs w:val="24"/>
                <w:lang w:val="en-US" w:eastAsia="zh-CN"/>
              </w:rPr>
            </w:pPr>
          </w:p>
        </w:tc>
      </w:tr>
    </w:tbl>
    <w:p w14:paraId="1313CA02">
      <w:pPr>
        <w:adjustRightInd w:val="0"/>
        <w:snapToGrid w:val="0"/>
        <w:spacing w:line="360" w:lineRule="auto"/>
        <w:rPr>
          <w:rFonts w:hint="default" w:ascii="Times New Roman" w:hAnsi="Times New Roman" w:eastAsia="宋体" w:cs="Times New Roman"/>
          <w:b/>
          <w:color w:val="auto"/>
          <w:kern w:val="0"/>
          <w:sz w:val="28"/>
          <w:szCs w:val="28"/>
          <w:highlight w:val="none"/>
          <w:u w:val="none" w:color="auto"/>
        </w:rPr>
        <w:sectPr>
          <w:pgSz w:w="11907" w:h="16840"/>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5C7E0673">
      <w:pPr>
        <w:pStyle w:val="8"/>
        <w:bidi w:val="0"/>
        <w:rPr>
          <w:rFonts w:hint="default" w:ascii="Times New Roman" w:hAnsi="Times New Roman" w:eastAsia="宋体" w:cs="Times New Roman"/>
          <w:color w:val="auto"/>
          <w:highlight w:val="none"/>
          <w:u w:val="none" w:color="auto"/>
        </w:rPr>
      </w:pPr>
      <w:bookmarkStart w:id="16" w:name="_Toc10621"/>
      <w:r>
        <w:rPr>
          <w:rFonts w:hint="default" w:ascii="Times New Roman" w:hAnsi="Times New Roman" w:eastAsia="宋体" w:cs="Times New Roman"/>
          <w:color w:val="auto"/>
          <w:highlight w:val="none"/>
          <w:u w:val="none" w:color="auto"/>
        </w:rPr>
        <w:t>五、</w:t>
      </w:r>
      <w:bookmarkStart w:id="17" w:name="_Hlk54167917"/>
      <w:r>
        <w:rPr>
          <w:rFonts w:hint="default" w:ascii="Times New Roman" w:hAnsi="Times New Roman" w:eastAsia="宋体" w:cs="Times New Roman"/>
          <w:color w:val="auto"/>
          <w:highlight w:val="none"/>
          <w:u w:val="none" w:color="auto"/>
        </w:rPr>
        <w:t>环境保护措施监督检查清单</w:t>
      </w:r>
      <w:bookmarkEnd w:id="16"/>
      <w:bookmarkEnd w:id="17"/>
    </w:p>
    <w:tbl>
      <w:tblPr>
        <w:tblStyle w:val="42"/>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381"/>
        <w:gridCol w:w="1731"/>
        <w:gridCol w:w="1687"/>
        <w:gridCol w:w="1782"/>
        <w:gridCol w:w="2479"/>
      </w:tblGrid>
      <w:tr w14:paraId="523542F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762" w:type="pct"/>
            <w:tcBorders>
              <w:tl2br w:val="nil"/>
              <w:tr2bl w:val="nil"/>
            </w:tcBorders>
          </w:tcPr>
          <w:p w14:paraId="3B59D787">
            <w:pPr>
              <w:adjustRightInd w:val="0"/>
              <w:snapToGrid w:val="0"/>
              <w:jc w:val="right"/>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内容</w:t>
            </w:r>
          </w:p>
          <w:p w14:paraId="7A309B1F">
            <w:pPr>
              <w:adjustRightInd w:val="0"/>
              <w:snapToGrid w:val="0"/>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要素</w:t>
            </w:r>
          </w:p>
        </w:tc>
        <w:tc>
          <w:tcPr>
            <w:tcW w:w="955" w:type="pct"/>
            <w:tcBorders>
              <w:tl2br w:val="nil"/>
              <w:tr2bl w:val="nil"/>
            </w:tcBorders>
            <w:vAlign w:val="center"/>
          </w:tcPr>
          <w:p w14:paraId="3E723700">
            <w:pPr>
              <w:adjustRightInd w:val="0"/>
              <w:snapToGrid w:val="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排放口(编号、</w:t>
            </w:r>
          </w:p>
          <w:p w14:paraId="19D68119">
            <w:pPr>
              <w:adjustRightInd w:val="0"/>
              <w:snapToGrid w:val="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名称)/污染源</w:t>
            </w:r>
          </w:p>
        </w:tc>
        <w:tc>
          <w:tcPr>
            <w:tcW w:w="931" w:type="pct"/>
            <w:tcBorders>
              <w:tl2br w:val="nil"/>
              <w:tr2bl w:val="nil"/>
            </w:tcBorders>
            <w:vAlign w:val="center"/>
          </w:tcPr>
          <w:p w14:paraId="58882EB1">
            <w:pPr>
              <w:adjustRightInd w:val="0"/>
              <w:snapToGrid w:val="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污染物项目</w:t>
            </w:r>
          </w:p>
        </w:tc>
        <w:tc>
          <w:tcPr>
            <w:tcW w:w="983" w:type="pct"/>
            <w:tcBorders>
              <w:tl2br w:val="nil"/>
              <w:tr2bl w:val="nil"/>
            </w:tcBorders>
            <w:vAlign w:val="center"/>
          </w:tcPr>
          <w:p w14:paraId="55901C83">
            <w:pPr>
              <w:adjustRightInd w:val="0"/>
              <w:snapToGrid w:val="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环境保护措施</w:t>
            </w:r>
          </w:p>
        </w:tc>
        <w:tc>
          <w:tcPr>
            <w:tcW w:w="1368" w:type="pct"/>
            <w:tcBorders>
              <w:tl2br w:val="nil"/>
              <w:tr2bl w:val="nil"/>
            </w:tcBorders>
            <w:vAlign w:val="center"/>
          </w:tcPr>
          <w:p w14:paraId="233E3274">
            <w:pPr>
              <w:adjustRightInd w:val="0"/>
              <w:snapToGrid w:val="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执行标准</w:t>
            </w:r>
          </w:p>
        </w:tc>
      </w:tr>
      <w:tr w14:paraId="695762B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2" w:type="pct"/>
            <w:vMerge w:val="restart"/>
            <w:tcBorders>
              <w:tl2br w:val="nil"/>
              <w:tr2bl w:val="nil"/>
            </w:tcBorders>
            <w:vAlign w:val="center"/>
          </w:tcPr>
          <w:p w14:paraId="0CDC3C5B">
            <w:pPr>
              <w:adjustRightInd w:val="0"/>
              <w:snapToGrid w:val="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大气环境</w:t>
            </w:r>
          </w:p>
        </w:tc>
        <w:tc>
          <w:tcPr>
            <w:tcW w:w="955" w:type="pct"/>
            <w:tcBorders>
              <w:tl2br w:val="nil"/>
              <w:tr2bl w:val="nil"/>
            </w:tcBorders>
            <w:vAlign w:val="center"/>
          </w:tcPr>
          <w:p w14:paraId="134A5C53">
            <w:pPr>
              <w:adjustRightInd w:val="0"/>
              <w:snapToGrid w:val="0"/>
              <w:jc w:val="center"/>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DA001</w:t>
            </w:r>
          </w:p>
        </w:tc>
        <w:tc>
          <w:tcPr>
            <w:tcW w:w="931" w:type="pct"/>
            <w:tcBorders>
              <w:bottom w:val="single" w:color="000000" w:sz="4" w:space="0"/>
              <w:tl2br w:val="nil"/>
              <w:tr2bl w:val="nil"/>
            </w:tcBorders>
            <w:vAlign w:val="center"/>
          </w:tcPr>
          <w:p w14:paraId="5972F404">
            <w:pPr>
              <w:jc w:val="center"/>
              <w:rPr>
                <w:rStyle w:val="70"/>
                <w:rFonts w:hint="default" w:ascii="Times New Roman" w:hAnsi="Times New Roman" w:eastAsia="宋体" w:cs="Times New Roman"/>
                <w:b w:val="0"/>
                <w:bCs w:val="0"/>
                <w:color w:val="auto"/>
                <w:sz w:val="21"/>
                <w:szCs w:val="21"/>
                <w:highlight w:val="none"/>
                <w:u w:val="none" w:color="auto"/>
                <w:lang w:eastAsia="zh-CN"/>
              </w:rPr>
            </w:pPr>
            <w:r>
              <w:rPr>
                <w:rStyle w:val="70"/>
                <w:rFonts w:hint="default" w:ascii="Times New Roman" w:hAnsi="Times New Roman" w:eastAsia="宋体" w:cs="Times New Roman"/>
                <w:b w:val="0"/>
                <w:bCs w:val="0"/>
                <w:color w:val="auto"/>
                <w:sz w:val="21"/>
                <w:szCs w:val="21"/>
                <w:highlight w:val="none"/>
                <w:u w:val="none" w:color="auto"/>
                <w:lang w:val="en-US" w:eastAsia="zh-CN"/>
              </w:rPr>
              <w:t>颗粒物、SO</w:t>
            </w:r>
            <w:r>
              <w:rPr>
                <w:rStyle w:val="70"/>
                <w:rFonts w:hint="default" w:ascii="Times New Roman" w:hAnsi="Times New Roman" w:eastAsia="宋体" w:cs="Times New Roman"/>
                <w:b w:val="0"/>
                <w:bCs w:val="0"/>
                <w:color w:val="auto"/>
                <w:sz w:val="21"/>
                <w:szCs w:val="21"/>
                <w:highlight w:val="none"/>
                <w:u w:val="none" w:color="auto"/>
                <w:vertAlign w:val="subscript"/>
                <w:lang w:val="en-US" w:eastAsia="zh-CN"/>
              </w:rPr>
              <w:t>2</w:t>
            </w:r>
            <w:r>
              <w:rPr>
                <w:rStyle w:val="70"/>
                <w:rFonts w:hint="default" w:ascii="Times New Roman" w:hAnsi="Times New Roman" w:eastAsia="宋体" w:cs="Times New Roman"/>
                <w:b w:val="0"/>
                <w:bCs w:val="0"/>
                <w:color w:val="auto"/>
                <w:sz w:val="21"/>
                <w:szCs w:val="21"/>
                <w:highlight w:val="none"/>
                <w:u w:val="none" w:color="auto"/>
                <w:lang w:val="en-US" w:eastAsia="zh-CN"/>
              </w:rPr>
              <w:t>、氮氧化物、林格曼黑度</w:t>
            </w:r>
          </w:p>
        </w:tc>
        <w:tc>
          <w:tcPr>
            <w:tcW w:w="983" w:type="pct"/>
            <w:tcBorders>
              <w:tl2br w:val="nil"/>
              <w:tr2bl w:val="nil"/>
            </w:tcBorders>
            <w:vAlign w:val="center"/>
          </w:tcPr>
          <w:p w14:paraId="7966E6BA">
            <w:pPr>
              <w:jc w:val="center"/>
              <w:rPr>
                <w:rStyle w:val="70"/>
                <w:rFonts w:hint="default" w:ascii="Times New Roman" w:hAnsi="Times New Roman" w:eastAsia="宋体" w:cs="Times New Roman"/>
                <w:b w:val="0"/>
                <w:bCs w:val="0"/>
                <w:color w:val="auto"/>
                <w:sz w:val="21"/>
                <w:szCs w:val="21"/>
                <w:highlight w:val="none"/>
                <w:u w:val="none" w:color="auto"/>
                <w:lang w:val="en-US" w:eastAsia="zh-CN"/>
              </w:rPr>
            </w:pPr>
            <w:r>
              <w:rPr>
                <w:rStyle w:val="70"/>
                <w:rFonts w:hint="default" w:ascii="Times New Roman" w:hAnsi="Times New Roman" w:eastAsia="宋体" w:cs="Times New Roman"/>
                <w:b w:val="0"/>
                <w:bCs w:val="0"/>
                <w:color w:val="auto"/>
                <w:sz w:val="21"/>
                <w:szCs w:val="21"/>
                <w:highlight w:val="none"/>
                <w:u w:val="none" w:color="auto"/>
                <w:lang w:val="en-US" w:eastAsia="zh-CN"/>
              </w:rPr>
              <w:t>布袋除尘+</w:t>
            </w:r>
            <w:r>
              <w:rPr>
                <w:rStyle w:val="70"/>
                <w:rFonts w:hint="default" w:ascii="Times New Roman" w:hAnsi="Times New Roman" w:cs="Times New Roman"/>
                <w:b w:val="0"/>
                <w:bCs w:val="0"/>
                <w:color w:val="auto"/>
                <w:sz w:val="21"/>
                <w:szCs w:val="21"/>
                <w:highlight w:val="none"/>
                <w:u w:val="none" w:color="auto"/>
                <w:lang w:val="en-US" w:eastAsia="zh-CN"/>
              </w:rPr>
              <w:t>30</w:t>
            </w:r>
            <w:r>
              <w:rPr>
                <w:rStyle w:val="70"/>
                <w:rFonts w:hint="default" w:ascii="Times New Roman" w:hAnsi="Times New Roman" w:eastAsia="宋体" w:cs="Times New Roman"/>
                <w:b w:val="0"/>
                <w:bCs w:val="0"/>
                <w:color w:val="auto"/>
                <w:sz w:val="21"/>
                <w:szCs w:val="21"/>
                <w:highlight w:val="none"/>
                <w:u w:val="none" w:color="auto"/>
                <w:lang w:val="en-US" w:eastAsia="zh-CN"/>
              </w:rPr>
              <w:t>m排气筒</w:t>
            </w:r>
          </w:p>
        </w:tc>
        <w:tc>
          <w:tcPr>
            <w:tcW w:w="1368" w:type="pct"/>
            <w:vMerge w:val="restart"/>
            <w:tcBorders>
              <w:tl2br w:val="nil"/>
              <w:tr2bl w:val="nil"/>
            </w:tcBorders>
            <w:vAlign w:val="center"/>
          </w:tcPr>
          <w:p w14:paraId="2AC5A9B0">
            <w:pPr>
              <w:adjustRightInd w:val="0"/>
              <w:snapToGrid w:val="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lang w:val="en-US" w:eastAsia="zh-CN"/>
              </w:rPr>
              <w:t>《锅炉大气污染物排放标准》（GB13271-2014）表3燃煤锅炉特别排放限值</w:t>
            </w:r>
          </w:p>
        </w:tc>
      </w:tr>
      <w:tr w14:paraId="1DC3BA4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2" w:type="pct"/>
            <w:vMerge w:val="continue"/>
            <w:tcBorders>
              <w:tl2br w:val="nil"/>
              <w:tr2bl w:val="nil"/>
            </w:tcBorders>
            <w:vAlign w:val="center"/>
          </w:tcPr>
          <w:p w14:paraId="575904B1">
            <w:pPr>
              <w:adjustRightInd w:val="0"/>
              <w:snapToGrid w:val="0"/>
              <w:jc w:val="center"/>
              <w:rPr>
                <w:rFonts w:hint="default" w:ascii="Times New Roman" w:hAnsi="Times New Roman" w:eastAsia="宋体" w:cs="Times New Roman"/>
                <w:color w:val="auto"/>
                <w:sz w:val="21"/>
                <w:szCs w:val="21"/>
                <w:highlight w:val="none"/>
                <w:u w:val="none" w:color="auto"/>
              </w:rPr>
            </w:pPr>
          </w:p>
        </w:tc>
        <w:tc>
          <w:tcPr>
            <w:tcW w:w="955" w:type="pct"/>
            <w:tcBorders>
              <w:tl2br w:val="nil"/>
              <w:tr2bl w:val="nil"/>
            </w:tcBorders>
            <w:vAlign w:val="center"/>
          </w:tcPr>
          <w:p w14:paraId="0B475FCE">
            <w:pPr>
              <w:adjustRightInd w:val="0"/>
              <w:snapToGrid w:val="0"/>
              <w:jc w:val="center"/>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DA002</w:t>
            </w:r>
          </w:p>
        </w:tc>
        <w:tc>
          <w:tcPr>
            <w:tcW w:w="931" w:type="pct"/>
            <w:tcBorders>
              <w:bottom w:val="single" w:color="000000" w:sz="4" w:space="0"/>
              <w:tl2br w:val="nil"/>
              <w:tr2bl w:val="nil"/>
            </w:tcBorders>
            <w:shd w:val="clear" w:color="auto" w:fill="auto"/>
            <w:vAlign w:val="center"/>
          </w:tcPr>
          <w:p w14:paraId="184478D1">
            <w:pPr>
              <w:jc w:val="center"/>
              <w:rPr>
                <w:rFonts w:hint="eastAsia" w:ascii="Times New Roman" w:hAnsi="Times New Roman" w:eastAsia="宋体" w:cs="Times New Roman"/>
                <w:b w:val="0"/>
                <w:bCs w:val="0"/>
                <w:color w:val="auto"/>
                <w:kern w:val="2"/>
                <w:sz w:val="21"/>
                <w:szCs w:val="21"/>
                <w:highlight w:val="none"/>
                <w:u w:val="none" w:color="auto"/>
                <w:lang w:val="en-US" w:eastAsia="zh-CN" w:bidi="ar-SA"/>
              </w:rPr>
            </w:pPr>
            <w:r>
              <w:rPr>
                <w:rStyle w:val="70"/>
                <w:rFonts w:hint="default" w:ascii="Times New Roman" w:hAnsi="Times New Roman" w:eastAsia="宋体" w:cs="Times New Roman"/>
                <w:b w:val="0"/>
                <w:bCs w:val="0"/>
                <w:color w:val="auto"/>
                <w:sz w:val="21"/>
                <w:szCs w:val="21"/>
                <w:highlight w:val="none"/>
                <w:u w:val="none" w:color="auto"/>
                <w:lang w:val="en-US" w:eastAsia="zh-CN"/>
              </w:rPr>
              <w:t>颗粒物、SO</w:t>
            </w:r>
            <w:r>
              <w:rPr>
                <w:rStyle w:val="70"/>
                <w:rFonts w:hint="default" w:ascii="Times New Roman" w:hAnsi="Times New Roman" w:eastAsia="宋体" w:cs="Times New Roman"/>
                <w:b w:val="0"/>
                <w:bCs w:val="0"/>
                <w:color w:val="auto"/>
                <w:sz w:val="21"/>
                <w:szCs w:val="21"/>
                <w:highlight w:val="none"/>
                <w:u w:val="none" w:color="auto"/>
                <w:vertAlign w:val="subscript"/>
                <w:lang w:val="en-US" w:eastAsia="zh-CN"/>
              </w:rPr>
              <w:t>2</w:t>
            </w:r>
            <w:r>
              <w:rPr>
                <w:rStyle w:val="70"/>
                <w:rFonts w:hint="default" w:ascii="Times New Roman" w:hAnsi="Times New Roman" w:eastAsia="宋体" w:cs="Times New Roman"/>
                <w:b w:val="0"/>
                <w:bCs w:val="0"/>
                <w:color w:val="auto"/>
                <w:sz w:val="21"/>
                <w:szCs w:val="21"/>
                <w:highlight w:val="none"/>
                <w:u w:val="none" w:color="auto"/>
                <w:lang w:val="en-US" w:eastAsia="zh-CN"/>
              </w:rPr>
              <w:t>、氮氧化物、林格曼黑度</w:t>
            </w:r>
          </w:p>
        </w:tc>
        <w:tc>
          <w:tcPr>
            <w:tcW w:w="983" w:type="pct"/>
            <w:tcBorders>
              <w:tl2br w:val="nil"/>
              <w:tr2bl w:val="nil"/>
            </w:tcBorders>
            <w:shd w:val="clear" w:color="auto" w:fill="auto"/>
            <w:vAlign w:val="center"/>
          </w:tcPr>
          <w:p w14:paraId="78109FAA">
            <w:pPr>
              <w:jc w:val="center"/>
              <w:rPr>
                <w:rFonts w:hint="eastAsia" w:ascii="Times New Roman" w:hAnsi="Times New Roman" w:eastAsia="宋体" w:cs="Times New Roman"/>
                <w:b w:val="0"/>
                <w:bCs w:val="0"/>
                <w:color w:val="auto"/>
                <w:kern w:val="2"/>
                <w:sz w:val="21"/>
                <w:szCs w:val="21"/>
                <w:highlight w:val="none"/>
                <w:u w:val="none" w:color="auto"/>
                <w:lang w:val="en-US" w:eastAsia="zh-CN" w:bidi="ar-SA"/>
              </w:rPr>
            </w:pPr>
            <w:r>
              <w:rPr>
                <w:rStyle w:val="70"/>
                <w:rFonts w:hint="default" w:ascii="Times New Roman" w:hAnsi="Times New Roman" w:eastAsia="宋体" w:cs="Times New Roman"/>
                <w:b w:val="0"/>
                <w:bCs w:val="0"/>
                <w:color w:val="auto"/>
                <w:sz w:val="21"/>
                <w:szCs w:val="21"/>
                <w:highlight w:val="none"/>
                <w:u w:val="none" w:color="auto"/>
                <w:lang w:val="en-US" w:eastAsia="zh-CN"/>
              </w:rPr>
              <w:t>布袋除尘+</w:t>
            </w:r>
            <w:r>
              <w:rPr>
                <w:rStyle w:val="70"/>
                <w:rFonts w:hint="default" w:ascii="Times New Roman" w:hAnsi="Times New Roman" w:cs="Times New Roman"/>
                <w:b w:val="0"/>
                <w:bCs w:val="0"/>
                <w:color w:val="auto"/>
                <w:sz w:val="21"/>
                <w:szCs w:val="21"/>
                <w:highlight w:val="none"/>
                <w:u w:val="none" w:color="auto"/>
                <w:lang w:val="en-US" w:eastAsia="zh-CN"/>
              </w:rPr>
              <w:t>30</w:t>
            </w:r>
            <w:r>
              <w:rPr>
                <w:rStyle w:val="70"/>
                <w:rFonts w:hint="default" w:ascii="Times New Roman" w:hAnsi="Times New Roman" w:eastAsia="宋体" w:cs="Times New Roman"/>
                <w:b w:val="0"/>
                <w:bCs w:val="0"/>
                <w:color w:val="auto"/>
                <w:sz w:val="21"/>
                <w:szCs w:val="21"/>
                <w:highlight w:val="none"/>
                <w:u w:val="none" w:color="auto"/>
                <w:lang w:val="en-US" w:eastAsia="zh-CN"/>
              </w:rPr>
              <w:t>m排气筒</w:t>
            </w:r>
          </w:p>
        </w:tc>
        <w:tc>
          <w:tcPr>
            <w:tcW w:w="1368" w:type="pct"/>
            <w:vMerge w:val="continue"/>
            <w:tcBorders>
              <w:bottom w:val="single" w:color="000000" w:sz="4" w:space="0"/>
              <w:tl2br w:val="nil"/>
              <w:tr2bl w:val="nil"/>
            </w:tcBorders>
            <w:vAlign w:val="center"/>
          </w:tcPr>
          <w:p w14:paraId="76E5D283">
            <w:pPr>
              <w:adjustRightInd w:val="0"/>
              <w:snapToGrid w:val="0"/>
              <w:jc w:val="center"/>
              <w:rPr>
                <w:rStyle w:val="70"/>
                <w:rFonts w:hint="default" w:ascii="Times New Roman" w:hAnsi="Times New Roman" w:eastAsia="宋体" w:cs="Times New Roman"/>
                <w:b w:val="0"/>
                <w:bCs w:val="0"/>
                <w:color w:val="auto"/>
                <w:sz w:val="21"/>
                <w:szCs w:val="21"/>
                <w:highlight w:val="none"/>
                <w:u w:val="none" w:color="auto"/>
              </w:rPr>
            </w:pPr>
          </w:p>
        </w:tc>
      </w:tr>
      <w:tr w14:paraId="0F09506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2" w:type="pct"/>
            <w:vMerge w:val="continue"/>
            <w:tcBorders>
              <w:tl2br w:val="nil"/>
              <w:tr2bl w:val="nil"/>
            </w:tcBorders>
            <w:vAlign w:val="center"/>
          </w:tcPr>
          <w:p w14:paraId="7D043558">
            <w:pPr>
              <w:adjustRightInd w:val="0"/>
              <w:snapToGrid w:val="0"/>
              <w:jc w:val="center"/>
              <w:rPr>
                <w:rFonts w:hint="default" w:ascii="Times New Roman" w:hAnsi="Times New Roman" w:eastAsia="宋体" w:cs="Times New Roman"/>
                <w:color w:val="auto"/>
                <w:sz w:val="21"/>
                <w:szCs w:val="21"/>
                <w:highlight w:val="none"/>
                <w:u w:val="none" w:color="auto"/>
              </w:rPr>
            </w:pPr>
          </w:p>
        </w:tc>
        <w:tc>
          <w:tcPr>
            <w:tcW w:w="955" w:type="pct"/>
            <w:tcBorders>
              <w:tl2br w:val="nil"/>
              <w:tr2bl w:val="nil"/>
            </w:tcBorders>
            <w:vAlign w:val="center"/>
          </w:tcPr>
          <w:p w14:paraId="1AC5A16F">
            <w:pPr>
              <w:adjustRightInd w:val="0"/>
              <w:snapToGrid w:val="0"/>
              <w:jc w:val="center"/>
              <w:rPr>
                <w:rFonts w:hint="default"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DA003</w:t>
            </w:r>
          </w:p>
        </w:tc>
        <w:tc>
          <w:tcPr>
            <w:tcW w:w="931" w:type="pct"/>
            <w:tcBorders>
              <w:bottom w:val="single" w:color="000000" w:sz="4" w:space="0"/>
              <w:tl2br w:val="nil"/>
              <w:tr2bl w:val="nil"/>
            </w:tcBorders>
            <w:shd w:val="clear" w:color="auto" w:fill="auto"/>
            <w:vAlign w:val="center"/>
          </w:tcPr>
          <w:p w14:paraId="5FB96F0A">
            <w:pPr>
              <w:jc w:val="center"/>
              <w:rPr>
                <w:rStyle w:val="70"/>
                <w:rFonts w:hint="default" w:ascii="Times New Roman" w:hAnsi="Times New Roman" w:eastAsia="宋体" w:cs="Times New Roman"/>
                <w:b w:val="0"/>
                <w:bCs w:val="0"/>
                <w:color w:val="auto"/>
                <w:sz w:val="21"/>
                <w:szCs w:val="21"/>
                <w:highlight w:val="none"/>
                <w:u w:val="none" w:color="auto"/>
                <w:lang w:val="en-US" w:eastAsia="zh-CN"/>
              </w:rPr>
            </w:pPr>
            <w:r>
              <w:rPr>
                <w:rStyle w:val="70"/>
                <w:rFonts w:hint="default" w:ascii="Times New Roman" w:hAnsi="Times New Roman" w:eastAsia="宋体" w:cs="Times New Roman"/>
                <w:b w:val="0"/>
                <w:bCs w:val="0"/>
                <w:color w:val="auto"/>
                <w:sz w:val="21"/>
                <w:szCs w:val="21"/>
                <w:highlight w:val="none"/>
                <w:u w:val="none" w:color="auto"/>
                <w:lang w:val="en-US" w:eastAsia="zh-CN"/>
              </w:rPr>
              <w:t>油烟</w:t>
            </w:r>
          </w:p>
        </w:tc>
        <w:tc>
          <w:tcPr>
            <w:tcW w:w="983" w:type="pct"/>
            <w:tcBorders>
              <w:tl2br w:val="nil"/>
              <w:tr2bl w:val="nil"/>
            </w:tcBorders>
            <w:shd w:val="clear" w:color="auto" w:fill="auto"/>
            <w:vAlign w:val="center"/>
          </w:tcPr>
          <w:p w14:paraId="1A113290">
            <w:pPr>
              <w:jc w:val="center"/>
              <w:rPr>
                <w:rStyle w:val="70"/>
                <w:rFonts w:hint="default" w:ascii="Times New Roman" w:hAnsi="Times New Roman" w:eastAsia="宋体" w:cs="Times New Roman"/>
                <w:b w:val="0"/>
                <w:bCs w:val="0"/>
                <w:color w:val="auto"/>
                <w:sz w:val="21"/>
                <w:szCs w:val="21"/>
                <w:highlight w:val="none"/>
                <w:u w:val="none" w:color="auto"/>
                <w:lang w:val="en-US" w:eastAsia="zh-CN"/>
              </w:rPr>
            </w:pPr>
            <w:r>
              <w:rPr>
                <w:rStyle w:val="70"/>
                <w:rFonts w:hint="default" w:ascii="Times New Roman" w:hAnsi="Times New Roman" w:eastAsia="宋体" w:cs="Times New Roman"/>
                <w:b w:val="0"/>
                <w:bCs w:val="0"/>
                <w:color w:val="auto"/>
                <w:sz w:val="21"/>
                <w:szCs w:val="21"/>
                <w:highlight w:val="none"/>
                <w:u w:val="none" w:color="auto"/>
                <w:lang w:val="en-US" w:eastAsia="zh-CN"/>
              </w:rPr>
              <w:t>集气罩+油烟净化器+15m排气筒</w:t>
            </w:r>
          </w:p>
        </w:tc>
        <w:tc>
          <w:tcPr>
            <w:tcW w:w="1368" w:type="pct"/>
            <w:tcBorders>
              <w:bottom w:val="single" w:color="000000" w:sz="4" w:space="0"/>
              <w:tl2br w:val="nil"/>
              <w:tr2bl w:val="nil"/>
            </w:tcBorders>
            <w:vAlign w:val="center"/>
          </w:tcPr>
          <w:p w14:paraId="74A3263E">
            <w:pPr>
              <w:adjustRightInd w:val="0"/>
              <w:snapToGrid w:val="0"/>
              <w:jc w:val="center"/>
              <w:rPr>
                <w:rStyle w:val="70"/>
                <w:rFonts w:hint="default" w:ascii="Times New Roman" w:hAnsi="Times New Roman" w:eastAsia="宋体" w:cs="Times New Roman"/>
                <w:b w:val="0"/>
                <w:bCs w:val="0"/>
                <w:color w:val="auto"/>
                <w:sz w:val="21"/>
                <w:szCs w:val="21"/>
                <w:highlight w:val="none"/>
                <w:u w:val="none" w:color="auto"/>
              </w:rPr>
            </w:pPr>
            <w:r>
              <w:rPr>
                <w:rStyle w:val="70"/>
                <w:rFonts w:hint="default" w:ascii="Times New Roman" w:hAnsi="Times New Roman" w:eastAsia="宋体" w:cs="Times New Roman"/>
                <w:b w:val="0"/>
                <w:bCs w:val="0"/>
                <w:color w:val="auto"/>
                <w:sz w:val="21"/>
                <w:szCs w:val="21"/>
                <w:highlight w:val="none"/>
                <w:u w:val="none" w:color="auto"/>
                <w:lang w:val="en-US" w:eastAsia="zh-CN"/>
              </w:rPr>
              <w:t>《饮食业油烟排放标准》（GB18483-2001）</w:t>
            </w:r>
          </w:p>
        </w:tc>
      </w:tr>
      <w:tr w14:paraId="1F9E741D">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2" w:type="pct"/>
            <w:vMerge w:val="continue"/>
            <w:tcBorders>
              <w:tl2br w:val="nil"/>
              <w:tr2bl w:val="nil"/>
            </w:tcBorders>
            <w:vAlign w:val="center"/>
          </w:tcPr>
          <w:p w14:paraId="125A500A">
            <w:pPr>
              <w:adjustRightInd w:val="0"/>
              <w:snapToGrid w:val="0"/>
              <w:jc w:val="center"/>
              <w:rPr>
                <w:rFonts w:hint="default" w:ascii="Times New Roman" w:hAnsi="Times New Roman" w:eastAsia="宋体" w:cs="Times New Roman"/>
                <w:color w:val="auto"/>
                <w:sz w:val="21"/>
                <w:szCs w:val="21"/>
                <w:highlight w:val="none"/>
                <w:u w:val="none" w:color="auto"/>
              </w:rPr>
            </w:pPr>
          </w:p>
        </w:tc>
        <w:tc>
          <w:tcPr>
            <w:tcW w:w="955" w:type="pct"/>
            <w:tcBorders>
              <w:tl2br w:val="nil"/>
              <w:tr2bl w:val="nil"/>
            </w:tcBorders>
            <w:vAlign w:val="center"/>
          </w:tcPr>
          <w:p w14:paraId="61F3F5EA">
            <w:pPr>
              <w:adjustRightInd w:val="0"/>
              <w:snapToGrid w:val="0"/>
              <w:jc w:val="center"/>
              <w:rPr>
                <w:rFonts w:hint="eastAsia"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粉料投料粉尘</w:t>
            </w:r>
          </w:p>
        </w:tc>
        <w:tc>
          <w:tcPr>
            <w:tcW w:w="931" w:type="pct"/>
            <w:tcBorders>
              <w:bottom w:val="single" w:color="000000" w:sz="4" w:space="0"/>
              <w:tl2br w:val="nil"/>
              <w:tr2bl w:val="nil"/>
            </w:tcBorders>
            <w:vAlign w:val="center"/>
          </w:tcPr>
          <w:p w14:paraId="16865FF7">
            <w:pPr>
              <w:jc w:val="center"/>
              <w:rPr>
                <w:rStyle w:val="70"/>
                <w:rFonts w:hint="eastAsia" w:ascii="宋体" w:hAnsi="宋体" w:eastAsia="宋体" w:cs="宋体"/>
                <w:b w:val="0"/>
                <w:bCs w:val="0"/>
                <w:color w:val="auto"/>
                <w:sz w:val="21"/>
                <w:szCs w:val="21"/>
                <w:highlight w:val="none"/>
                <w:u w:val="none" w:color="auto"/>
                <w:lang w:val="en-US" w:eastAsia="zh-CN"/>
              </w:rPr>
            </w:pPr>
            <w:r>
              <w:rPr>
                <w:rStyle w:val="70"/>
                <w:rFonts w:hint="eastAsia" w:ascii="宋体" w:hAnsi="宋体" w:eastAsia="宋体" w:cs="宋体"/>
                <w:b w:val="0"/>
                <w:bCs w:val="0"/>
                <w:color w:val="auto"/>
                <w:sz w:val="21"/>
                <w:szCs w:val="21"/>
                <w:highlight w:val="none"/>
                <w:u w:val="none" w:color="auto"/>
                <w:lang w:val="en-US" w:eastAsia="zh-CN"/>
              </w:rPr>
              <w:t>颗粒物</w:t>
            </w:r>
          </w:p>
        </w:tc>
        <w:tc>
          <w:tcPr>
            <w:tcW w:w="983" w:type="pct"/>
            <w:tcBorders>
              <w:tl2br w:val="nil"/>
              <w:tr2bl w:val="nil"/>
            </w:tcBorders>
            <w:vAlign w:val="center"/>
          </w:tcPr>
          <w:p w14:paraId="40523F04">
            <w:pPr>
              <w:jc w:val="center"/>
              <w:rPr>
                <w:rStyle w:val="70"/>
                <w:rFonts w:hint="eastAsia" w:ascii="宋体" w:hAnsi="宋体" w:eastAsia="宋体" w:cs="宋体"/>
                <w:b w:val="0"/>
                <w:bCs w:val="0"/>
                <w:color w:val="auto"/>
                <w:sz w:val="21"/>
                <w:szCs w:val="21"/>
                <w:highlight w:val="none"/>
                <w:u w:val="none" w:color="auto"/>
                <w:lang w:val="en-US" w:eastAsia="zh-CN"/>
              </w:rPr>
            </w:pPr>
            <w:r>
              <w:rPr>
                <w:rStyle w:val="70"/>
                <w:rFonts w:hint="eastAsia" w:ascii="宋体" w:hAnsi="宋体" w:eastAsia="宋体" w:cs="宋体"/>
                <w:b w:val="0"/>
                <w:bCs w:val="0"/>
                <w:color w:val="auto"/>
                <w:sz w:val="21"/>
                <w:szCs w:val="21"/>
                <w:highlight w:val="none"/>
                <w:u w:val="none" w:color="auto"/>
                <w:lang w:val="en-US" w:eastAsia="zh-CN"/>
              </w:rPr>
              <w:t>降低投放高度</w:t>
            </w:r>
          </w:p>
        </w:tc>
        <w:tc>
          <w:tcPr>
            <w:tcW w:w="1368" w:type="pct"/>
            <w:tcBorders>
              <w:bottom w:val="single" w:color="000000" w:sz="4" w:space="0"/>
              <w:tl2br w:val="nil"/>
              <w:tr2bl w:val="nil"/>
            </w:tcBorders>
            <w:vAlign w:val="center"/>
          </w:tcPr>
          <w:p w14:paraId="7A3B0D4E">
            <w:pPr>
              <w:adjustRightInd w:val="0"/>
              <w:snapToGrid w:val="0"/>
              <w:jc w:val="center"/>
              <w:rPr>
                <w:rStyle w:val="70"/>
                <w:rFonts w:hint="default" w:ascii="Times New Roman" w:hAnsi="Times New Roman" w:eastAsia="宋体" w:cs="Times New Roman"/>
                <w:b w:val="0"/>
                <w:bCs w:val="0"/>
                <w:color w:val="auto"/>
                <w:sz w:val="21"/>
                <w:szCs w:val="21"/>
                <w:highlight w:val="none"/>
                <w:u w:val="none" w:color="auto"/>
              </w:rPr>
            </w:pPr>
            <w:r>
              <w:rPr>
                <w:rStyle w:val="70"/>
                <w:rFonts w:hint="default" w:ascii="Times New Roman" w:hAnsi="Times New Roman" w:eastAsia="宋体" w:cs="Times New Roman"/>
                <w:b w:val="0"/>
                <w:bCs w:val="0"/>
                <w:color w:val="auto"/>
                <w:sz w:val="21"/>
                <w:szCs w:val="21"/>
                <w:highlight w:val="none"/>
                <w:u w:val="none" w:color="auto"/>
              </w:rPr>
              <w:t>《大气污染物综合排放标准》（GB16297-1996）中表2中的二级标准</w:t>
            </w:r>
            <w:r>
              <w:rPr>
                <w:rStyle w:val="70"/>
                <w:rFonts w:hint="default" w:ascii="Times New Roman" w:hAnsi="Times New Roman" w:eastAsia="宋体" w:cs="Times New Roman"/>
                <w:b w:val="0"/>
                <w:bCs w:val="0"/>
                <w:color w:val="auto"/>
                <w:sz w:val="21"/>
                <w:szCs w:val="21"/>
                <w:highlight w:val="none"/>
                <w:u w:val="none" w:color="auto"/>
                <w:lang w:val="en-US" w:eastAsia="zh-CN"/>
              </w:rPr>
              <w:t>要求</w:t>
            </w:r>
          </w:p>
        </w:tc>
      </w:tr>
      <w:tr w14:paraId="6B83055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2" w:type="pct"/>
            <w:vMerge w:val="continue"/>
            <w:tcBorders>
              <w:tl2br w:val="nil"/>
              <w:tr2bl w:val="nil"/>
            </w:tcBorders>
            <w:vAlign w:val="center"/>
          </w:tcPr>
          <w:p w14:paraId="5B95334C">
            <w:pPr>
              <w:adjustRightInd w:val="0"/>
              <w:snapToGrid w:val="0"/>
              <w:jc w:val="center"/>
              <w:rPr>
                <w:rFonts w:hint="default" w:ascii="Times New Roman" w:hAnsi="Times New Roman" w:eastAsia="宋体" w:cs="Times New Roman"/>
                <w:color w:val="auto"/>
                <w:sz w:val="21"/>
                <w:szCs w:val="21"/>
                <w:highlight w:val="none"/>
                <w:u w:val="none" w:color="auto"/>
              </w:rPr>
            </w:pPr>
          </w:p>
        </w:tc>
        <w:tc>
          <w:tcPr>
            <w:tcW w:w="955" w:type="pct"/>
            <w:tcBorders>
              <w:tl2br w:val="nil"/>
              <w:tr2bl w:val="nil"/>
            </w:tcBorders>
            <w:shd w:val="clear" w:color="auto" w:fill="auto"/>
            <w:vAlign w:val="center"/>
          </w:tcPr>
          <w:p w14:paraId="5D3C11B0">
            <w:pPr>
              <w:adjustRightInd w:val="0"/>
              <w:snapToGrid w:val="0"/>
              <w:jc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sz w:val="21"/>
                <w:szCs w:val="21"/>
                <w:highlight w:val="none"/>
                <w:u w:val="none" w:color="auto"/>
                <w:lang w:val="en-US" w:eastAsia="zh-CN"/>
              </w:rPr>
              <w:t>污水处理站恶臭</w:t>
            </w:r>
          </w:p>
        </w:tc>
        <w:tc>
          <w:tcPr>
            <w:tcW w:w="931" w:type="pct"/>
            <w:tcBorders>
              <w:bottom w:val="single" w:color="000000" w:sz="4" w:space="0"/>
              <w:tl2br w:val="nil"/>
              <w:tr2bl w:val="nil"/>
            </w:tcBorders>
            <w:shd w:val="clear" w:color="auto" w:fill="auto"/>
            <w:vAlign w:val="center"/>
          </w:tcPr>
          <w:p w14:paraId="5DA000AD">
            <w:pPr>
              <w:jc w:val="center"/>
              <w:rPr>
                <w:rFonts w:hint="eastAsia" w:ascii="宋体" w:hAnsi="宋体" w:eastAsia="宋体" w:cs="宋体"/>
                <w:b w:val="0"/>
                <w:bCs w:val="0"/>
                <w:color w:val="auto"/>
                <w:kern w:val="2"/>
                <w:sz w:val="21"/>
                <w:szCs w:val="21"/>
                <w:highlight w:val="none"/>
                <w:u w:val="none" w:color="auto"/>
                <w:lang w:val="en-US" w:eastAsia="zh-CN" w:bidi="ar-SA"/>
              </w:rPr>
            </w:pPr>
            <w:r>
              <w:rPr>
                <w:rStyle w:val="70"/>
                <w:rFonts w:hint="eastAsia" w:ascii="宋体" w:hAnsi="宋体" w:eastAsia="宋体" w:cs="宋体"/>
                <w:b w:val="0"/>
                <w:bCs w:val="0"/>
                <w:color w:val="auto"/>
                <w:sz w:val="21"/>
                <w:szCs w:val="21"/>
                <w:highlight w:val="none"/>
                <w:u w:val="none" w:color="auto"/>
                <w:lang w:val="en-US" w:eastAsia="zh-CN"/>
              </w:rPr>
              <w:t>氨、硫化氢、臭气浓度</w:t>
            </w:r>
          </w:p>
        </w:tc>
        <w:tc>
          <w:tcPr>
            <w:tcW w:w="983" w:type="pct"/>
            <w:tcBorders>
              <w:tl2br w:val="nil"/>
              <w:tr2bl w:val="nil"/>
            </w:tcBorders>
            <w:shd w:val="clear" w:color="auto" w:fill="auto"/>
            <w:vAlign w:val="center"/>
          </w:tcPr>
          <w:p w14:paraId="41C8D7E6">
            <w:pPr>
              <w:jc w:val="center"/>
              <w:rPr>
                <w:rStyle w:val="70"/>
                <w:rFonts w:hint="eastAsia" w:ascii="宋体" w:hAnsi="宋体" w:eastAsia="宋体" w:cs="宋体"/>
                <w:b w:val="0"/>
                <w:bCs w:val="0"/>
                <w:color w:val="auto"/>
                <w:sz w:val="21"/>
                <w:szCs w:val="21"/>
                <w:highlight w:val="none"/>
                <w:u w:val="none" w:color="auto"/>
                <w:lang w:val="en-US" w:eastAsia="zh-CN"/>
              </w:rPr>
            </w:pPr>
            <w:r>
              <w:rPr>
                <w:rStyle w:val="70"/>
                <w:rFonts w:hint="eastAsia" w:ascii="宋体" w:hAnsi="宋体" w:eastAsia="宋体" w:cs="宋体"/>
                <w:b w:val="0"/>
                <w:bCs w:val="0"/>
                <w:color w:val="auto"/>
                <w:sz w:val="21"/>
                <w:szCs w:val="21"/>
                <w:highlight w:val="none"/>
                <w:u w:val="none" w:color="auto"/>
                <w:lang w:val="en-US" w:eastAsia="zh-CN"/>
              </w:rPr>
              <w:t>加盖密闭、加强</w:t>
            </w:r>
          </w:p>
          <w:p w14:paraId="7287F798">
            <w:pPr>
              <w:jc w:val="center"/>
              <w:rPr>
                <w:rFonts w:hint="eastAsia" w:ascii="宋体" w:hAnsi="宋体" w:eastAsia="宋体" w:cs="宋体"/>
                <w:b w:val="0"/>
                <w:bCs w:val="0"/>
                <w:color w:val="auto"/>
                <w:kern w:val="2"/>
                <w:sz w:val="21"/>
                <w:szCs w:val="21"/>
                <w:highlight w:val="none"/>
                <w:u w:val="none" w:color="auto"/>
                <w:lang w:val="en-US" w:eastAsia="zh-CN" w:bidi="ar-SA"/>
              </w:rPr>
            </w:pPr>
            <w:r>
              <w:rPr>
                <w:rStyle w:val="70"/>
                <w:rFonts w:hint="eastAsia" w:ascii="宋体" w:hAnsi="宋体" w:eastAsia="宋体" w:cs="宋体"/>
                <w:b w:val="0"/>
                <w:bCs w:val="0"/>
                <w:color w:val="auto"/>
                <w:sz w:val="21"/>
                <w:szCs w:val="21"/>
                <w:highlight w:val="none"/>
                <w:u w:val="none" w:color="auto"/>
                <w:lang w:val="en-US" w:eastAsia="zh-CN"/>
              </w:rPr>
              <w:t>厂区绿化</w:t>
            </w:r>
          </w:p>
        </w:tc>
        <w:tc>
          <w:tcPr>
            <w:tcW w:w="1368" w:type="pct"/>
            <w:vMerge w:val="restart"/>
            <w:tcBorders>
              <w:tl2br w:val="nil"/>
              <w:tr2bl w:val="nil"/>
            </w:tcBorders>
            <w:shd w:val="clear" w:color="auto" w:fill="auto"/>
            <w:vAlign w:val="center"/>
          </w:tcPr>
          <w:p w14:paraId="17383E43">
            <w:pPr>
              <w:adjustRightInd w:val="0"/>
              <w:snapToGrid w:val="0"/>
              <w:jc w:val="center"/>
              <w:rPr>
                <w:rStyle w:val="70"/>
                <w:rFonts w:hint="default" w:ascii="Times New Roman" w:hAnsi="Times New Roman" w:eastAsia="宋体" w:cs="Times New Roman"/>
                <w:b w:val="0"/>
                <w:bCs w:val="0"/>
                <w:color w:val="auto"/>
                <w:sz w:val="21"/>
                <w:szCs w:val="21"/>
                <w:highlight w:val="none"/>
                <w:u w:val="none" w:color="auto"/>
              </w:rPr>
            </w:pPr>
            <w:r>
              <w:rPr>
                <w:rStyle w:val="70"/>
                <w:rFonts w:hint="default" w:ascii="Times New Roman" w:hAnsi="Times New Roman" w:eastAsia="宋体" w:cs="Times New Roman"/>
                <w:b w:val="0"/>
                <w:bCs w:val="0"/>
                <w:color w:val="auto"/>
                <w:sz w:val="21"/>
                <w:szCs w:val="21"/>
                <w:highlight w:val="none"/>
                <w:u w:val="none" w:color="auto"/>
              </w:rPr>
              <w:t>《恶臭污染物排放标</w:t>
            </w:r>
          </w:p>
          <w:p w14:paraId="021C4E18">
            <w:pPr>
              <w:adjustRightInd w:val="0"/>
              <w:snapToGrid w:val="0"/>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Style w:val="70"/>
                <w:rFonts w:hint="default" w:ascii="Times New Roman" w:hAnsi="Times New Roman" w:eastAsia="宋体" w:cs="Times New Roman"/>
                <w:b w:val="0"/>
                <w:bCs w:val="0"/>
                <w:color w:val="auto"/>
                <w:sz w:val="21"/>
                <w:szCs w:val="21"/>
                <w:highlight w:val="none"/>
                <w:u w:val="none" w:color="auto"/>
              </w:rPr>
              <w:t>准》（GB14554-93）</w:t>
            </w:r>
            <w:r>
              <w:rPr>
                <w:rStyle w:val="70"/>
                <w:rFonts w:hint="default" w:ascii="Times New Roman" w:hAnsi="Times New Roman" w:eastAsia="宋体" w:cs="Times New Roman"/>
                <w:b w:val="0"/>
                <w:bCs w:val="0"/>
                <w:color w:val="auto"/>
                <w:sz w:val="21"/>
                <w:szCs w:val="21"/>
                <w:highlight w:val="none"/>
                <w:u w:val="none" w:color="auto"/>
                <w:lang w:val="en-US" w:eastAsia="zh-CN"/>
              </w:rPr>
              <w:t>表1新改扩建二级标准要求</w:t>
            </w:r>
          </w:p>
        </w:tc>
      </w:tr>
      <w:tr w14:paraId="0270A2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2" w:type="pct"/>
            <w:vMerge w:val="continue"/>
            <w:tcBorders>
              <w:tl2br w:val="nil"/>
              <w:tr2bl w:val="nil"/>
            </w:tcBorders>
            <w:vAlign w:val="center"/>
          </w:tcPr>
          <w:p w14:paraId="443342AE">
            <w:pPr>
              <w:adjustRightInd w:val="0"/>
              <w:snapToGrid w:val="0"/>
              <w:jc w:val="center"/>
              <w:rPr>
                <w:rFonts w:hint="default" w:ascii="Times New Roman" w:hAnsi="Times New Roman" w:eastAsia="宋体" w:cs="Times New Roman"/>
                <w:color w:val="auto"/>
                <w:sz w:val="21"/>
                <w:szCs w:val="21"/>
                <w:highlight w:val="none"/>
                <w:u w:val="none" w:color="auto"/>
              </w:rPr>
            </w:pPr>
          </w:p>
        </w:tc>
        <w:tc>
          <w:tcPr>
            <w:tcW w:w="955" w:type="pct"/>
            <w:tcBorders>
              <w:tl2br w:val="nil"/>
              <w:tr2bl w:val="nil"/>
            </w:tcBorders>
            <w:vAlign w:val="center"/>
          </w:tcPr>
          <w:p w14:paraId="54DD5498">
            <w:pPr>
              <w:adjustRightInd w:val="0"/>
              <w:snapToGrid w:val="0"/>
              <w:jc w:val="center"/>
              <w:rPr>
                <w:rFonts w:hint="eastAsia"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车间异味</w:t>
            </w:r>
          </w:p>
        </w:tc>
        <w:tc>
          <w:tcPr>
            <w:tcW w:w="931" w:type="pct"/>
            <w:tcBorders>
              <w:bottom w:val="single" w:color="000000" w:sz="4" w:space="0"/>
              <w:tl2br w:val="nil"/>
              <w:tr2bl w:val="nil"/>
            </w:tcBorders>
            <w:vAlign w:val="center"/>
          </w:tcPr>
          <w:p w14:paraId="1B5078B0">
            <w:pPr>
              <w:jc w:val="center"/>
              <w:rPr>
                <w:rStyle w:val="70"/>
                <w:rFonts w:hint="eastAsia" w:ascii="宋体" w:hAnsi="宋体" w:eastAsia="宋体" w:cs="宋体"/>
                <w:b w:val="0"/>
                <w:bCs w:val="0"/>
                <w:color w:val="auto"/>
                <w:sz w:val="21"/>
                <w:szCs w:val="21"/>
                <w:highlight w:val="none"/>
                <w:u w:val="none" w:color="auto"/>
                <w:lang w:val="en-US" w:eastAsia="zh-CN"/>
              </w:rPr>
            </w:pPr>
            <w:r>
              <w:rPr>
                <w:rStyle w:val="70"/>
                <w:rFonts w:hint="eastAsia" w:ascii="宋体" w:hAnsi="宋体" w:eastAsia="宋体" w:cs="宋体"/>
                <w:b w:val="0"/>
                <w:bCs w:val="0"/>
                <w:color w:val="auto"/>
                <w:sz w:val="21"/>
                <w:szCs w:val="21"/>
                <w:highlight w:val="none"/>
                <w:u w:val="none" w:color="auto"/>
                <w:lang w:val="en-US" w:eastAsia="zh-CN"/>
              </w:rPr>
              <w:t>臭气浓度</w:t>
            </w:r>
          </w:p>
        </w:tc>
        <w:tc>
          <w:tcPr>
            <w:tcW w:w="983" w:type="pct"/>
            <w:tcBorders>
              <w:tl2br w:val="nil"/>
              <w:tr2bl w:val="nil"/>
            </w:tcBorders>
            <w:vAlign w:val="center"/>
          </w:tcPr>
          <w:p w14:paraId="18694BF1">
            <w:pPr>
              <w:jc w:val="center"/>
              <w:rPr>
                <w:rStyle w:val="70"/>
                <w:rFonts w:hint="eastAsia" w:ascii="宋体" w:hAnsi="宋体" w:eastAsia="宋体" w:cs="宋体"/>
                <w:b w:val="0"/>
                <w:bCs w:val="0"/>
                <w:color w:val="auto"/>
                <w:sz w:val="21"/>
                <w:szCs w:val="21"/>
                <w:highlight w:val="none"/>
                <w:u w:val="none" w:color="auto"/>
                <w:lang w:val="en-US" w:eastAsia="zh-CN"/>
              </w:rPr>
            </w:pPr>
            <w:r>
              <w:rPr>
                <w:rStyle w:val="70"/>
                <w:rFonts w:hint="eastAsia" w:ascii="宋体" w:hAnsi="宋体" w:eastAsia="宋体" w:cs="宋体"/>
                <w:b w:val="0"/>
                <w:bCs w:val="0"/>
                <w:color w:val="auto"/>
                <w:sz w:val="21"/>
                <w:szCs w:val="21"/>
                <w:highlight w:val="none"/>
                <w:u w:val="none" w:color="auto"/>
                <w:lang w:val="en-US" w:eastAsia="zh-CN"/>
              </w:rPr>
              <w:t>加强车间通风</w:t>
            </w:r>
          </w:p>
        </w:tc>
        <w:tc>
          <w:tcPr>
            <w:tcW w:w="1368" w:type="pct"/>
            <w:vMerge w:val="continue"/>
            <w:tcBorders>
              <w:tl2br w:val="nil"/>
              <w:tr2bl w:val="nil"/>
            </w:tcBorders>
            <w:vAlign w:val="center"/>
          </w:tcPr>
          <w:p w14:paraId="18E25393">
            <w:pPr>
              <w:adjustRightInd w:val="0"/>
              <w:snapToGrid w:val="0"/>
              <w:jc w:val="center"/>
              <w:rPr>
                <w:rStyle w:val="70"/>
                <w:rFonts w:hint="default" w:ascii="Times New Roman" w:hAnsi="Times New Roman" w:eastAsia="宋体" w:cs="Times New Roman"/>
                <w:b w:val="0"/>
                <w:bCs w:val="0"/>
                <w:color w:val="auto"/>
                <w:sz w:val="21"/>
                <w:szCs w:val="21"/>
                <w:highlight w:val="none"/>
                <w:u w:val="none" w:color="auto"/>
              </w:rPr>
            </w:pPr>
          </w:p>
        </w:tc>
      </w:tr>
      <w:tr w14:paraId="16C51D8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2" w:type="pct"/>
            <w:vMerge w:val="continue"/>
            <w:tcBorders>
              <w:tl2br w:val="nil"/>
              <w:tr2bl w:val="nil"/>
            </w:tcBorders>
            <w:vAlign w:val="center"/>
          </w:tcPr>
          <w:p w14:paraId="32F3772C">
            <w:pPr>
              <w:adjustRightInd w:val="0"/>
              <w:snapToGrid w:val="0"/>
              <w:jc w:val="center"/>
              <w:rPr>
                <w:rFonts w:hint="default" w:ascii="Times New Roman" w:hAnsi="Times New Roman" w:eastAsia="宋体" w:cs="Times New Roman"/>
                <w:color w:val="auto"/>
                <w:sz w:val="21"/>
                <w:szCs w:val="21"/>
                <w:highlight w:val="none"/>
                <w:u w:val="none" w:color="auto"/>
              </w:rPr>
            </w:pPr>
          </w:p>
        </w:tc>
        <w:tc>
          <w:tcPr>
            <w:tcW w:w="955" w:type="pct"/>
            <w:tcBorders>
              <w:tl2br w:val="nil"/>
              <w:tr2bl w:val="nil"/>
            </w:tcBorders>
            <w:vAlign w:val="center"/>
          </w:tcPr>
          <w:p w14:paraId="7E43F5F2">
            <w:pPr>
              <w:adjustRightInd w:val="0"/>
              <w:snapToGrid w:val="0"/>
              <w:jc w:val="center"/>
              <w:rPr>
                <w:rFonts w:hint="eastAsia"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豆渣存放异味</w:t>
            </w:r>
          </w:p>
        </w:tc>
        <w:tc>
          <w:tcPr>
            <w:tcW w:w="931" w:type="pct"/>
            <w:tcBorders>
              <w:bottom w:val="single" w:color="000000" w:sz="4" w:space="0"/>
              <w:tl2br w:val="nil"/>
              <w:tr2bl w:val="nil"/>
            </w:tcBorders>
            <w:vAlign w:val="center"/>
          </w:tcPr>
          <w:p w14:paraId="2983C79A">
            <w:pPr>
              <w:jc w:val="center"/>
              <w:rPr>
                <w:rStyle w:val="70"/>
                <w:rFonts w:hint="eastAsia" w:ascii="宋体" w:hAnsi="宋体" w:eastAsia="宋体" w:cs="宋体"/>
                <w:b w:val="0"/>
                <w:bCs w:val="0"/>
                <w:color w:val="auto"/>
                <w:sz w:val="21"/>
                <w:szCs w:val="21"/>
                <w:highlight w:val="none"/>
                <w:u w:val="none" w:color="auto"/>
                <w:lang w:val="en-US" w:eastAsia="zh-CN"/>
              </w:rPr>
            </w:pPr>
            <w:r>
              <w:rPr>
                <w:rStyle w:val="70"/>
                <w:rFonts w:hint="eastAsia" w:ascii="宋体" w:hAnsi="宋体" w:eastAsia="宋体" w:cs="宋体"/>
                <w:b w:val="0"/>
                <w:bCs w:val="0"/>
                <w:color w:val="auto"/>
                <w:sz w:val="21"/>
                <w:szCs w:val="21"/>
                <w:highlight w:val="none"/>
                <w:u w:val="none" w:color="auto"/>
                <w:lang w:val="en-US" w:eastAsia="zh-CN"/>
              </w:rPr>
              <w:t>臭气浓度</w:t>
            </w:r>
          </w:p>
        </w:tc>
        <w:tc>
          <w:tcPr>
            <w:tcW w:w="983" w:type="pct"/>
            <w:tcBorders>
              <w:tl2br w:val="nil"/>
              <w:tr2bl w:val="nil"/>
            </w:tcBorders>
            <w:vAlign w:val="center"/>
          </w:tcPr>
          <w:p w14:paraId="31A3B7DA">
            <w:pPr>
              <w:jc w:val="center"/>
              <w:rPr>
                <w:rStyle w:val="70"/>
                <w:rFonts w:hint="eastAsia" w:ascii="宋体" w:hAnsi="宋体" w:eastAsia="宋体" w:cs="宋体"/>
                <w:b w:val="0"/>
                <w:bCs w:val="0"/>
                <w:color w:val="auto"/>
                <w:sz w:val="21"/>
                <w:szCs w:val="21"/>
                <w:highlight w:val="none"/>
                <w:u w:val="none" w:color="auto"/>
                <w:lang w:val="en-US" w:eastAsia="zh-CN"/>
              </w:rPr>
            </w:pPr>
            <w:r>
              <w:rPr>
                <w:rStyle w:val="70"/>
                <w:rFonts w:hint="eastAsia" w:ascii="宋体" w:hAnsi="宋体" w:eastAsia="宋体" w:cs="宋体"/>
                <w:b w:val="0"/>
                <w:bCs w:val="0"/>
                <w:color w:val="auto"/>
                <w:sz w:val="21"/>
                <w:szCs w:val="21"/>
                <w:highlight w:val="none"/>
                <w:u w:val="none" w:color="auto"/>
                <w:lang w:val="en-US" w:eastAsia="zh-CN"/>
              </w:rPr>
              <w:t>日清日产</w:t>
            </w:r>
          </w:p>
        </w:tc>
        <w:tc>
          <w:tcPr>
            <w:tcW w:w="1368" w:type="pct"/>
            <w:vMerge w:val="continue"/>
            <w:tcBorders>
              <w:bottom w:val="single" w:color="000000" w:sz="4" w:space="0"/>
              <w:tl2br w:val="nil"/>
              <w:tr2bl w:val="nil"/>
            </w:tcBorders>
            <w:vAlign w:val="center"/>
          </w:tcPr>
          <w:p w14:paraId="159641DA">
            <w:pPr>
              <w:adjustRightInd w:val="0"/>
              <w:snapToGrid w:val="0"/>
              <w:jc w:val="center"/>
              <w:rPr>
                <w:rStyle w:val="70"/>
                <w:rFonts w:hint="default" w:ascii="Times New Roman" w:hAnsi="Times New Roman" w:eastAsia="宋体" w:cs="Times New Roman"/>
                <w:b w:val="0"/>
                <w:bCs w:val="0"/>
                <w:color w:val="auto"/>
                <w:sz w:val="21"/>
                <w:szCs w:val="21"/>
                <w:highlight w:val="none"/>
                <w:u w:val="none" w:color="auto"/>
              </w:rPr>
            </w:pPr>
          </w:p>
        </w:tc>
      </w:tr>
      <w:tr w14:paraId="13A98DF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756" w:hRule="atLeast"/>
          <w:jc w:val="center"/>
        </w:trPr>
        <w:tc>
          <w:tcPr>
            <w:tcW w:w="762" w:type="pct"/>
            <w:vMerge w:val="restart"/>
            <w:tcBorders>
              <w:tl2br w:val="nil"/>
              <w:tr2bl w:val="nil"/>
            </w:tcBorders>
            <w:vAlign w:val="center"/>
          </w:tcPr>
          <w:p w14:paraId="71E79097">
            <w:pPr>
              <w:adjustRightInd w:val="0"/>
              <w:snapToGrid w:val="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地表水环境</w:t>
            </w:r>
          </w:p>
        </w:tc>
        <w:tc>
          <w:tcPr>
            <w:tcW w:w="955" w:type="pct"/>
            <w:tcBorders>
              <w:tl2br w:val="nil"/>
              <w:tr2bl w:val="nil"/>
            </w:tcBorders>
            <w:vAlign w:val="center"/>
          </w:tcPr>
          <w:p w14:paraId="7C0BA10A">
            <w:pPr>
              <w:adjustRightInd w:val="0"/>
              <w:snapToGrid w:val="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生活污水</w:t>
            </w:r>
          </w:p>
        </w:tc>
        <w:tc>
          <w:tcPr>
            <w:tcW w:w="931" w:type="pct"/>
            <w:tcBorders>
              <w:tl2br w:val="nil"/>
              <w:tr2bl w:val="nil"/>
            </w:tcBorders>
            <w:vAlign w:val="center"/>
          </w:tcPr>
          <w:p w14:paraId="3A6275AD">
            <w:pPr>
              <w:adjustRightInd w:val="0"/>
              <w:snapToGrid w:val="0"/>
              <w:jc w:val="center"/>
              <w:rPr>
                <w:rFonts w:hint="default" w:ascii="Times New Roman" w:hAnsi="Times New Roman" w:eastAsia="宋体" w:cs="Times New Roman"/>
                <w:color w:val="auto"/>
                <w:sz w:val="21"/>
                <w:szCs w:val="21"/>
                <w:highlight w:val="none"/>
                <w:u w:val="none" w:color="auto"/>
              </w:rPr>
            </w:pPr>
            <w:r>
              <w:rPr>
                <w:rFonts w:hint="eastAsia" w:cs="Times New Roman"/>
                <w:color w:val="auto"/>
                <w:sz w:val="21"/>
                <w:szCs w:val="21"/>
                <w:highlight w:val="none"/>
                <w:u w:val="none" w:color="auto"/>
                <w:lang w:val="en-US" w:eastAsia="zh-CN"/>
              </w:rPr>
              <w:t>pH、CODcr、BOD</w:t>
            </w:r>
            <w:r>
              <w:rPr>
                <w:rFonts w:hint="eastAsia" w:cs="Times New Roman"/>
                <w:color w:val="auto"/>
                <w:sz w:val="21"/>
                <w:szCs w:val="21"/>
                <w:highlight w:val="none"/>
                <w:u w:val="none" w:color="auto"/>
                <w:vertAlign w:val="subscript"/>
                <w:lang w:val="en-US" w:eastAsia="zh-CN"/>
              </w:rPr>
              <w:t>5</w:t>
            </w:r>
            <w:r>
              <w:rPr>
                <w:rFonts w:hint="eastAsia" w:cs="Times New Roman"/>
                <w:color w:val="auto"/>
                <w:sz w:val="21"/>
                <w:szCs w:val="21"/>
                <w:highlight w:val="none"/>
                <w:u w:val="none" w:color="auto"/>
                <w:lang w:val="en-US" w:eastAsia="zh-CN"/>
              </w:rPr>
              <w:t>、SS、氨氮、总氮、总磷、动植物油</w:t>
            </w:r>
          </w:p>
        </w:tc>
        <w:tc>
          <w:tcPr>
            <w:tcW w:w="983" w:type="pct"/>
            <w:tcBorders>
              <w:tl2br w:val="nil"/>
              <w:tr2bl w:val="nil"/>
            </w:tcBorders>
            <w:vAlign w:val="center"/>
          </w:tcPr>
          <w:p w14:paraId="1DD9FE7A">
            <w:pPr>
              <w:adjustRightInd w:val="0"/>
              <w:snapToGrid w:val="0"/>
              <w:jc w:val="center"/>
              <w:rPr>
                <w:rFonts w:hint="default" w:ascii="Times New Roman" w:hAnsi="Times New Roman" w:eastAsia="宋体" w:cs="Times New Roman"/>
                <w:color w:val="auto"/>
                <w:sz w:val="21"/>
                <w:szCs w:val="21"/>
                <w:highlight w:val="none"/>
                <w:u w:val="none" w:color="auto"/>
              </w:rPr>
            </w:pPr>
            <w:r>
              <w:rPr>
                <w:rFonts w:hint="eastAsia" w:cs="Times New Roman"/>
                <w:color w:val="auto"/>
                <w:sz w:val="21"/>
                <w:szCs w:val="21"/>
                <w:highlight w:val="none"/>
                <w:u w:val="none" w:color="auto"/>
                <w:lang w:val="en-US" w:eastAsia="zh-CN"/>
              </w:rPr>
              <w:t>化粪池</w:t>
            </w:r>
          </w:p>
        </w:tc>
        <w:tc>
          <w:tcPr>
            <w:tcW w:w="1368" w:type="pct"/>
            <w:vMerge w:val="restart"/>
            <w:tcBorders>
              <w:tl2br w:val="nil"/>
              <w:tr2bl w:val="nil"/>
            </w:tcBorders>
            <w:vAlign w:val="center"/>
          </w:tcPr>
          <w:p w14:paraId="2D60F55A">
            <w:pPr>
              <w:adjustRightInd w:val="0"/>
              <w:snapToGrid w:val="0"/>
              <w:jc w:val="center"/>
              <w:rPr>
                <w:rFonts w:hint="eastAsia" w:ascii="Times New Roman" w:hAnsi="Times New Roman" w:eastAsia="宋体" w:cs="Times New Roman"/>
                <w:color w:val="auto"/>
                <w:sz w:val="21"/>
                <w:szCs w:val="21"/>
                <w:highlight w:val="none"/>
                <w:u w:val="none" w:color="auto"/>
                <w:lang w:val="en-US" w:eastAsia="zh-CN"/>
              </w:rPr>
            </w:pPr>
            <w:r>
              <w:rPr>
                <w:rFonts w:hint="eastAsia" w:ascii="Times New Roman" w:hAnsi="Times New Roman" w:eastAsia="宋体" w:cs="Times New Roman"/>
                <w:color w:val="auto"/>
                <w:sz w:val="21"/>
                <w:szCs w:val="21"/>
                <w:highlight w:val="none"/>
                <w:u w:val="none" w:color="auto"/>
                <w:lang w:val="en-US" w:eastAsia="zh-CN"/>
              </w:rPr>
              <w:t>汨罗市大荆镇古仑片区污水处理站</w:t>
            </w:r>
            <w:r>
              <w:rPr>
                <w:rFonts w:hint="eastAsia" w:cs="Times New Roman"/>
                <w:color w:val="auto"/>
                <w:sz w:val="21"/>
                <w:szCs w:val="21"/>
                <w:highlight w:val="none"/>
                <w:u w:val="none" w:color="auto"/>
                <w:lang w:val="en-US" w:eastAsia="zh-CN"/>
              </w:rPr>
              <w:t>进水水质标准</w:t>
            </w:r>
          </w:p>
        </w:tc>
      </w:tr>
      <w:tr w14:paraId="37C368C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31" w:hRule="atLeast"/>
          <w:jc w:val="center"/>
        </w:trPr>
        <w:tc>
          <w:tcPr>
            <w:tcW w:w="762" w:type="pct"/>
            <w:vMerge w:val="continue"/>
            <w:tcBorders>
              <w:tl2br w:val="nil"/>
              <w:tr2bl w:val="nil"/>
            </w:tcBorders>
            <w:vAlign w:val="center"/>
          </w:tcPr>
          <w:p w14:paraId="74FBE510">
            <w:pPr>
              <w:adjustRightInd w:val="0"/>
              <w:snapToGrid w:val="0"/>
              <w:jc w:val="center"/>
              <w:rPr>
                <w:rFonts w:hint="default" w:ascii="Times New Roman" w:hAnsi="Times New Roman" w:eastAsia="宋体" w:cs="Times New Roman"/>
                <w:color w:val="auto"/>
                <w:sz w:val="21"/>
                <w:szCs w:val="21"/>
                <w:highlight w:val="none"/>
                <w:u w:val="none" w:color="auto"/>
              </w:rPr>
            </w:pPr>
          </w:p>
        </w:tc>
        <w:tc>
          <w:tcPr>
            <w:tcW w:w="955" w:type="pct"/>
            <w:tcBorders>
              <w:tl2br w:val="nil"/>
              <w:tr2bl w:val="nil"/>
            </w:tcBorders>
            <w:vAlign w:val="center"/>
          </w:tcPr>
          <w:p w14:paraId="03B6A188">
            <w:pPr>
              <w:adjustRightInd w:val="0"/>
              <w:snapToGrid w:val="0"/>
              <w:jc w:val="center"/>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生产废水</w:t>
            </w:r>
          </w:p>
        </w:tc>
        <w:tc>
          <w:tcPr>
            <w:tcW w:w="931" w:type="pct"/>
            <w:tcBorders>
              <w:tl2br w:val="nil"/>
              <w:tr2bl w:val="nil"/>
            </w:tcBorders>
            <w:vAlign w:val="center"/>
          </w:tcPr>
          <w:p w14:paraId="73EBD64C">
            <w:pPr>
              <w:adjustRightInd w:val="0"/>
              <w:snapToGrid w:val="0"/>
              <w:jc w:val="center"/>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pH、CODcr、BOD</w:t>
            </w:r>
            <w:r>
              <w:rPr>
                <w:rFonts w:hint="eastAsia" w:cs="Times New Roman"/>
                <w:color w:val="auto"/>
                <w:sz w:val="21"/>
                <w:szCs w:val="21"/>
                <w:highlight w:val="none"/>
                <w:u w:val="none" w:color="auto"/>
                <w:vertAlign w:val="subscript"/>
                <w:lang w:val="en-US" w:eastAsia="zh-CN"/>
              </w:rPr>
              <w:t>5</w:t>
            </w:r>
            <w:r>
              <w:rPr>
                <w:rFonts w:hint="eastAsia" w:cs="Times New Roman"/>
                <w:color w:val="auto"/>
                <w:sz w:val="21"/>
                <w:szCs w:val="21"/>
                <w:highlight w:val="none"/>
                <w:u w:val="none" w:color="auto"/>
                <w:lang w:val="en-US" w:eastAsia="zh-CN"/>
              </w:rPr>
              <w:t>、SS、氨氮、总氮、总磷、动植物油</w:t>
            </w:r>
          </w:p>
        </w:tc>
        <w:tc>
          <w:tcPr>
            <w:tcW w:w="983" w:type="pct"/>
            <w:tcBorders>
              <w:tl2br w:val="nil"/>
              <w:tr2bl w:val="nil"/>
            </w:tcBorders>
            <w:vAlign w:val="center"/>
          </w:tcPr>
          <w:p w14:paraId="55C79D68">
            <w:pPr>
              <w:adjustRightInd w:val="0"/>
              <w:snapToGrid w:val="0"/>
              <w:jc w:val="center"/>
              <w:rPr>
                <w:rFonts w:hint="default" w:ascii="Times New Roman" w:hAnsi="Times New Roman" w:eastAsia="宋体"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自建污水处理站处理后排入汨罗市大荆镇古仑片区污水处理站</w:t>
            </w:r>
          </w:p>
        </w:tc>
        <w:tc>
          <w:tcPr>
            <w:tcW w:w="1368" w:type="pct"/>
            <w:vMerge w:val="continue"/>
            <w:tcBorders>
              <w:tl2br w:val="nil"/>
              <w:tr2bl w:val="nil"/>
            </w:tcBorders>
            <w:vAlign w:val="center"/>
          </w:tcPr>
          <w:p w14:paraId="3D8A5D60">
            <w:pPr>
              <w:adjustRightInd w:val="0"/>
              <w:snapToGrid w:val="0"/>
              <w:jc w:val="center"/>
              <w:rPr>
                <w:rFonts w:hint="eastAsia" w:ascii="Times New Roman" w:hAnsi="Times New Roman" w:eastAsia="宋体" w:cs="Times New Roman"/>
                <w:color w:val="auto"/>
                <w:sz w:val="21"/>
                <w:szCs w:val="21"/>
                <w:highlight w:val="none"/>
                <w:u w:val="none" w:color="auto"/>
                <w:lang w:val="en-US" w:eastAsia="zh-CN"/>
              </w:rPr>
            </w:pPr>
          </w:p>
        </w:tc>
      </w:tr>
      <w:tr w14:paraId="10D94D1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35" w:hRule="atLeast"/>
          <w:jc w:val="center"/>
        </w:trPr>
        <w:tc>
          <w:tcPr>
            <w:tcW w:w="762" w:type="pct"/>
            <w:tcBorders>
              <w:tl2br w:val="nil"/>
              <w:tr2bl w:val="nil"/>
            </w:tcBorders>
            <w:vAlign w:val="center"/>
          </w:tcPr>
          <w:p w14:paraId="20630943">
            <w:pPr>
              <w:adjustRightInd w:val="0"/>
              <w:snapToGrid w:val="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声环境</w:t>
            </w:r>
          </w:p>
        </w:tc>
        <w:tc>
          <w:tcPr>
            <w:tcW w:w="955" w:type="pct"/>
            <w:tcBorders>
              <w:tl2br w:val="nil"/>
              <w:tr2bl w:val="nil"/>
            </w:tcBorders>
            <w:vAlign w:val="center"/>
          </w:tcPr>
          <w:p w14:paraId="58CA89C2">
            <w:pPr>
              <w:adjustRightInd w:val="0"/>
              <w:snapToGrid w:val="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生产设施</w:t>
            </w:r>
          </w:p>
        </w:tc>
        <w:tc>
          <w:tcPr>
            <w:tcW w:w="931" w:type="pct"/>
            <w:tcBorders>
              <w:tl2br w:val="nil"/>
              <w:tr2bl w:val="nil"/>
            </w:tcBorders>
            <w:vAlign w:val="center"/>
          </w:tcPr>
          <w:p w14:paraId="69C86146">
            <w:pPr>
              <w:adjustRightInd w:val="0"/>
              <w:snapToGrid w:val="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等效连续A声级</w:t>
            </w:r>
          </w:p>
        </w:tc>
        <w:tc>
          <w:tcPr>
            <w:tcW w:w="983" w:type="pct"/>
            <w:tcBorders>
              <w:tl2br w:val="nil"/>
              <w:tr2bl w:val="nil"/>
            </w:tcBorders>
            <w:vAlign w:val="center"/>
          </w:tcPr>
          <w:p w14:paraId="3162B112">
            <w:pPr>
              <w:adjustRightInd w:val="0"/>
              <w:snapToGrid w:val="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减震措施、建筑物隔声、距离衰减</w:t>
            </w:r>
          </w:p>
        </w:tc>
        <w:tc>
          <w:tcPr>
            <w:tcW w:w="1368" w:type="pct"/>
            <w:tcBorders>
              <w:tl2br w:val="nil"/>
              <w:tr2bl w:val="nil"/>
            </w:tcBorders>
            <w:vAlign w:val="center"/>
          </w:tcPr>
          <w:p w14:paraId="18D90E9A">
            <w:pPr>
              <w:adjustRightInd w:val="0"/>
              <w:snapToGrid w:val="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《工业企业厂界环境噪声排放标准》（GB12348-2008）中表1中3类</w:t>
            </w:r>
          </w:p>
        </w:tc>
      </w:tr>
      <w:tr w14:paraId="3A4AA58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06" w:hRule="atLeast"/>
          <w:jc w:val="center"/>
        </w:trPr>
        <w:tc>
          <w:tcPr>
            <w:tcW w:w="762" w:type="pct"/>
            <w:tcBorders>
              <w:tl2br w:val="nil"/>
              <w:tr2bl w:val="nil"/>
            </w:tcBorders>
            <w:vAlign w:val="center"/>
          </w:tcPr>
          <w:p w14:paraId="013DD036">
            <w:pPr>
              <w:adjustRightInd w:val="0"/>
              <w:snapToGrid w:val="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电磁辐射</w:t>
            </w:r>
          </w:p>
        </w:tc>
        <w:tc>
          <w:tcPr>
            <w:tcW w:w="955" w:type="pct"/>
            <w:tcBorders>
              <w:tl2br w:val="nil"/>
              <w:tr2bl w:val="nil"/>
            </w:tcBorders>
            <w:vAlign w:val="center"/>
          </w:tcPr>
          <w:p w14:paraId="3E129079">
            <w:pPr>
              <w:adjustRightInd w:val="0"/>
              <w:snapToGrid w:val="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c>
          <w:tcPr>
            <w:tcW w:w="931" w:type="pct"/>
            <w:tcBorders>
              <w:tl2br w:val="nil"/>
              <w:tr2bl w:val="nil"/>
            </w:tcBorders>
            <w:vAlign w:val="center"/>
          </w:tcPr>
          <w:p w14:paraId="2D9C358E">
            <w:pPr>
              <w:adjustRightInd w:val="0"/>
              <w:snapToGrid w:val="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c>
          <w:tcPr>
            <w:tcW w:w="983" w:type="pct"/>
            <w:tcBorders>
              <w:tl2br w:val="nil"/>
              <w:tr2bl w:val="nil"/>
            </w:tcBorders>
            <w:vAlign w:val="center"/>
          </w:tcPr>
          <w:p w14:paraId="121C0851">
            <w:pPr>
              <w:adjustRightInd w:val="0"/>
              <w:snapToGrid w:val="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c>
          <w:tcPr>
            <w:tcW w:w="1368" w:type="pct"/>
            <w:tcBorders>
              <w:tl2br w:val="nil"/>
              <w:tr2bl w:val="nil"/>
            </w:tcBorders>
            <w:vAlign w:val="center"/>
          </w:tcPr>
          <w:p w14:paraId="216EC59F">
            <w:pPr>
              <w:adjustRightInd w:val="0"/>
              <w:snapToGrid w:val="0"/>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w:t>
            </w:r>
          </w:p>
        </w:tc>
      </w:tr>
      <w:tr w14:paraId="1D8A1C1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374" w:hRule="atLeast"/>
          <w:jc w:val="center"/>
        </w:trPr>
        <w:tc>
          <w:tcPr>
            <w:tcW w:w="762" w:type="pct"/>
            <w:tcBorders>
              <w:tl2br w:val="nil"/>
              <w:tr2bl w:val="nil"/>
            </w:tcBorders>
            <w:vAlign w:val="center"/>
          </w:tcPr>
          <w:p w14:paraId="39547C4C">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固体废物</w:t>
            </w:r>
          </w:p>
        </w:tc>
        <w:tc>
          <w:tcPr>
            <w:tcW w:w="4237" w:type="pct"/>
            <w:gridSpan w:val="4"/>
            <w:tcBorders>
              <w:tl2br w:val="nil"/>
              <w:tr2bl w:val="nil"/>
            </w:tcBorders>
            <w:vAlign w:val="center"/>
          </w:tcPr>
          <w:p w14:paraId="54E05EC8">
            <w:pPr>
              <w:adjustRightInd w:val="0"/>
              <w:snapToGrid w:val="0"/>
              <w:spacing w:line="240" w:lineRule="auto"/>
              <w:ind w:firstLine="420" w:firstLineChars="200"/>
              <w:jc w:val="left"/>
              <w:rPr>
                <w:rFonts w:hint="eastAsia" w:cs="Times New Roman"/>
                <w:color w:val="auto"/>
                <w:sz w:val="21"/>
                <w:szCs w:val="21"/>
                <w:highlight w:val="none"/>
                <w:u w:val="none" w:color="auto"/>
                <w:lang w:val="en-US" w:eastAsia="zh-CN"/>
              </w:rPr>
            </w:pPr>
            <w:r>
              <w:rPr>
                <w:rFonts w:hint="eastAsia" w:cs="Times New Roman"/>
                <w:color w:val="auto"/>
                <w:sz w:val="21"/>
                <w:szCs w:val="21"/>
                <w:highlight w:val="none"/>
                <w:u w:val="none" w:color="auto"/>
                <w:lang w:val="en-US" w:eastAsia="zh-CN"/>
              </w:rPr>
              <w:t>生活垃圾啊、坏豆和沉渣、污水处理污泥交由环卫部门处理；豆渣、边角料及不合格品外售养殖场作为饲料综合利用；废弃食用油脂交由专业公司回收处理；废包装材料可回收利用的外售资源回收部门，不能利用的交由环卫部门统一清运；废滤芯外售资源回收部门综合利用。</w:t>
            </w:r>
          </w:p>
          <w:p w14:paraId="0EB32EFE">
            <w:pPr>
              <w:adjustRightInd w:val="0"/>
              <w:snapToGrid w:val="0"/>
              <w:spacing w:line="240" w:lineRule="auto"/>
              <w:ind w:firstLine="420" w:firstLineChars="200"/>
              <w:jc w:val="left"/>
              <w:rPr>
                <w:rFonts w:hint="default" w:ascii="Times New Roman" w:hAnsi="Times New Roman" w:eastAsia="宋体" w:cs="Times New Roman"/>
                <w:color w:val="auto"/>
                <w:sz w:val="21"/>
                <w:szCs w:val="21"/>
                <w:highlight w:val="none"/>
                <w:u w:val="none" w:color="auto"/>
              </w:rPr>
            </w:pPr>
          </w:p>
        </w:tc>
      </w:tr>
      <w:tr w14:paraId="54D0838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589" w:hRule="atLeast"/>
          <w:jc w:val="center"/>
        </w:trPr>
        <w:tc>
          <w:tcPr>
            <w:tcW w:w="762" w:type="pct"/>
            <w:tcBorders>
              <w:tl2br w:val="nil"/>
              <w:tr2bl w:val="nil"/>
            </w:tcBorders>
            <w:vAlign w:val="center"/>
          </w:tcPr>
          <w:p w14:paraId="6AA6A53A">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土壤及地下水污染防治措施</w:t>
            </w:r>
          </w:p>
        </w:tc>
        <w:tc>
          <w:tcPr>
            <w:tcW w:w="4237" w:type="pct"/>
            <w:gridSpan w:val="4"/>
            <w:tcBorders>
              <w:tl2br w:val="nil"/>
              <w:tr2bl w:val="nil"/>
            </w:tcBorders>
            <w:vAlign w:val="center"/>
          </w:tcPr>
          <w:p w14:paraId="4F8A21E0">
            <w:pPr>
              <w:adjustRightInd w:val="0"/>
              <w:snapToGrid w:val="0"/>
              <w:spacing w:line="240" w:lineRule="auto"/>
              <w:ind w:firstLine="420" w:firstLineChars="200"/>
              <w:jc w:val="left"/>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1、生产</w:t>
            </w:r>
            <w:r>
              <w:rPr>
                <w:rFonts w:hint="default" w:ascii="Times New Roman" w:hAnsi="Times New Roman" w:eastAsia="宋体" w:cs="Times New Roman"/>
                <w:color w:val="auto"/>
                <w:sz w:val="21"/>
                <w:szCs w:val="21"/>
                <w:highlight w:val="none"/>
                <w:u w:val="none" w:color="auto"/>
                <w:lang w:val="en-US" w:eastAsia="zh-CN"/>
              </w:rPr>
              <w:t>厂房</w:t>
            </w:r>
            <w:r>
              <w:rPr>
                <w:rFonts w:hint="default" w:ascii="Times New Roman" w:hAnsi="Times New Roman" w:eastAsia="宋体" w:cs="Times New Roman"/>
                <w:color w:val="auto"/>
                <w:sz w:val="21"/>
                <w:szCs w:val="21"/>
                <w:highlight w:val="none"/>
                <w:u w:val="none" w:color="auto"/>
              </w:rPr>
              <w:t>均采用水泥混凝土地面，对</w:t>
            </w:r>
            <w:r>
              <w:rPr>
                <w:rFonts w:hint="eastAsia" w:cs="Times New Roman"/>
                <w:color w:val="auto"/>
                <w:sz w:val="21"/>
                <w:szCs w:val="21"/>
                <w:highlight w:val="none"/>
                <w:u w:val="none" w:color="auto"/>
                <w:lang w:eastAsia="zh-CN"/>
              </w:rPr>
              <w:t>污水处理站</w:t>
            </w:r>
            <w:r>
              <w:rPr>
                <w:rFonts w:hint="default" w:ascii="Times New Roman" w:hAnsi="Times New Roman" w:eastAsia="宋体" w:cs="Times New Roman"/>
                <w:color w:val="auto"/>
                <w:sz w:val="21"/>
                <w:szCs w:val="21"/>
                <w:highlight w:val="none"/>
                <w:u w:val="none" w:color="auto"/>
              </w:rPr>
              <w:t>等重点区域</w:t>
            </w:r>
            <w:r>
              <w:rPr>
                <w:rFonts w:hint="default" w:ascii="Times New Roman" w:hAnsi="Times New Roman" w:eastAsia="宋体" w:cs="Times New Roman"/>
                <w:color w:val="auto"/>
                <w:sz w:val="21"/>
                <w:szCs w:val="21"/>
                <w:highlight w:val="none"/>
                <w:u w:val="none" w:color="auto"/>
                <w:lang w:val="en-US" w:eastAsia="zh-CN"/>
              </w:rPr>
              <w:t>进行重点防渗</w:t>
            </w:r>
            <w:r>
              <w:rPr>
                <w:rFonts w:hint="default" w:ascii="Times New Roman" w:hAnsi="Times New Roman" w:eastAsia="宋体" w:cs="Times New Roman"/>
                <w:color w:val="auto"/>
                <w:sz w:val="21"/>
                <w:szCs w:val="21"/>
                <w:highlight w:val="none"/>
                <w:u w:val="none" w:color="auto"/>
              </w:rPr>
              <w:t>。</w:t>
            </w:r>
          </w:p>
          <w:p w14:paraId="7E99C4FF">
            <w:pPr>
              <w:adjustRightInd w:val="0"/>
              <w:snapToGrid w:val="0"/>
              <w:spacing w:line="240" w:lineRule="auto"/>
              <w:ind w:firstLine="420" w:firstLineChars="200"/>
              <w:jc w:val="left"/>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2、厂区内实行严格的雨污分流制度，避免废水跑、冒、滴、漏现象的发生。</w:t>
            </w:r>
          </w:p>
        </w:tc>
      </w:tr>
      <w:tr w14:paraId="540843E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154" w:hRule="atLeast"/>
          <w:jc w:val="center"/>
        </w:trPr>
        <w:tc>
          <w:tcPr>
            <w:tcW w:w="762" w:type="pct"/>
            <w:tcBorders>
              <w:tl2br w:val="nil"/>
              <w:tr2bl w:val="nil"/>
            </w:tcBorders>
            <w:vAlign w:val="center"/>
          </w:tcPr>
          <w:p w14:paraId="1CD24D5B">
            <w:pPr>
              <w:adjustRightInd w:val="0"/>
              <w:snapToGrid w:val="0"/>
              <w:spacing w:line="240" w:lineRule="auto"/>
              <w:jc w:val="center"/>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生态保护措施</w:t>
            </w:r>
          </w:p>
        </w:tc>
        <w:tc>
          <w:tcPr>
            <w:tcW w:w="4237" w:type="pct"/>
            <w:gridSpan w:val="4"/>
            <w:tcBorders>
              <w:tl2br w:val="nil"/>
              <w:tr2bl w:val="nil"/>
            </w:tcBorders>
            <w:vAlign w:val="center"/>
          </w:tcPr>
          <w:p w14:paraId="161E467F">
            <w:pPr>
              <w:adjustRightInd w:val="0"/>
              <w:snapToGrid w:val="0"/>
              <w:spacing w:line="240" w:lineRule="auto"/>
              <w:ind w:firstLine="420" w:firstLineChars="200"/>
              <w:jc w:val="left"/>
              <w:rPr>
                <w:rFonts w:hint="eastAsia" w:ascii="Times New Roman" w:hAnsi="Times New Roman" w:eastAsia="宋体" w:cs="Times New Roman"/>
                <w:color w:val="auto"/>
                <w:sz w:val="21"/>
                <w:szCs w:val="21"/>
                <w:highlight w:val="none"/>
                <w:u w:val="none" w:color="auto"/>
                <w:lang w:eastAsia="zh-CN"/>
              </w:rPr>
            </w:pPr>
            <w:r>
              <w:rPr>
                <w:rFonts w:hint="eastAsia" w:cs="Times New Roman"/>
                <w:color w:val="auto"/>
                <w:sz w:val="21"/>
                <w:szCs w:val="21"/>
                <w:highlight w:val="none"/>
                <w:u w:val="none" w:color="auto"/>
                <w:lang w:val="en-US" w:eastAsia="zh-CN"/>
              </w:rPr>
              <w:t>/</w:t>
            </w:r>
          </w:p>
        </w:tc>
      </w:tr>
      <w:tr w14:paraId="152623B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297" w:hRule="atLeast"/>
          <w:jc w:val="center"/>
        </w:trPr>
        <w:tc>
          <w:tcPr>
            <w:tcW w:w="762" w:type="pct"/>
            <w:tcBorders>
              <w:tl2br w:val="nil"/>
              <w:tr2bl w:val="nil"/>
            </w:tcBorders>
            <w:vAlign w:val="center"/>
          </w:tcPr>
          <w:p w14:paraId="2852F445">
            <w:pPr>
              <w:adjustRightInd w:val="0"/>
              <w:snapToGrid w:val="0"/>
              <w:spacing w:line="240" w:lineRule="auto"/>
              <w:jc w:val="center"/>
              <w:rPr>
                <w:rFonts w:hint="default" w:ascii="Times New Roman" w:hAnsi="Times New Roman" w:eastAsia="宋体" w:cs="Times New Roman"/>
                <w:color w:val="auto"/>
                <w:spacing w:val="-8"/>
                <w:sz w:val="21"/>
                <w:szCs w:val="21"/>
                <w:highlight w:val="none"/>
                <w:u w:val="none" w:color="auto"/>
              </w:rPr>
            </w:pPr>
            <w:r>
              <w:rPr>
                <w:rFonts w:hint="default" w:ascii="Times New Roman" w:hAnsi="Times New Roman" w:eastAsia="宋体" w:cs="Times New Roman"/>
                <w:color w:val="auto"/>
                <w:spacing w:val="-8"/>
                <w:sz w:val="21"/>
                <w:szCs w:val="21"/>
                <w:highlight w:val="none"/>
                <w:u w:val="none" w:color="auto"/>
              </w:rPr>
              <w:t>环境风险</w:t>
            </w:r>
          </w:p>
          <w:p w14:paraId="38E69071">
            <w:pPr>
              <w:adjustRightInd w:val="0"/>
              <w:snapToGrid w:val="0"/>
              <w:spacing w:line="240" w:lineRule="auto"/>
              <w:jc w:val="center"/>
              <w:rPr>
                <w:rFonts w:hint="default" w:ascii="Times New Roman" w:hAnsi="Times New Roman" w:eastAsia="宋体" w:cs="Times New Roman"/>
                <w:color w:val="auto"/>
                <w:spacing w:val="-8"/>
                <w:sz w:val="21"/>
                <w:szCs w:val="21"/>
                <w:highlight w:val="none"/>
                <w:u w:val="none" w:color="auto"/>
              </w:rPr>
            </w:pPr>
            <w:r>
              <w:rPr>
                <w:rFonts w:hint="default" w:ascii="Times New Roman" w:hAnsi="Times New Roman" w:eastAsia="宋体" w:cs="Times New Roman"/>
                <w:color w:val="auto"/>
                <w:spacing w:val="-8"/>
                <w:sz w:val="21"/>
                <w:szCs w:val="21"/>
                <w:highlight w:val="none"/>
                <w:u w:val="none" w:color="auto"/>
              </w:rPr>
              <w:t>防范措施</w:t>
            </w:r>
          </w:p>
        </w:tc>
        <w:tc>
          <w:tcPr>
            <w:tcW w:w="4237" w:type="pct"/>
            <w:gridSpan w:val="4"/>
            <w:tcBorders>
              <w:tl2br w:val="nil"/>
              <w:tr2bl w:val="nil"/>
            </w:tcBorders>
            <w:vAlign w:val="center"/>
          </w:tcPr>
          <w:p w14:paraId="3D123CDB">
            <w:pPr>
              <w:adjustRightInd w:val="0"/>
              <w:snapToGrid w:val="0"/>
              <w:spacing w:line="240" w:lineRule="auto"/>
              <w:ind w:firstLine="420" w:firstLineChars="200"/>
              <w:jc w:val="left"/>
              <w:rPr>
                <w:rFonts w:hint="default" w:ascii="Times New Roman" w:hAnsi="Times New Roman" w:eastAsia="宋体" w:cs="Times New Roman"/>
                <w:color w:val="auto"/>
                <w:sz w:val="21"/>
                <w:szCs w:val="21"/>
                <w:highlight w:val="none"/>
                <w:u w:val="none" w:color="auto"/>
              </w:rPr>
            </w:pPr>
            <w:r>
              <w:rPr>
                <w:rFonts w:hint="default" w:ascii="Times New Roman" w:hAnsi="Times New Roman" w:eastAsia="宋体" w:cs="Times New Roman"/>
                <w:color w:val="auto"/>
                <w:sz w:val="21"/>
                <w:szCs w:val="21"/>
                <w:highlight w:val="none"/>
                <w:u w:val="none" w:color="auto"/>
              </w:rPr>
              <w:t>①</w:t>
            </w:r>
            <w:r>
              <w:rPr>
                <w:rFonts w:hint="default" w:ascii="Times New Roman" w:hAnsi="Times New Roman" w:eastAsia="宋体" w:cs="Times New Roman"/>
                <w:color w:val="auto"/>
                <w:sz w:val="21"/>
                <w:szCs w:val="21"/>
                <w:highlight w:val="none"/>
                <w:u w:val="none" w:color="auto"/>
                <w:lang w:eastAsia="zh-CN"/>
              </w:rPr>
              <w:t>废水事故排放防治措施</w:t>
            </w:r>
            <w:r>
              <w:rPr>
                <w:rFonts w:hint="default" w:ascii="Times New Roman" w:hAnsi="Times New Roman" w:eastAsia="宋体" w:cs="Times New Roman"/>
                <w:color w:val="auto"/>
                <w:sz w:val="21"/>
                <w:szCs w:val="21"/>
                <w:highlight w:val="none"/>
                <w:u w:val="none" w:color="auto"/>
              </w:rPr>
              <w:t>a.</w:t>
            </w:r>
            <w:r>
              <w:rPr>
                <w:rFonts w:hint="default" w:ascii="Times New Roman" w:hAnsi="Times New Roman" w:eastAsia="宋体" w:cs="Times New Roman"/>
                <w:color w:val="auto"/>
                <w:sz w:val="21"/>
                <w:szCs w:val="21"/>
                <w:highlight w:val="none"/>
                <w:u w:val="none" w:color="auto"/>
                <w:lang w:val="en-US" w:eastAsia="zh-CN"/>
              </w:rPr>
              <w:t>加强对废水处理站的运行管理，保证废水停留时间和沉淀效果；</w:t>
            </w:r>
            <w:r>
              <w:rPr>
                <w:rFonts w:hint="default" w:ascii="Times New Roman" w:hAnsi="Times New Roman" w:eastAsia="宋体" w:cs="Times New Roman"/>
                <w:color w:val="auto"/>
                <w:sz w:val="21"/>
                <w:szCs w:val="21"/>
                <w:highlight w:val="none"/>
                <w:u w:val="none" w:color="auto"/>
              </w:rPr>
              <w:t>b.</w:t>
            </w:r>
            <w:r>
              <w:rPr>
                <w:rFonts w:hint="default" w:ascii="Times New Roman" w:hAnsi="Times New Roman" w:eastAsia="宋体" w:cs="Times New Roman"/>
                <w:color w:val="auto"/>
                <w:sz w:val="21"/>
                <w:szCs w:val="21"/>
                <w:highlight w:val="none"/>
                <w:u w:val="none" w:color="auto"/>
                <w:lang w:val="en-US" w:eastAsia="zh-CN"/>
              </w:rPr>
              <w:t>经常性检查废水收集、排放管道、风机和泵的运行情况，出现故障立即停产检修，防止废水事故性排放</w:t>
            </w:r>
            <w:r>
              <w:rPr>
                <w:rFonts w:hint="default" w:ascii="Times New Roman" w:hAnsi="Times New Roman" w:eastAsia="宋体" w:cs="Times New Roman"/>
                <w:color w:val="auto"/>
                <w:sz w:val="21"/>
                <w:szCs w:val="21"/>
                <w:highlight w:val="none"/>
                <w:u w:val="none" w:color="auto"/>
              </w:rPr>
              <w:t>；c.</w:t>
            </w:r>
            <w:r>
              <w:rPr>
                <w:rFonts w:hint="default" w:ascii="Times New Roman" w:hAnsi="Times New Roman" w:eastAsia="宋体" w:cs="Times New Roman"/>
                <w:color w:val="auto"/>
                <w:sz w:val="21"/>
                <w:szCs w:val="21"/>
                <w:highlight w:val="none"/>
                <w:u w:val="none" w:color="auto"/>
                <w:lang w:val="en-US" w:eastAsia="zh-CN"/>
              </w:rPr>
              <w:t>加强极端天气下的生产管理，做好极端天气下的突发环境事件的应对，当极端暴雨天气时，及时安排停产、停止生产废水的产生，避免废水的外溢</w:t>
            </w:r>
            <w:r>
              <w:rPr>
                <w:rFonts w:hint="default" w:ascii="Times New Roman" w:hAnsi="Times New Roman" w:eastAsia="宋体" w:cs="Times New Roman"/>
                <w:color w:val="auto"/>
                <w:sz w:val="21"/>
                <w:szCs w:val="21"/>
                <w:highlight w:val="none"/>
                <w:u w:val="none" w:color="auto"/>
              </w:rPr>
              <w:t>；d.当发现废水处理设施有故障时，应当立即停止生产，已产生的废水转排入废水调节池中暂时存放，待废水处理系统正常后再进行处理，而不是直接外排。②</w:t>
            </w:r>
            <w:r>
              <w:rPr>
                <w:rFonts w:hint="default" w:ascii="Times New Roman" w:hAnsi="Times New Roman" w:eastAsia="宋体" w:cs="Times New Roman"/>
                <w:color w:val="auto"/>
                <w:sz w:val="21"/>
                <w:szCs w:val="21"/>
                <w:highlight w:val="none"/>
                <w:u w:val="none" w:color="auto"/>
                <w:lang w:eastAsia="zh-CN"/>
              </w:rPr>
              <w:t>废气超标排放风险防范措施</w:t>
            </w:r>
            <w:r>
              <w:rPr>
                <w:rFonts w:hint="default" w:ascii="Times New Roman" w:hAnsi="Times New Roman" w:eastAsia="宋体" w:cs="Times New Roman"/>
                <w:color w:val="auto"/>
                <w:sz w:val="21"/>
                <w:szCs w:val="21"/>
                <w:highlight w:val="none"/>
                <w:u w:val="none" w:color="auto"/>
                <w:lang w:val="en-US" w:eastAsia="zh-CN"/>
              </w:rPr>
              <w:t>a.</w:t>
            </w:r>
            <w:r>
              <w:rPr>
                <w:rFonts w:hint="default" w:ascii="Times New Roman" w:hAnsi="Times New Roman" w:eastAsia="宋体" w:cs="Times New Roman"/>
                <w:color w:val="auto"/>
                <w:sz w:val="21"/>
                <w:szCs w:val="21"/>
                <w:highlight w:val="none"/>
                <w:u w:val="none" w:color="auto"/>
              </w:rPr>
              <w:t>各生产环节严格执行生产管理的有关规定，加强设备的检修和保养，提高管理人员素质，并设置机器事故应急措施及管理制度，确保设备长期处于良好状态，使设备达到预期的处理效果</w:t>
            </w:r>
            <w:r>
              <w:rPr>
                <w:rFonts w:hint="default" w:ascii="Times New Roman" w:hAnsi="Times New Roman" w:eastAsia="宋体" w:cs="Times New Roman"/>
                <w:color w:val="auto"/>
                <w:sz w:val="21"/>
                <w:szCs w:val="21"/>
                <w:highlight w:val="none"/>
                <w:u w:val="none" w:color="auto"/>
                <w:lang w:eastAsia="zh-CN"/>
              </w:rPr>
              <w:t>；</w:t>
            </w:r>
            <w:r>
              <w:rPr>
                <w:rFonts w:hint="default" w:ascii="Times New Roman" w:hAnsi="Times New Roman" w:eastAsia="宋体" w:cs="Times New Roman"/>
                <w:color w:val="auto"/>
                <w:sz w:val="21"/>
                <w:szCs w:val="21"/>
                <w:highlight w:val="none"/>
                <w:u w:val="none" w:color="auto"/>
                <w:lang w:val="en-US" w:eastAsia="zh-CN"/>
              </w:rPr>
              <w:t>b.对废气处理设施的系统、抽风机等设备进行点检工作，并派专人巡视，遇不良工作状况立即停止车间相关作业，维修正常后再开始作业，杜绝事故性废气直排。待检修并确认无障碍后生产车间方可生产。c.加强员工培训，防止员工操作失误导致废气直接排放。</w:t>
            </w:r>
            <w:r>
              <w:rPr>
                <w:rFonts w:hint="default" w:ascii="Times New Roman" w:hAnsi="Times New Roman" w:eastAsia="宋体" w:cs="Times New Roman"/>
                <w:color w:val="auto"/>
                <w:sz w:val="21"/>
                <w:szCs w:val="21"/>
                <w:highlight w:val="none"/>
                <w:u w:val="none" w:color="auto"/>
                <w:lang w:val="en-US" w:eastAsia="zh-CN"/>
              </w:rPr>
              <w:fldChar w:fldCharType="begin"/>
            </w:r>
            <w:r>
              <w:rPr>
                <w:rFonts w:hint="default" w:ascii="Times New Roman" w:hAnsi="Times New Roman" w:eastAsia="宋体" w:cs="Times New Roman"/>
                <w:color w:val="auto"/>
                <w:sz w:val="21"/>
                <w:szCs w:val="21"/>
                <w:highlight w:val="none"/>
                <w:u w:val="none" w:color="auto"/>
                <w:lang w:val="en-US" w:eastAsia="zh-CN"/>
              </w:rPr>
              <w:instrText xml:space="preserve"> = 3 \* GB3 \* MERGEFORMAT </w:instrText>
            </w:r>
            <w:r>
              <w:rPr>
                <w:rFonts w:hint="default" w:ascii="Times New Roman" w:hAnsi="Times New Roman" w:eastAsia="宋体" w:cs="Times New Roman"/>
                <w:color w:val="auto"/>
                <w:sz w:val="21"/>
                <w:szCs w:val="21"/>
                <w:highlight w:val="none"/>
                <w:u w:val="none" w:color="auto"/>
                <w:lang w:val="en-US" w:eastAsia="zh-CN"/>
              </w:rPr>
              <w:fldChar w:fldCharType="separate"/>
            </w:r>
            <w:r>
              <w:rPr>
                <w:rFonts w:hint="default" w:ascii="Times New Roman" w:hAnsi="Times New Roman" w:eastAsia="宋体" w:cs="Times New Roman"/>
                <w:color w:val="auto"/>
                <w:sz w:val="21"/>
                <w:szCs w:val="21"/>
                <w:highlight w:val="none"/>
                <w:u w:val="none" w:color="auto"/>
              </w:rPr>
              <w:t>③</w:t>
            </w:r>
            <w:r>
              <w:rPr>
                <w:rFonts w:hint="default" w:ascii="Times New Roman" w:hAnsi="Times New Roman" w:eastAsia="宋体" w:cs="Times New Roman"/>
                <w:color w:val="auto"/>
                <w:sz w:val="21"/>
                <w:szCs w:val="21"/>
                <w:highlight w:val="none"/>
                <w:u w:val="none" w:color="auto"/>
                <w:lang w:val="en-US" w:eastAsia="zh-CN"/>
              </w:rPr>
              <w:fldChar w:fldCharType="end"/>
            </w:r>
            <w:r>
              <w:rPr>
                <w:rFonts w:hint="default" w:ascii="Times New Roman" w:hAnsi="Times New Roman" w:eastAsia="宋体" w:cs="Times New Roman"/>
                <w:color w:val="auto"/>
                <w:sz w:val="21"/>
                <w:szCs w:val="21"/>
                <w:highlight w:val="none"/>
                <w:u w:val="none" w:color="auto"/>
              </w:rPr>
              <w:t>火灾次生环境风险防范措施a.按照消防要求进行厂区建设，各建筑均必须满足相应的消防等级要求；b.厂区内配备足够的消防应急物资、消防设施，能够第一时间进行消防响应；c.厂房各车间内均安装火灾烟雾报警器，能在火灾的第一时间做出报警，加快响应速度，降低火灾次生环境风险的污染</w:t>
            </w:r>
            <w:r>
              <w:rPr>
                <w:rFonts w:hint="default" w:ascii="Times New Roman" w:hAnsi="Times New Roman" w:eastAsia="宋体" w:cs="Times New Roman"/>
                <w:color w:val="auto"/>
                <w:sz w:val="21"/>
                <w:szCs w:val="21"/>
                <w:highlight w:val="none"/>
                <w:u w:val="none" w:color="auto"/>
                <w:lang w:eastAsia="zh-CN"/>
              </w:rPr>
              <w:t>。</w:t>
            </w:r>
          </w:p>
        </w:tc>
      </w:tr>
      <w:tr w14:paraId="3367ED2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325" w:hRule="atLeast"/>
          <w:jc w:val="center"/>
        </w:trPr>
        <w:tc>
          <w:tcPr>
            <w:tcW w:w="762" w:type="pct"/>
            <w:tcBorders>
              <w:tl2br w:val="nil"/>
              <w:tr2bl w:val="nil"/>
            </w:tcBorders>
            <w:vAlign w:val="center"/>
          </w:tcPr>
          <w:p w14:paraId="4CAFBB3D">
            <w:pPr>
              <w:adjustRightInd w:val="0"/>
              <w:snapToGrid w:val="0"/>
              <w:spacing w:line="240" w:lineRule="auto"/>
              <w:jc w:val="center"/>
              <w:rPr>
                <w:rFonts w:hint="default" w:ascii="Times New Roman" w:hAnsi="Times New Roman" w:eastAsia="宋体" w:cs="Times New Roman"/>
                <w:color w:val="auto"/>
                <w:spacing w:val="-8"/>
                <w:sz w:val="21"/>
                <w:szCs w:val="21"/>
                <w:highlight w:val="none"/>
                <w:u w:val="none" w:color="auto"/>
              </w:rPr>
            </w:pPr>
            <w:r>
              <w:rPr>
                <w:rFonts w:hint="default" w:ascii="Times New Roman" w:hAnsi="Times New Roman" w:eastAsia="宋体" w:cs="Times New Roman"/>
                <w:color w:val="auto"/>
                <w:spacing w:val="-8"/>
                <w:sz w:val="21"/>
                <w:szCs w:val="21"/>
                <w:highlight w:val="none"/>
                <w:u w:val="none" w:color="auto"/>
              </w:rPr>
              <w:t>其他环境</w:t>
            </w:r>
          </w:p>
          <w:p w14:paraId="0BC50C7A">
            <w:pPr>
              <w:adjustRightInd w:val="0"/>
              <w:snapToGrid w:val="0"/>
              <w:spacing w:line="240" w:lineRule="auto"/>
              <w:jc w:val="center"/>
              <w:rPr>
                <w:rFonts w:hint="default" w:ascii="Times New Roman" w:hAnsi="Times New Roman" w:eastAsia="宋体" w:cs="Times New Roman"/>
                <w:color w:val="auto"/>
                <w:spacing w:val="-8"/>
                <w:sz w:val="21"/>
                <w:szCs w:val="21"/>
                <w:highlight w:val="none"/>
                <w:u w:val="none" w:color="auto"/>
              </w:rPr>
            </w:pPr>
            <w:r>
              <w:rPr>
                <w:rFonts w:hint="default" w:ascii="Times New Roman" w:hAnsi="Times New Roman" w:eastAsia="宋体" w:cs="Times New Roman"/>
                <w:color w:val="auto"/>
                <w:spacing w:val="-8"/>
                <w:sz w:val="21"/>
                <w:szCs w:val="21"/>
                <w:highlight w:val="none"/>
                <w:u w:val="none" w:color="auto"/>
              </w:rPr>
              <w:t>管理要求</w:t>
            </w:r>
          </w:p>
        </w:tc>
        <w:tc>
          <w:tcPr>
            <w:tcW w:w="4237" w:type="pct"/>
            <w:gridSpan w:val="4"/>
            <w:tcBorders>
              <w:tl2br w:val="nil"/>
              <w:tr2bl w:val="nil"/>
            </w:tcBorders>
            <w:vAlign w:val="center"/>
          </w:tcPr>
          <w:p w14:paraId="4A1281FB">
            <w:pPr>
              <w:adjustRightInd w:val="0"/>
              <w:snapToGrid w:val="0"/>
              <w:spacing w:line="240" w:lineRule="auto"/>
              <w:ind w:firstLine="420" w:firstLineChars="200"/>
              <w:jc w:val="both"/>
              <w:rPr>
                <w:rFonts w:hint="default" w:ascii="Times New Roman" w:hAnsi="Times New Roman" w:eastAsia="宋体" w:cs="Times New Roman"/>
                <w:color w:val="auto"/>
                <w:sz w:val="21"/>
                <w:szCs w:val="21"/>
                <w:u w:val="none" w:color="auto"/>
                <w:lang w:bidi="ar"/>
              </w:rPr>
            </w:pPr>
            <w:r>
              <w:rPr>
                <w:rFonts w:hint="default" w:ascii="Times New Roman" w:hAnsi="Times New Roman" w:eastAsia="宋体" w:cs="Times New Roman"/>
                <w:color w:val="auto"/>
                <w:sz w:val="21"/>
                <w:szCs w:val="21"/>
                <w:u w:val="none" w:color="auto"/>
                <w:lang w:bidi="ar"/>
              </w:rPr>
              <w:t>本项目应按照《排污许可证管理暂行规定》、《固定污染源排污许可分类管理名录》（2019年版）的要求</w:t>
            </w:r>
            <w:r>
              <w:rPr>
                <w:rFonts w:hint="default" w:ascii="Times New Roman" w:hAnsi="Times New Roman" w:eastAsia="宋体" w:cs="Times New Roman"/>
                <w:color w:val="auto"/>
                <w:sz w:val="21"/>
                <w:szCs w:val="21"/>
                <w:u w:val="none" w:color="auto"/>
                <w:lang w:eastAsia="zh-CN" w:bidi="ar"/>
              </w:rPr>
              <w:t>在规定的时限内按时申领国家排污许可证，做到持证排污，不得无证排污或不按证排污。</w:t>
            </w:r>
          </w:p>
          <w:p w14:paraId="184C6206">
            <w:pPr>
              <w:spacing w:line="240" w:lineRule="auto"/>
              <w:ind w:firstLine="420" w:firstLineChars="200"/>
              <w:rPr>
                <w:rFonts w:hint="default" w:ascii="Times New Roman" w:hAnsi="Times New Roman" w:eastAsia="宋体" w:cs="Times New Roman"/>
                <w:color w:val="auto"/>
                <w:sz w:val="21"/>
                <w:szCs w:val="21"/>
                <w:u w:val="none" w:color="auto"/>
              </w:rPr>
            </w:pPr>
            <w:r>
              <w:rPr>
                <w:rFonts w:hint="default" w:ascii="Times New Roman" w:hAnsi="Times New Roman" w:eastAsia="宋体" w:cs="Times New Roman"/>
                <w:color w:val="auto"/>
                <w:sz w:val="21"/>
                <w:szCs w:val="21"/>
                <w:u w:val="none" w:color="auto"/>
              </w:rPr>
              <w:t>贯彻落实新修改的《建设项目环境保护管理条例》及《建设项目竣工环境保护验收暂行办法》（国环规环评[2017]4号）（以下简称《暂行办法》），项目竣工后建设单位应自主开展竣工环境保护验收。建设单位是建设项目竣工环境保护验收的责任主体，应当按照《暂行办法》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不得在验收过程中弄虚作假。</w:t>
            </w:r>
          </w:p>
          <w:p w14:paraId="4BDB2CCF">
            <w:pPr>
              <w:pStyle w:val="30"/>
              <w:rPr>
                <w:rFonts w:hint="default" w:ascii="Times New Roman" w:hAnsi="Times New Roman" w:eastAsia="宋体" w:cs="Times New Roman"/>
                <w:color w:val="auto"/>
                <w:sz w:val="21"/>
                <w:szCs w:val="21"/>
                <w:u w:val="none" w:color="auto"/>
              </w:rPr>
            </w:pPr>
          </w:p>
        </w:tc>
      </w:tr>
    </w:tbl>
    <w:p w14:paraId="18EB2E59">
      <w:pPr>
        <w:pStyle w:val="40"/>
        <w:jc w:val="both"/>
        <w:outlineLvl w:val="0"/>
        <w:rPr>
          <w:rFonts w:hint="default" w:ascii="Times New Roman" w:hAnsi="Times New Roman" w:eastAsia="宋体" w:cs="Times New Roman"/>
          <w:b/>
          <w:bCs/>
          <w:snapToGrid w:val="0"/>
          <w:color w:val="auto"/>
          <w:sz w:val="30"/>
          <w:szCs w:val="30"/>
          <w:highlight w:val="none"/>
          <w:u w:val="none" w:color="auto"/>
        </w:rPr>
      </w:pPr>
      <w:r>
        <w:rPr>
          <w:rFonts w:hint="default" w:ascii="Times New Roman" w:hAnsi="Times New Roman" w:eastAsia="宋体" w:cs="Times New Roman"/>
          <w:snapToGrid w:val="0"/>
          <w:color w:val="auto"/>
          <w:highlight w:val="none"/>
          <w:u w:val="none" w:color="auto"/>
        </w:rPr>
        <w:br w:type="page"/>
      </w:r>
      <w:bookmarkStart w:id="18" w:name="_Toc19894"/>
      <w:r>
        <w:rPr>
          <w:rStyle w:val="69"/>
          <w:rFonts w:hint="default" w:ascii="Times New Roman" w:hAnsi="Times New Roman" w:eastAsia="宋体" w:cs="Times New Roman"/>
          <w:color w:val="auto"/>
          <w:highlight w:val="none"/>
          <w:u w:val="none" w:color="auto"/>
        </w:rPr>
        <w:t>六、结论</w:t>
      </w:r>
      <w:bookmarkEnd w:id="18"/>
    </w:p>
    <w:tbl>
      <w:tblPr>
        <w:tblStyle w:val="42"/>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060"/>
      </w:tblGrid>
      <w:tr w14:paraId="7CA1E46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5000" w:type="pct"/>
          </w:tcPr>
          <w:p w14:paraId="72EA84A3">
            <w:pPr>
              <w:spacing w:line="500" w:lineRule="exact"/>
              <w:ind w:firstLine="480" w:firstLineChars="20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本项目建设符合</w:t>
            </w:r>
            <w:r>
              <w:rPr>
                <w:rFonts w:hint="default" w:ascii="Times New Roman" w:hAnsi="Times New Roman" w:eastAsia="宋体" w:cs="Times New Roman"/>
                <w:color w:val="auto"/>
                <w:highlight w:val="none"/>
                <w:u w:val="none" w:color="auto"/>
                <w:lang w:val="en-US" w:eastAsia="zh-CN"/>
              </w:rPr>
              <w:t>国家和地方产业政策、总体规划</w:t>
            </w:r>
            <w:r>
              <w:rPr>
                <w:rFonts w:hint="default" w:ascii="Times New Roman" w:hAnsi="Times New Roman" w:eastAsia="宋体" w:cs="Times New Roman"/>
                <w:color w:val="auto"/>
                <w:highlight w:val="none"/>
                <w:u w:val="none" w:color="auto"/>
              </w:rPr>
              <w:t>及相关环保要求，项目按照建设项目竣工环境保护技术要求，逐一落实本报告提出的污染治理</w:t>
            </w:r>
            <w:r>
              <w:rPr>
                <w:rFonts w:hint="default" w:ascii="Times New Roman" w:hAnsi="Times New Roman" w:eastAsia="宋体" w:cs="Times New Roman"/>
                <w:color w:val="auto"/>
                <w:highlight w:val="none"/>
                <w:u w:val="none" w:color="auto"/>
                <w:lang w:val="en-US" w:eastAsia="zh-CN"/>
              </w:rPr>
              <w:t>措施</w:t>
            </w:r>
            <w:r>
              <w:rPr>
                <w:rFonts w:hint="default" w:ascii="Times New Roman" w:hAnsi="Times New Roman" w:eastAsia="宋体" w:cs="Times New Roman"/>
                <w:color w:val="auto"/>
                <w:highlight w:val="none"/>
                <w:u w:val="none" w:color="auto"/>
              </w:rPr>
              <w:t>，并在营运期间中加强环保设施管理，保证各项污染物达标排放，做到经济、社会、环境效益的统一协调发展，由此可见，本项目从环保角度考虑是可行的。</w:t>
            </w:r>
          </w:p>
          <w:p w14:paraId="28A65F90">
            <w:pPr>
              <w:spacing w:line="500" w:lineRule="exact"/>
              <w:ind w:firstLine="480" w:firstLineChars="200"/>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color w:val="auto"/>
                <w:highlight w:val="none"/>
                <w:u w:val="none" w:color="auto"/>
              </w:rPr>
              <w:t>上述结论是根据建设方提供的项目规模及相应排污情况基础上作出的评价，如果建设方的规模及相应排污情况有所变化，建设方应按环保部门的要求另行申报审批。</w:t>
            </w:r>
          </w:p>
        </w:tc>
      </w:tr>
    </w:tbl>
    <w:p w14:paraId="5E9B8273">
      <w:pPr>
        <w:rPr>
          <w:rFonts w:hint="default" w:ascii="Times New Roman" w:hAnsi="Times New Roman" w:eastAsia="宋体" w:cs="Times New Roman"/>
          <w:color w:val="auto"/>
          <w:highlight w:val="none"/>
          <w:u w:val="none" w:color="auto"/>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14:paraId="00973321">
      <w:pPr>
        <w:pStyle w:val="8"/>
        <w:bidi w:val="0"/>
        <w:rPr>
          <w:rFonts w:hint="default" w:ascii="Times New Roman" w:hAnsi="Times New Roman" w:eastAsia="宋体" w:cs="Times New Roman"/>
          <w:color w:val="auto"/>
          <w:highlight w:val="none"/>
          <w:u w:val="none" w:color="auto"/>
        </w:rPr>
      </w:pPr>
      <w:bookmarkStart w:id="19" w:name="_Toc16500"/>
      <w:r>
        <w:rPr>
          <w:rFonts w:hint="default" w:ascii="Times New Roman" w:hAnsi="Times New Roman" w:eastAsia="宋体" w:cs="Times New Roman"/>
          <w:color w:val="auto"/>
          <w:highlight w:val="none"/>
          <w:u w:val="none" w:color="auto"/>
        </w:rPr>
        <w:t>附表</w:t>
      </w:r>
      <w:bookmarkEnd w:id="19"/>
    </w:p>
    <w:p w14:paraId="08CCE43C">
      <w:pPr>
        <w:pStyle w:val="40"/>
        <w:adjustRightInd w:val="0"/>
        <w:snapToGrid w:val="0"/>
        <w:spacing w:before="0" w:beforeAutospacing="0" w:after="0" w:afterAutospacing="0"/>
        <w:jc w:val="center"/>
        <w:outlineLvl w:val="0"/>
        <w:rPr>
          <w:rFonts w:hint="default" w:ascii="Times New Roman" w:hAnsi="Times New Roman" w:eastAsia="宋体" w:cs="Times New Roman"/>
          <w:snapToGrid w:val="0"/>
          <w:color w:val="auto"/>
          <w:sz w:val="38"/>
          <w:szCs w:val="38"/>
          <w:highlight w:val="none"/>
          <w:u w:val="none" w:color="auto"/>
        </w:rPr>
      </w:pPr>
      <w:bookmarkStart w:id="20" w:name="_Toc20463"/>
      <w:r>
        <w:rPr>
          <w:rFonts w:hint="default" w:ascii="Times New Roman" w:hAnsi="Times New Roman" w:eastAsia="宋体" w:cs="Times New Roman"/>
          <w:snapToGrid w:val="0"/>
          <w:color w:val="auto"/>
          <w:sz w:val="38"/>
          <w:szCs w:val="38"/>
          <w:highlight w:val="none"/>
          <w:u w:val="none" w:color="auto"/>
        </w:rPr>
        <w:t>建设项目污染物排放量汇总表</w:t>
      </w:r>
      <w:bookmarkEnd w:id="20"/>
    </w:p>
    <w:tbl>
      <w:tblPr>
        <w:tblStyle w:val="42"/>
        <w:tblW w:w="13788"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559"/>
        <w:gridCol w:w="1701"/>
        <w:gridCol w:w="1286"/>
      </w:tblGrid>
      <w:tr w14:paraId="4A28DCF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nil"/>
              <w:tr2bl w:val="nil"/>
            </w:tcBorders>
            <w:tcMar>
              <w:left w:w="28" w:type="dxa"/>
              <w:right w:w="28" w:type="dxa"/>
            </w:tcMar>
            <w:vAlign w:val="center"/>
          </w:tcPr>
          <w:p w14:paraId="0607FE43">
            <w:pPr>
              <w:pStyle w:val="94"/>
              <w:keepNext w:val="0"/>
              <w:keepLines w:val="0"/>
              <w:pageBreakBefore w:val="0"/>
              <w:kinsoku/>
              <w:wordWrap/>
              <w:overflowPunct/>
              <w:topLinePunct w:val="0"/>
              <w:bidi w:val="0"/>
              <w:snapToGrid w:val="0"/>
              <w:spacing w:beforeLines="0" w:afterLines="0" w:line="240" w:lineRule="auto"/>
              <w:jc w:val="right"/>
              <w:rPr>
                <w:rFonts w:hint="default" w:ascii="Times New Roman" w:hAnsi="Times New Roman" w:eastAsia="宋体" w:cs="Times New Roman"/>
                <w:b w:val="0"/>
                <w:bCs w:val="0"/>
                <w:snapToGrid w:val="0"/>
                <w:color w:val="auto"/>
                <w:spacing w:val="-6"/>
                <w:kern w:val="21"/>
                <w:sz w:val="21"/>
                <w:szCs w:val="21"/>
                <w:highlight w:val="none"/>
                <w:u w:val="none" w:color="auto"/>
              </w:rPr>
            </w:pPr>
            <w:r>
              <w:rPr>
                <w:rFonts w:hint="default" w:ascii="Times New Roman" w:hAnsi="Times New Roman" w:eastAsia="宋体" w:cs="Times New Roman"/>
                <w:b w:val="0"/>
                <w:bCs w:val="0"/>
                <w:color w:val="auto"/>
                <w:sz w:val="21"/>
                <w:highlight w:val="none"/>
                <w:u w:val="none" w:color="auto"/>
              </w:rPr>
              <mc:AlternateContent>
                <mc:Choice Requires="wps">
                  <w:drawing>
                    <wp:anchor distT="0" distB="0" distL="114300" distR="114300" simplePos="0" relativeHeight="251660288" behindDoc="0" locked="0" layoutInCell="1" allowOverlap="1">
                      <wp:simplePos x="0" y="0"/>
                      <wp:positionH relativeFrom="column">
                        <wp:posOffset>-20955</wp:posOffset>
                      </wp:positionH>
                      <wp:positionV relativeFrom="paragraph">
                        <wp:posOffset>-10795</wp:posOffset>
                      </wp:positionV>
                      <wp:extent cx="1011555" cy="560070"/>
                      <wp:effectExtent l="2540" t="4445" r="14605" b="6985"/>
                      <wp:wrapNone/>
                      <wp:docPr id="152" name="直接连接符 152"/>
                      <wp:cNvGraphicFramePr/>
                      <a:graphic xmlns:a="http://schemas.openxmlformats.org/drawingml/2006/main">
                        <a:graphicData uri="http://schemas.microsoft.com/office/word/2010/wordprocessingShape">
                          <wps:wsp>
                            <wps:cNvCnPr/>
                            <wps:spPr>
                              <a:xfrm>
                                <a:off x="1059180" y="1737360"/>
                                <a:ext cx="1011555" cy="560070"/>
                              </a:xfrm>
                              <a:prstGeom prst="line">
                                <a:avLst/>
                              </a:prstGeom>
                              <a:ln w="3175">
                                <a:solidFill>
                                  <a:schemeClr val="tx1"/>
                                </a:solidFill>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line id="_x0000_s1026" o:spid="_x0000_s1026" o:spt="20" style="position:absolute;left:0pt;margin-left:-1.65pt;margin-top:-0.85pt;height:44.1pt;width:79.65pt;z-index:251660288;mso-width-relative:page;mso-height-relative:page;" filled="f" stroked="t" coordsize="21600,21600" o:gfxdata="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YMLV&#10;GNkAAAAIAQAADwAAAAAAAAABACAAAAAiAAAAZHJzL2Rvd25yZXYueG1sUEsBAhQAFAAAAAgAh07i&#10;QBE1+s/oAQAArwMAAA4AAAAAAAAAAQAgAAAAKAEAAGRycy9lMm9Eb2MueG1sUEsFBgAAAAAGAAYA&#10;WQEAAIIFAAAAAA==&#10;">
                      <v:fill on="f" focussize="0,0"/>
                      <v:stroke weight="0.25pt" color="#000000 [3213]" joinstyle="round"/>
                      <v:imagedata o:title=""/>
                      <o:lock v:ext="edit" aspectratio="f"/>
                    </v:line>
                  </w:pict>
                </mc:Fallback>
              </mc:AlternateContent>
            </w:r>
            <w:r>
              <w:rPr>
                <w:rFonts w:hint="default" w:ascii="Times New Roman" w:hAnsi="Times New Roman" w:eastAsia="宋体" w:cs="Times New Roman"/>
                <w:b w:val="0"/>
                <w:bCs w:val="0"/>
                <w:snapToGrid w:val="0"/>
                <w:color w:val="auto"/>
                <w:spacing w:val="-6"/>
                <w:kern w:val="21"/>
                <w:sz w:val="21"/>
                <w:szCs w:val="21"/>
                <w:highlight w:val="none"/>
                <w:u w:val="none" w:color="auto"/>
              </w:rPr>
              <w:t>项目</w:t>
            </w:r>
          </w:p>
          <w:p w14:paraId="149CC96F">
            <w:pPr>
              <w:pStyle w:val="94"/>
              <w:keepNext w:val="0"/>
              <w:keepLines w:val="0"/>
              <w:pageBreakBefore w:val="0"/>
              <w:kinsoku/>
              <w:wordWrap/>
              <w:overflowPunct/>
              <w:topLinePunct w:val="0"/>
              <w:bidi w:val="0"/>
              <w:snapToGrid w:val="0"/>
              <w:spacing w:beforeLines="0" w:afterLines="0" w:line="240" w:lineRule="auto"/>
              <w:jc w:val="left"/>
              <w:rPr>
                <w:rFonts w:hint="default" w:ascii="Times New Roman" w:hAnsi="Times New Roman" w:eastAsia="宋体" w:cs="Times New Roman"/>
                <w:b w:val="0"/>
                <w:bCs w:val="0"/>
                <w:snapToGrid w:val="0"/>
                <w:color w:val="auto"/>
                <w:spacing w:val="-6"/>
                <w:kern w:val="21"/>
                <w:sz w:val="21"/>
                <w:szCs w:val="21"/>
                <w:highlight w:val="none"/>
                <w:u w:val="none" w:color="auto"/>
              </w:rPr>
            </w:pPr>
            <w:r>
              <w:rPr>
                <w:rFonts w:hint="default" w:ascii="Times New Roman" w:hAnsi="Times New Roman" w:eastAsia="宋体" w:cs="Times New Roman"/>
                <w:b w:val="0"/>
                <w:bCs w:val="0"/>
                <w:snapToGrid w:val="0"/>
                <w:color w:val="auto"/>
                <w:spacing w:val="-6"/>
                <w:kern w:val="21"/>
                <w:sz w:val="21"/>
                <w:szCs w:val="21"/>
                <w:highlight w:val="none"/>
                <w:u w:val="none" w:color="auto"/>
              </w:rPr>
              <w:t>分类</w:t>
            </w:r>
          </w:p>
        </w:tc>
        <w:tc>
          <w:tcPr>
            <w:tcW w:w="1417" w:type="dxa"/>
            <w:tcBorders>
              <w:tl2br w:val="nil"/>
              <w:tr2bl w:val="nil"/>
            </w:tcBorders>
            <w:tcMar>
              <w:left w:w="28" w:type="dxa"/>
              <w:right w:w="28" w:type="dxa"/>
            </w:tcMar>
            <w:vAlign w:val="center"/>
          </w:tcPr>
          <w:p w14:paraId="3C5F544C">
            <w:pPr>
              <w:pStyle w:val="94"/>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spacing w:val="-6"/>
                <w:kern w:val="21"/>
                <w:sz w:val="21"/>
                <w:szCs w:val="21"/>
                <w:highlight w:val="none"/>
                <w:u w:val="none" w:color="auto"/>
              </w:rPr>
            </w:pPr>
            <w:r>
              <w:rPr>
                <w:rFonts w:hint="default" w:ascii="Times New Roman" w:hAnsi="Times New Roman" w:eastAsia="宋体" w:cs="Times New Roman"/>
                <w:b w:val="0"/>
                <w:bCs w:val="0"/>
                <w:snapToGrid w:val="0"/>
                <w:color w:val="auto"/>
                <w:spacing w:val="-6"/>
                <w:kern w:val="21"/>
                <w:sz w:val="21"/>
                <w:szCs w:val="21"/>
                <w:highlight w:val="none"/>
                <w:u w:val="none" w:color="auto"/>
              </w:rPr>
              <w:t>污染物名称</w:t>
            </w:r>
          </w:p>
        </w:tc>
        <w:tc>
          <w:tcPr>
            <w:tcW w:w="1701" w:type="dxa"/>
            <w:tcBorders>
              <w:tl2br w:val="nil"/>
              <w:tr2bl w:val="nil"/>
            </w:tcBorders>
            <w:tcMar>
              <w:left w:w="28" w:type="dxa"/>
              <w:right w:w="28" w:type="dxa"/>
            </w:tcMar>
            <w:vAlign w:val="center"/>
          </w:tcPr>
          <w:p w14:paraId="3B8C5A75">
            <w:pPr>
              <w:pStyle w:val="94"/>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spacing w:val="-6"/>
                <w:kern w:val="21"/>
                <w:sz w:val="21"/>
                <w:szCs w:val="21"/>
                <w:highlight w:val="none"/>
                <w:u w:val="none" w:color="auto"/>
              </w:rPr>
            </w:pPr>
            <w:r>
              <w:rPr>
                <w:rFonts w:hint="default" w:ascii="Times New Roman" w:hAnsi="Times New Roman" w:eastAsia="宋体" w:cs="Times New Roman"/>
                <w:b w:val="0"/>
                <w:bCs w:val="0"/>
                <w:snapToGrid w:val="0"/>
                <w:color w:val="auto"/>
                <w:spacing w:val="-6"/>
                <w:kern w:val="21"/>
                <w:sz w:val="21"/>
                <w:szCs w:val="21"/>
                <w:highlight w:val="none"/>
                <w:u w:val="none" w:color="auto"/>
              </w:rPr>
              <w:fldChar w:fldCharType="begin"/>
            </w:r>
            <w:r>
              <w:rPr>
                <w:rFonts w:hint="default" w:ascii="Times New Roman" w:hAnsi="Times New Roman" w:eastAsia="宋体" w:cs="Times New Roman"/>
                <w:b w:val="0"/>
                <w:bCs w:val="0"/>
                <w:snapToGrid w:val="0"/>
                <w:color w:val="auto"/>
                <w:spacing w:val="-6"/>
                <w:kern w:val="21"/>
                <w:sz w:val="21"/>
                <w:szCs w:val="21"/>
                <w:highlight w:val="none"/>
                <w:u w:val="none" w:color="auto"/>
              </w:rPr>
              <w:instrText xml:space="preserve"> = 1 \* GB3 \* MERGEFORMAT </w:instrText>
            </w:r>
            <w:r>
              <w:rPr>
                <w:rFonts w:hint="default" w:ascii="Times New Roman" w:hAnsi="Times New Roman" w:eastAsia="宋体" w:cs="Times New Roman"/>
                <w:b w:val="0"/>
                <w:bCs w:val="0"/>
                <w:snapToGrid w:val="0"/>
                <w:color w:val="auto"/>
                <w:spacing w:val="-6"/>
                <w:kern w:val="21"/>
                <w:sz w:val="21"/>
                <w:szCs w:val="21"/>
                <w:highlight w:val="none"/>
                <w:u w:val="none" w:color="auto"/>
              </w:rPr>
              <w:fldChar w:fldCharType="separate"/>
            </w:r>
            <w:r>
              <w:rPr>
                <w:rFonts w:hint="default" w:ascii="Times New Roman" w:hAnsi="Times New Roman" w:eastAsia="宋体" w:cs="Times New Roman"/>
                <w:b w:val="0"/>
                <w:bCs w:val="0"/>
                <w:color w:val="auto"/>
                <w:kern w:val="2"/>
                <w:sz w:val="21"/>
                <w:szCs w:val="21"/>
                <w:highlight w:val="none"/>
                <w:u w:val="none" w:color="auto"/>
              </w:rPr>
              <w:t>①</w:t>
            </w:r>
            <w:r>
              <w:rPr>
                <w:rFonts w:hint="default" w:ascii="Times New Roman" w:hAnsi="Times New Roman" w:eastAsia="宋体" w:cs="Times New Roman"/>
                <w:b w:val="0"/>
                <w:bCs w:val="0"/>
                <w:snapToGrid w:val="0"/>
                <w:color w:val="auto"/>
                <w:spacing w:val="-6"/>
                <w:kern w:val="21"/>
                <w:sz w:val="21"/>
                <w:szCs w:val="21"/>
                <w:highlight w:val="none"/>
                <w:u w:val="none" w:color="auto"/>
              </w:rPr>
              <w:fldChar w:fldCharType="end"/>
            </w:r>
            <w:r>
              <w:rPr>
                <w:rFonts w:hint="default" w:ascii="Times New Roman" w:hAnsi="Times New Roman" w:eastAsia="宋体" w:cs="Times New Roman"/>
                <w:b w:val="0"/>
                <w:bCs w:val="0"/>
                <w:snapToGrid w:val="0"/>
                <w:color w:val="auto"/>
                <w:spacing w:val="-6"/>
                <w:kern w:val="21"/>
                <w:sz w:val="21"/>
                <w:szCs w:val="21"/>
                <w:highlight w:val="none"/>
                <w:u w:val="none" w:color="auto"/>
              </w:rPr>
              <w:t>现有工程</w:t>
            </w:r>
          </w:p>
          <w:p w14:paraId="6F7F93BC">
            <w:pPr>
              <w:pStyle w:val="94"/>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spacing w:val="-6"/>
                <w:kern w:val="21"/>
                <w:sz w:val="21"/>
                <w:szCs w:val="21"/>
                <w:highlight w:val="none"/>
                <w:u w:val="none" w:color="auto"/>
              </w:rPr>
            </w:pPr>
            <w:r>
              <w:rPr>
                <w:rFonts w:hint="default" w:ascii="Times New Roman" w:hAnsi="Times New Roman" w:eastAsia="宋体" w:cs="Times New Roman"/>
                <w:b w:val="0"/>
                <w:bCs w:val="0"/>
                <w:snapToGrid w:val="0"/>
                <w:color w:val="auto"/>
                <w:spacing w:val="-6"/>
                <w:kern w:val="21"/>
                <w:sz w:val="21"/>
                <w:szCs w:val="21"/>
                <w:highlight w:val="none"/>
                <w:u w:val="none" w:color="auto"/>
              </w:rPr>
              <w:t>排放量（固体废物产生量）（t/a）</w:t>
            </w:r>
          </w:p>
        </w:tc>
        <w:tc>
          <w:tcPr>
            <w:tcW w:w="1276" w:type="dxa"/>
            <w:tcBorders>
              <w:tl2br w:val="nil"/>
              <w:tr2bl w:val="nil"/>
            </w:tcBorders>
            <w:tcMar>
              <w:left w:w="28" w:type="dxa"/>
              <w:right w:w="28" w:type="dxa"/>
            </w:tcMar>
            <w:vAlign w:val="center"/>
          </w:tcPr>
          <w:p w14:paraId="570239E0">
            <w:pPr>
              <w:pStyle w:val="94"/>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spacing w:val="-6"/>
                <w:kern w:val="21"/>
                <w:sz w:val="21"/>
                <w:szCs w:val="21"/>
                <w:highlight w:val="none"/>
                <w:u w:val="none" w:color="auto"/>
              </w:rPr>
            </w:pPr>
            <w:r>
              <w:rPr>
                <w:rFonts w:hint="default" w:ascii="Times New Roman" w:hAnsi="Times New Roman" w:eastAsia="宋体" w:cs="Times New Roman"/>
                <w:b w:val="0"/>
                <w:bCs w:val="0"/>
                <w:snapToGrid w:val="0"/>
                <w:color w:val="auto"/>
                <w:spacing w:val="-6"/>
                <w:kern w:val="21"/>
                <w:sz w:val="21"/>
                <w:szCs w:val="21"/>
                <w:highlight w:val="none"/>
                <w:u w:val="none" w:color="auto"/>
              </w:rPr>
              <w:fldChar w:fldCharType="begin"/>
            </w:r>
            <w:r>
              <w:rPr>
                <w:rFonts w:hint="default" w:ascii="Times New Roman" w:hAnsi="Times New Roman" w:eastAsia="宋体" w:cs="Times New Roman"/>
                <w:b w:val="0"/>
                <w:bCs w:val="0"/>
                <w:snapToGrid w:val="0"/>
                <w:color w:val="auto"/>
                <w:spacing w:val="-6"/>
                <w:kern w:val="21"/>
                <w:sz w:val="21"/>
                <w:szCs w:val="21"/>
                <w:highlight w:val="none"/>
                <w:u w:val="none" w:color="auto"/>
              </w:rPr>
              <w:instrText xml:space="preserve"> = 2 \* GB3 \* MERGEFORMAT </w:instrText>
            </w:r>
            <w:r>
              <w:rPr>
                <w:rFonts w:hint="default" w:ascii="Times New Roman" w:hAnsi="Times New Roman" w:eastAsia="宋体" w:cs="Times New Roman"/>
                <w:b w:val="0"/>
                <w:bCs w:val="0"/>
                <w:snapToGrid w:val="0"/>
                <w:color w:val="auto"/>
                <w:spacing w:val="-6"/>
                <w:kern w:val="21"/>
                <w:sz w:val="21"/>
                <w:szCs w:val="21"/>
                <w:highlight w:val="none"/>
                <w:u w:val="none" w:color="auto"/>
              </w:rPr>
              <w:fldChar w:fldCharType="separate"/>
            </w:r>
            <w:r>
              <w:rPr>
                <w:rFonts w:hint="default" w:ascii="Times New Roman" w:hAnsi="Times New Roman" w:eastAsia="宋体" w:cs="Times New Roman"/>
                <w:b w:val="0"/>
                <w:bCs w:val="0"/>
                <w:snapToGrid w:val="0"/>
                <w:color w:val="auto"/>
                <w:spacing w:val="-6"/>
                <w:kern w:val="21"/>
                <w:sz w:val="21"/>
                <w:szCs w:val="21"/>
                <w:highlight w:val="none"/>
                <w:u w:val="none" w:color="auto"/>
              </w:rPr>
              <w:t>②</w:t>
            </w:r>
            <w:r>
              <w:rPr>
                <w:rFonts w:hint="default" w:ascii="Times New Roman" w:hAnsi="Times New Roman" w:eastAsia="宋体" w:cs="Times New Roman"/>
                <w:b w:val="0"/>
                <w:bCs w:val="0"/>
                <w:snapToGrid w:val="0"/>
                <w:color w:val="auto"/>
                <w:spacing w:val="-6"/>
                <w:kern w:val="21"/>
                <w:sz w:val="21"/>
                <w:szCs w:val="21"/>
                <w:highlight w:val="none"/>
                <w:u w:val="none" w:color="auto"/>
              </w:rPr>
              <w:fldChar w:fldCharType="end"/>
            </w:r>
            <w:r>
              <w:rPr>
                <w:rFonts w:hint="default" w:ascii="Times New Roman" w:hAnsi="Times New Roman" w:eastAsia="宋体" w:cs="Times New Roman"/>
                <w:b w:val="0"/>
                <w:bCs w:val="0"/>
                <w:snapToGrid w:val="0"/>
                <w:color w:val="auto"/>
                <w:spacing w:val="-6"/>
                <w:kern w:val="21"/>
                <w:sz w:val="21"/>
                <w:szCs w:val="21"/>
                <w:highlight w:val="none"/>
                <w:u w:val="none" w:color="auto"/>
              </w:rPr>
              <w:t>现有工程</w:t>
            </w:r>
          </w:p>
          <w:p w14:paraId="148F7162">
            <w:pPr>
              <w:pStyle w:val="94"/>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spacing w:val="-6"/>
                <w:kern w:val="21"/>
                <w:sz w:val="21"/>
                <w:szCs w:val="21"/>
                <w:highlight w:val="none"/>
                <w:u w:val="none" w:color="auto"/>
              </w:rPr>
            </w:pPr>
            <w:r>
              <w:rPr>
                <w:rFonts w:hint="default" w:ascii="Times New Roman" w:hAnsi="Times New Roman" w:eastAsia="宋体" w:cs="Times New Roman"/>
                <w:b w:val="0"/>
                <w:bCs w:val="0"/>
                <w:snapToGrid w:val="0"/>
                <w:color w:val="auto"/>
                <w:spacing w:val="-6"/>
                <w:kern w:val="21"/>
                <w:sz w:val="21"/>
                <w:szCs w:val="21"/>
                <w:highlight w:val="none"/>
                <w:u w:val="none" w:color="auto"/>
              </w:rPr>
              <w:t>许可排放量</w:t>
            </w:r>
          </w:p>
          <w:p w14:paraId="33510F88">
            <w:pPr>
              <w:pStyle w:val="94"/>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spacing w:val="-6"/>
                <w:kern w:val="21"/>
                <w:sz w:val="21"/>
                <w:szCs w:val="21"/>
                <w:highlight w:val="none"/>
                <w:u w:val="none" w:color="auto"/>
              </w:rPr>
            </w:pPr>
            <w:r>
              <w:rPr>
                <w:rFonts w:hint="default" w:ascii="Times New Roman" w:hAnsi="Times New Roman" w:eastAsia="宋体" w:cs="Times New Roman"/>
                <w:b w:val="0"/>
                <w:bCs w:val="0"/>
                <w:snapToGrid w:val="0"/>
                <w:color w:val="auto"/>
                <w:spacing w:val="-6"/>
                <w:kern w:val="21"/>
                <w:sz w:val="21"/>
                <w:szCs w:val="21"/>
                <w:highlight w:val="none"/>
                <w:u w:val="none" w:color="auto"/>
              </w:rPr>
              <w:t>（t/a）</w:t>
            </w:r>
          </w:p>
        </w:tc>
        <w:tc>
          <w:tcPr>
            <w:tcW w:w="1701" w:type="dxa"/>
            <w:tcBorders>
              <w:tl2br w:val="nil"/>
              <w:tr2bl w:val="nil"/>
            </w:tcBorders>
            <w:tcMar>
              <w:left w:w="28" w:type="dxa"/>
              <w:right w:w="28" w:type="dxa"/>
            </w:tcMar>
            <w:vAlign w:val="center"/>
          </w:tcPr>
          <w:p w14:paraId="747FE50B">
            <w:pPr>
              <w:pStyle w:val="94"/>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spacing w:val="-6"/>
                <w:kern w:val="21"/>
                <w:sz w:val="21"/>
                <w:szCs w:val="21"/>
                <w:highlight w:val="none"/>
                <w:u w:val="none" w:color="auto"/>
              </w:rPr>
            </w:pPr>
            <w:r>
              <w:rPr>
                <w:rFonts w:hint="default" w:ascii="Times New Roman" w:hAnsi="Times New Roman" w:eastAsia="宋体" w:cs="Times New Roman"/>
                <w:b w:val="0"/>
                <w:bCs w:val="0"/>
                <w:snapToGrid w:val="0"/>
                <w:color w:val="auto"/>
                <w:spacing w:val="-6"/>
                <w:kern w:val="21"/>
                <w:sz w:val="21"/>
                <w:szCs w:val="21"/>
                <w:highlight w:val="none"/>
                <w:u w:val="none" w:color="auto"/>
              </w:rPr>
              <w:fldChar w:fldCharType="begin"/>
            </w:r>
            <w:r>
              <w:rPr>
                <w:rFonts w:hint="default" w:ascii="Times New Roman" w:hAnsi="Times New Roman" w:eastAsia="宋体" w:cs="Times New Roman"/>
                <w:b w:val="0"/>
                <w:bCs w:val="0"/>
                <w:snapToGrid w:val="0"/>
                <w:color w:val="auto"/>
                <w:spacing w:val="-6"/>
                <w:kern w:val="21"/>
                <w:sz w:val="21"/>
                <w:szCs w:val="21"/>
                <w:highlight w:val="none"/>
                <w:u w:val="none" w:color="auto"/>
              </w:rPr>
              <w:instrText xml:space="preserve"> = 3 \* GB3 \* MERGEFORMAT </w:instrText>
            </w:r>
            <w:r>
              <w:rPr>
                <w:rFonts w:hint="default" w:ascii="Times New Roman" w:hAnsi="Times New Roman" w:eastAsia="宋体" w:cs="Times New Roman"/>
                <w:b w:val="0"/>
                <w:bCs w:val="0"/>
                <w:snapToGrid w:val="0"/>
                <w:color w:val="auto"/>
                <w:spacing w:val="-6"/>
                <w:kern w:val="21"/>
                <w:sz w:val="21"/>
                <w:szCs w:val="21"/>
                <w:highlight w:val="none"/>
                <w:u w:val="none" w:color="auto"/>
              </w:rPr>
              <w:fldChar w:fldCharType="separate"/>
            </w:r>
            <w:r>
              <w:rPr>
                <w:rFonts w:hint="default" w:ascii="Times New Roman" w:hAnsi="Times New Roman" w:eastAsia="宋体" w:cs="Times New Roman"/>
                <w:b w:val="0"/>
                <w:bCs w:val="0"/>
                <w:color w:val="auto"/>
                <w:kern w:val="2"/>
                <w:sz w:val="21"/>
                <w:szCs w:val="21"/>
                <w:highlight w:val="none"/>
                <w:u w:val="none" w:color="auto"/>
              </w:rPr>
              <w:t>③</w:t>
            </w:r>
            <w:r>
              <w:rPr>
                <w:rFonts w:hint="default" w:ascii="Times New Roman" w:hAnsi="Times New Roman" w:eastAsia="宋体" w:cs="Times New Roman"/>
                <w:b w:val="0"/>
                <w:bCs w:val="0"/>
                <w:snapToGrid w:val="0"/>
                <w:color w:val="auto"/>
                <w:spacing w:val="-6"/>
                <w:kern w:val="21"/>
                <w:sz w:val="21"/>
                <w:szCs w:val="21"/>
                <w:highlight w:val="none"/>
                <w:u w:val="none" w:color="auto"/>
              </w:rPr>
              <w:fldChar w:fldCharType="end"/>
            </w:r>
            <w:r>
              <w:rPr>
                <w:rFonts w:hint="default" w:ascii="Times New Roman" w:hAnsi="Times New Roman" w:eastAsia="宋体" w:cs="Times New Roman"/>
                <w:b w:val="0"/>
                <w:bCs w:val="0"/>
                <w:snapToGrid w:val="0"/>
                <w:color w:val="auto"/>
                <w:spacing w:val="-6"/>
                <w:kern w:val="21"/>
                <w:sz w:val="21"/>
                <w:szCs w:val="21"/>
                <w:highlight w:val="none"/>
                <w:u w:val="none" w:color="auto"/>
              </w:rPr>
              <w:t>在建工程</w:t>
            </w:r>
          </w:p>
          <w:p w14:paraId="58E44379">
            <w:pPr>
              <w:pStyle w:val="94"/>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spacing w:val="-6"/>
                <w:kern w:val="21"/>
                <w:sz w:val="21"/>
                <w:szCs w:val="21"/>
                <w:highlight w:val="none"/>
                <w:u w:val="none" w:color="auto"/>
              </w:rPr>
            </w:pPr>
            <w:r>
              <w:rPr>
                <w:rFonts w:hint="default" w:ascii="Times New Roman" w:hAnsi="Times New Roman" w:eastAsia="宋体" w:cs="Times New Roman"/>
                <w:b w:val="0"/>
                <w:bCs w:val="0"/>
                <w:snapToGrid w:val="0"/>
                <w:color w:val="auto"/>
                <w:spacing w:val="-6"/>
                <w:kern w:val="21"/>
                <w:sz w:val="21"/>
                <w:szCs w:val="21"/>
                <w:highlight w:val="none"/>
                <w:u w:val="none" w:color="auto"/>
              </w:rPr>
              <w:t>排放量（固体废物产生量）（t/a）</w:t>
            </w:r>
          </w:p>
        </w:tc>
        <w:tc>
          <w:tcPr>
            <w:tcW w:w="1559" w:type="dxa"/>
            <w:tcBorders>
              <w:tl2br w:val="nil"/>
              <w:tr2bl w:val="nil"/>
            </w:tcBorders>
            <w:tcMar>
              <w:left w:w="28" w:type="dxa"/>
              <w:right w:w="28" w:type="dxa"/>
            </w:tcMar>
            <w:vAlign w:val="center"/>
          </w:tcPr>
          <w:p w14:paraId="115F7319">
            <w:pPr>
              <w:pStyle w:val="94"/>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spacing w:val="-6"/>
                <w:kern w:val="21"/>
                <w:sz w:val="21"/>
                <w:szCs w:val="21"/>
                <w:highlight w:val="none"/>
                <w:u w:val="none" w:color="auto"/>
              </w:rPr>
            </w:pPr>
            <w:r>
              <w:rPr>
                <w:rFonts w:hint="default" w:ascii="Times New Roman" w:hAnsi="Times New Roman" w:eastAsia="宋体" w:cs="Times New Roman"/>
                <w:b w:val="0"/>
                <w:bCs w:val="0"/>
                <w:snapToGrid w:val="0"/>
                <w:color w:val="auto"/>
                <w:spacing w:val="-6"/>
                <w:kern w:val="21"/>
                <w:sz w:val="21"/>
                <w:szCs w:val="21"/>
                <w:highlight w:val="none"/>
                <w:u w:val="none" w:color="auto"/>
              </w:rPr>
              <w:fldChar w:fldCharType="begin"/>
            </w:r>
            <w:r>
              <w:rPr>
                <w:rFonts w:hint="default" w:ascii="Times New Roman" w:hAnsi="Times New Roman" w:eastAsia="宋体" w:cs="Times New Roman"/>
                <w:b w:val="0"/>
                <w:bCs w:val="0"/>
                <w:snapToGrid w:val="0"/>
                <w:color w:val="auto"/>
                <w:spacing w:val="-6"/>
                <w:kern w:val="21"/>
                <w:sz w:val="21"/>
                <w:szCs w:val="21"/>
                <w:highlight w:val="none"/>
                <w:u w:val="none" w:color="auto"/>
              </w:rPr>
              <w:instrText xml:space="preserve"> = 4 \* GB3 \* MERGEFORMAT </w:instrText>
            </w:r>
            <w:r>
              <w:rPr>
                <w:rFonts w:hint="default" w:ascii="Times New Roman" w:hAnsi="Times New Roman" w:eastAsia="宋体" w:cs="Times New Roman"/>
                <w:b w:val="0"/>
                <w:bCs w:val="0"/>
                <w:snapToGrid w:val="0"/>
                <w:color w:val="auto"/>
                <w:spacing w:val="-6"/>
                <w:kern w:val="21"/>
                <w:sz w:val="21"/>
                <w:szCs w:val="21"/>
                <w:highlight w:val="none"/>
                <w:u w:val="none" w:color="auto"/>
              </w:rPr>
              <w:fldChar w:fldCharType="separate"/>
            </w:r>
            <w:r>
              <w:rPr>
                <w:rFonts w:hint="default" w:ascii="Times New Roman" w:hAnsi="Times New Roman" w:eastAsia="宋体" w:cs="Times New Roman"/>
                <w:b w:val="0"/>
                <w:bCs w:val="0"/>
                <w:color w:val="auto"/>
                <w:kern w:val="2"/>
                <w:sz w:val="21"/>
                <w:szCs w:val="21"/>
                <w:highlight w:val="none"/>
                <w:u w:val="none" w:color="auto"/>
              </w:rPr>
              <w:t>④</w:t>
            </w:r>
            <w:r>
              <w:rPr>
                <w:rFonts w:hint="default" w:ascii="Times New Roman" w:hAnsi="Times New Roman" w:eastAsia="宋体" w:cs="Times New Roman"/>
                <w:b w:val="0"/>
                <w:bCs w:val="0"/>
                <w:snapToGrid w:val="0"/>
                <w:color w:val="auto"/>
                <w:spacing w:val="-6"/>
                <w:kern w:val="21"/>
                <w:sz w:val="21"/>
                <w:szCs w:val="21"/>
                <w:highlight w:val="none"/>
                <w:u w:val="none" w:color="auto"/>
              </w:rPr>
              <w:fldChar w:fldCharType="end"/>
            </w:r>
            <w:r>
              <w:rPr>
                <w:rFonts w:hint="default" w:ascii="Times New Roman" w:hAnsi="Times New Roman" w:eastAsia="宋体" w:cs="Times New Roman"/>
                <w:b w:val="0"/>
                <w:bCs w:val="0"/>
                <w:snapToGrid w:val="0"/>
                <w:color w:val="auto"/>
                <w:spacing w:val="-6"/>
                <w:kern w:val="21"/>
                <w:sz w:val="21"/>
                <w:szCs w:val="21"/>
                <w:highlight w:val="none"/>
                <w:u w:val="none" w:color="auto"/>
              </w:rPr>
              <w:t>本项目</w:t>
            </w:r>
          </w:p>
          <w:p w14:paraId="2C4936A3">
            <w:pPr>
              <w:pStyle w:val="94"/>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spacing w:val="-6"/>
                <w:kern w:val="21"/>
                <w:sz w:val="21"/>
                <w:szCs w:val="21"/>
                <w:highlight w:val="none"/>
                <w:u w:val="none" w:color="auto"/>
              </w:rPr>
            </w:pPr>
            <w:r>
              <w:rPr>
                <w:rFonts w:hint="default" w:ascii="Times New Roman" w:hAnsi="Times New Roman" w:eastAsia="宋体" w:cs="Times New Roman"/>
                <w:b w:val="0"/>
                <w:bCs w:val="0"/>
                <w:snapToGrid w:val="0"/>
                <w:color w:val="auto"/>
                <w:spacing w:val="-6"/>
                <w:kern w:val="21"/>
                <w:sz w:val="21"/>
                <w:szCs w:val="21"/>
                <w:highlight w:val="none"/>
                <w:u w:val="none" w:color="auto"/>
              </w:rPr>
              <w:t>排放量（固体废物产生量）（t/a）</w:t>
            </w:r>
          </w:p>
        </w:tc>
        <w:tc>
          <w:tcPr>
            <w:tcW w:w="1559" w:type="dxa"/>
            <w:tcBorders>
              <w:tl2br w:val="nil"/>
              <w:tr2bl w:val="nil"/>
            </w:tcBorders>
            <w:tcMar>
              <w:left w:w="28" w:type="dxa"/>
              <w:right w:w="28" w:type="dxa"/>
            </w:tcMar>
            <w:vAlign w:val="center"/>
          </w:tcPr>
          <w:p w14:paraId="2CCE2CAB">
            <w:pPr>
              <w:pStyle w:val="94"/>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spacing w:val="-16"/>
                <w:kern w:val="21"/>
                <w:sz w:val="21"/>
                <w:szCs w:val="21"/>
                <w:highlight w:val="none"/>
                <w:u w:val="none" w:color="auto"/>
              </w:rPr>
            </w:pPr>
            <w:r>
              <w:rPr>
                <w:rFonts w:hint="default" w:ascii="Times New Roman" w:hAnsi="Times New Roman" w:eastAsia="宋体" w:cs="Times New Roman"/>
                <w:b w:val="0"/>
                <w:bCs w:val="0"/>
                <w:snapToGrid w:val="0"/>
                <w:color w:val="auto"/>
                <w:spacing w:val="-16"/>
                <w:kern w:val="21"/>
                <w:sz w:val="21"/>
                <w:szCs w:val="21"/>
                <w:highlight w:val="none"/>
                <w:u w:val="none" w:color="auto"/>
              </w:rPr>
              <w:fldChar w:fldCharType="begin"/>
            </w:r>
            <w:r>
              <w:rPr>
                <w:rFonts w:hint="default" w:ascii="Times New Roman" w:hAnsi="Times New Roman" w:eastAsia="宋体" w:cs="Times New Roman"/>
                <w:b w:val="0"/>
                <w:bCs w:val="0"/>
                <w:snapToGrid w:val="0"/>
                <w:color w:val="auto"/>
                <w:spacing w:val="-16"/>
                <w:kern w:val="21"/>
                <w:sz w:val="21"/>
                <w:szCs w:val="21"/>
                <w:highlight w:val="none"/>
                <w:u w:val="none" w:color="auto"/>
              </w:rPr>
              <w:instrText xml:space="preserve"> = 5 \* GB3 \* MERGEFORMAT </w:instrText>
            </w:r>
            <w:r>
              <w:rPr>
                <w:rFonts w:hint="default" w:ascii="Times New Roman" w:hAnsi="Times New Roman" w:eastAsia="宋体" w:cs="Times New Roman"/>
                <w:b w:val="0"/>
                <w:bCs w:val="0"/>
                <w:snapToGrid w:val="0"/>
                <w:color w:val="auto"/>
                <w:spacing w:val="-16"/>
                <w:kern w:val="21"/>
                <w:sz w:val="21"/>
                <w:szCs w:val="21"/>
                <w:highlight w:val="none"/>
                <w:u w:val="none" w:color="auto"/>
              </w:rPr>
              <w:fldChar w:fldCharType="separate"/>
            </w:r>
            <w:r>
              <w:rPr>
                <w:rFonts w:hint="default" w:ascii="Times New Roman" w:hAnsi="Times New Roman" w:eastAsia="宋体" w:cs="Times New Roman"/>
                <w:b w:val="0"/>
                <w:bCs w:val="0"/>
                <w:color w:val="auto"/>
                <w:kern w:val="2"/>
                <w:sz w:val="21"/>
                <w:szCs w:val="21"/>
                <w:highlight w:val="none"/>
                <w:u w:val="none" w:color="auto"/>
              </w:rPr>
              <w:t>⑤</w:t>
            </w:r>
            <w:r>
              <w:rPr>
                <w:rFonts w:hint="default" w:ascii="Times New Roman" w:hAnsi="Times New Roman" w:eastAsia="宋体" w:cs="Times New Roman"/>
                <w:b w:val="0"/>
                <w:bCs w:val="0"/>
                <w:snapToGrid w:val="0"/>
                <w:color w:val="auto"/>
                <w:spacing w:val="-16"/>
                <w:kern w:val="21"/>
                <w:sz w:val="21"/>
                <w:szCs w:val="21"/>
                <w:highlight w:val="none"/>
                <w:u w:val="none" w:color="auto"/>
              </w:rPr>
              <w:fldChar w:fldCharType="end"/>
            </w:r>
            <w:r>
              <w:rPr>
                <w:rFonts w:hint="default" w:ascii="Times New Roman" w:hAnsi="Times New Roman" w:eastAsia="宋体" w:cs="Times New Roman"/>
                <w:b w:val="0"/>
                <w:bCs w:val="0"/>
                <w:snapToGrid w:val="0"/>
                <w:color w:val="auto"/>
                <w:spacing w:val="-16"/>
                <w:kern w:val="21"/>
                <w:sz w:val="21"/>
                <w:szCs w:val="21"/>
                <w:highlight w:val="none"/>
                <w:u w:val="none" w:color="auto"/>
              </w:rPr>
              <w:t>以新带老削减量（新建项目不填）</w:t>
            </w:r>
            <w:r>
              <w:rPr>
                <w:rFonts w:hint="default" w:ascii="Times New Roman" w:hAnsi="Times New Roman" w:eastAsia="宋体" w:cs="Times New Roman"/>
                <w:b w:val="0"/>
                <w:bCs w:val="0"/>
                <w:snapToGrid w:val="0"/>
                <w:color w:val="auto"/>
                <w:spacing w:val="-6"/>
                <w:kern w:val="21"/>
                <w:sz w:val="21"/>
                <w:szCs w:val="21"/>
                <w:highlight w:val="none"/>
                <w:u w:val="none" w:color="auto"/>
              </w:rPr>
              <w:t>（t/a）</w:t>
            </w:r>
          </w:p>
        </w:tc>
        <w:tc>
          <w:tcPr>
            <w:tcW w:w="1701" w:type="dxa"/>
            <w:tcBorders>
              <w:tl2br w:val="nil"/>
              <w:tr2bl w:val="nil"/>
            </w:tcBorders>
            <w:tcMar>
              <w:left w:w="28" w:type="dxa"/>
              <w:right w:w="28" w:type="dxa"/>
            </w:tcMar>
            <w:vAlign w:val="center"/>
          </w:tcPr>
          <w:p w14:paraId="36CD5AF6">
            <w:pPr>
              <w:pStyle w:val="94"/>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spacing w:val="-16"/>
                <w:kern w:val="21"/>
                <w:sz w:val="21"/>
                <w:szCs w:val="21"/>
                <w:highlight w:val="none"/>
                <w:u w:val="none" w:color="auto"/>
              </w:rPr>
            </w:pPr>
            <w:r>
              <w:rPr>
                <w:rFonts w:hint="default" w:ascii="Times New Roman" w:hAnsi="Times New Roman" w:eastAsia="宋体" w:cs="Times New Roman"/>
                <w:b w:val="0"/>
                <w:bCs w:val="0"/>
                <w:snapToGrid w:val="0"/>
                <w:color w:val="auto"/>
                <w:spacing w:val="-16"/>
                <w:kern w:val="21"/>
                <w:sz w:val="21"/>
                <w:szCs w:val="21"/>
                <w:highlight w:val="none"/>
                <w:u w:val="none" w:color="auto"/>
              </w:rPr>
              <w:fldChar w:fldCharType="begin"/>
            </w:r>
            <w:r>
              <w:rPr>
                <w:rFonts w:hint="default" w:ascii="Times New Roman" w:hAnsi="Times New Roman" w:eastAsia="宋体" w:cs="Times New Roman"/>
                <w:b w:val="0"/>
                <w:bCs w:val="0"/>
                <w:snapToGrid w:val="0"/>
                <w:color w:val="auto"/>
                <w:spacing w:val="-16"/>
                <w:kern w:val="21"/>
                <w:sz w:val="21"/>
                <w:szCs w:val="21"/>
                <w:highlight w:val="none"/>
                <w:u w:val="none" w:color="auto"/>
              </w:rPr>
              <w:instrText xml:space="preserve"> = 6 \* GB3 \* MERGEFORMAT </w:instrText>
            </w:r>
            <w:r>
              <w:rPr>
                <w:rFonts w:hint="default" w:ascii="Times New Roman" w:hAnsi="Times New Roman" w:eastAsia="宋体" w:cs="Times New Roman"/>
                <w:b w:val="0"/>
                <w:bCs w:val="0"/>
                <w:snapToGrid w:val="0"/>
                <w:color w:val="auto"/>
                <w:spacing w:val="-16"/>
                <w:kern w:val="21"/>
                <w:sz w:val="21"/>
                <w:szCs w:val="21"/>
                <w:highlight w:val="none"/>
                <w:u w:val="none" w:color="auto"/>
              </w:rPr>
              <w:fldChar w:fldCharType="separate"/>
            </w:r>
            <w:r>
              <w:rPr>
                <w:rFonts w:hint="default" w:ascii="Times New Roman" w:hAnsi="Times New Roman" w:eastAsia="宋体" w:cs="Times New Roman"/>
                <w:b w:val="0"/>
                <w:bCs w:val="0"/>
                <w:color w:val="auto"/>
                <w:kern w:val="2"/>
                <w:sz w:val="21"/>
                <w:szCs w:val="21"/>
                <w:highlight w:val="none"/>
                <w:u w:val="none" w:color="auto"/>
              </w:rPr>
              <w:t>⑥</w:t>
            </w:r>
            <w:r>
              <w:rPr>
                <w:rFonts w:hint="default" w:ascii="Times New Roman" w:hAnsi="Times New Roman" w:eastAsia="宋体" w:cs="Times New Roman"/>
                <w:b w:val="0"/>
                <w:bCs w:val="0"/>
                <w:snapToGrid w:val="0"/>
                <w:color w:val="auto"/>
                <w:spacing w:val="-16"/>
                <w:kern w:val="21"/>
                <w:sz w:val="21"/>
                <w:szCs w:val="21"/>
                <w:highlight w:val="none"/>
                <w:u w:val="none" w:color="auto"/>
              </w:rPr>
              <w:fldChar w:fldCharType="end"/>
            </w:r>
            <w:r>
              <w:rPr>
                <w:rFonts w:hint="default" w:ascii="Times New Roman" w:hAnsi="Times New Roman" w:eastAsia="宋体" w:cs="Times New Roman"/>
                <w:b w:val="0"/>
                <w:bCs w:val="0"/>
                <w:snapToGrid w:val="0"/>
                <w:color w:val="auto"/>
                <w:spacing w:val="-16"/>
                <w:kern w:val="21"/>
                <w:sz w:val="21"/>
                <w:szCs w:val="21"/>
                <w:highlight w:val="none"/>
                <w:u w:val="none" w:color="auto"/>
              </w:rPr>
              <w:t>本项目建成后</w:t>
            </w:r>
          </w:p>
          <w:p w14:paraId="403A90E5">
            <w:pPr>
              <w:pStyle w:val="94"/>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spacing w:val="-16"/>
                <w:kern w:val="21"/>
                <w:sz w:val="21"/>
                <w:szCs w:val="21"/>
                <w:highlight w:val="none"/>
                <w:u w:val="none" w:color="auto"/>
              </w:rPr>
            </w:pPr>
            <w:r>
              <w:rPr>
                <w:rFonts w:hint="default" w:ascii="Times New Roman" w:hAnsi="Times New Roman" w:eastAsia="宋体" w:cs="Times New Roman"/>
                <w:b w:val="0"/>
                <w:bCs w:val="0"/>
                <w:snapToGrid w:val="0"/>
                <w:color w:val="auto"/>
                <w:spacing w:val="-16"/>
                <w:kern w:val="21"/>
                <w:sz w:val="21"/>
                <w:szCs w:val="21"/>
                <w:highlight w:val="none"/>
                <w:u w:val="none" w:color="auto"/>
              </w:rPr>
              <w:t>全厂排放量（固体废物产生量）</w:t>
            </w:r>
            <w:r>
              <w:rPr>
                <w:rFonts w:hint="default" w:ascii="Times New Roman" w:hAnsi="Times New Roman" w:eastAsia="宋体" w:cs="Times New Roman"/>
                <w:b w:val="0"/>
                <w:bCs w:val="0"/>
                <w:snapToGrid w:val="0"/>
                <w:color w:val="auto"/>
                <w:spacing w:val="-6"/>
                <w:kern w:val="21"/>
                <w:sz w:val="21"/>
                <w:szCs w:val="21"/>
                <w:highlight w:val="none"/>
                <w:u w:val="none" w:color="auto"/>
              </w:rPr>
              <w:t>（t/a）</w:t>
            </w:r>
          </w:p>
        </w:tc>
        <w:tc>
          <w:tcPr>
            <w:tcW w:w="1286" w:type="dxa"/>
            <w:tcBorders>
              <w:tl2br w:val="nil"/>
              <w:tr2bl w:val="nil"/>
            </w:tcBorders>
            <w:tcMar>
              <w:left w:w="28" w:type="dxa"/>
              <w:right w:w="28" w:type="dxa"/>
            </w:tcMar>
            <w:vAlign w:val="center"/>
          </w:tcPr>
          <w:p w14:paraId="5791F00A">
            <w:pPr>
              <w:pStyle w:val="94"/>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spacing w:val="-6"/>
                <w:kern w:val="21"/>
                <w:sz w:val="21"/>
                <w:szCs w:val="21"/>
                <w:highlight w:val="none"/>
                <w:u w:val="none" w:color="auto"/>
              </w:rPr>
            </w:pPr>
            <w:r>
              <w:rPr>
                <w:rFonts w:hint="default" w:ascii="Times New Roman" w:hAnsi="Times New Roman" w:eastAsia="宋体" w:cs="Times New Roman"/>
                <w:b w:val="0"/>
                <w:bCs w:val="0"/>
                <w:snapToGrid w:val="0"/>
                <w:color w:val="auto"/>
                <w:spacing w:val="-6"/>
                <w:kern w:val="21"/>
                <w:sz w:val="21"/>
                <w:szCs w:val="21"/>
                <w:highlight w:val="none"/>
                <w:u w:val="none" w:color="auto"/>
              </w:rPr>
              <w:fldChar w:fldCharType="begin"/>
            </w:r>
            <w:r>
              <w:rPr>
                <w:rFonts w:hint="default" w:ascii="Times New Roman" w:hAnsi="Times New Roman" w:eastAsia="宋体" w:cs="Times New Roman"/>
                <w:b w:val="0"/>
                <w:bCs w:val="0"/>
                <w:snapToGrid w:val="0"/>
                <w:color w:val="auto"/>
                <w:spacing w:val="-6"/>
                <w:kern w:val="21"/>
                <w:sz w:val="21"/>
                <w:szCs w:val="21"/>
                <w:highlight w:val="none"/>
                <w:u w:val="none" w:color="auto"/>
              </w:rPr>
              <w:instrText xml:space="preserve"> = 7 \* GB3 \* MERGEFORMAT </w:instrText>
            </w:r>
            <w:r>
              <w:rPr>
                <w:rFonts w:hint="default" w:ascii="Times New Roman" w:hAnsi="Times New Roman" w:eastAsia="宋体" w:cs="Times New Roman"/>
                <w:b w:val="0"/>
                <w:bCs w:val="0"/>
                <w:snapToGrid w:val="0"/>
                <w:color w:val="auto"/>
                <w:spacing w:val="-6"/>
                <w:kern w:val="21"/>
                <w:sz w:val="21"/>
                <w:szCs w:val="21"/>
                <w:highlight w:val="none"/>
                <w:u w:val="none" w:color="auto"/>
              </w:rPr>
              <w:fldChar w:fldCharType="separate"/>
            </w:r>
            <w:r>
              <w:rPr>
                <w:rFonts w:hint="default" w:ascii="Times New Roman" w:hAnsi="Times New Roman" w:eastAsia="宋体" w:cs="Times New Roman"/>
                <w:b w:val="0"/>
                <w:bCs w:val="0"/>
                <w:color w:val="auto"/>
                <w:kern w:val="2"/>
                <w:sz w:val="21"/>
                <w:szCs w:val="21"/>
                <w:highlight w:val="none"/>
                <w:u w:val="none" w:color="auto"/>
              </w:rPr>
              <w:t>⑦</w:t>
            </w:r>
            <w:r>
              <w:rPr>
                <w:rFonts w:hint="default" w:ascii="Times New Roman" w:hAnsi="Times New Roman" w:eastAsia="宋体" w:cs="Times New Roman"/>
                <w:b w:val="0"/>
                <w:bCs w:val="0"/>
                <w:snapToGrid w:val="0"/>
                <w:color w:val="auto"/>
                <w:spacing w:val="-6"/>
                <w:kern w:val="21"/>
                <w:sz w:val="21"/>
                <w:szCs w:val="21"/>
                <w:highlight w:val="none"/>
                <w:u w:val="none" w:color="auto"/>
              </w:rPr>
              <w:fldChar w:fldCharType="end"/>
            </w:r>
            <w:r>
              <w:rPr>
                <w:rFonts w:hint="default" w:ascii="Times New Roman" w:hAnsi="Times New Roman" w:eastAsia="宋体" w:cs="Times New Roman"/>
                <w:b w:val="0"/>
                <w:bCs w:val="0"/>
                <w:snapToGrid w:val="0"/>
                <w:color w:val="auto"/>
                <w:spacing w:val="-6"/>
                <w:kern w:val="21"/>
                <w:sz w:val="21"/>
                <w:szCs w:val="21"/>
                <w:highlight w:val="none"/>
                <w:u w:val="none" w:color="auto"/>
              </w:rPr>
              <w:t>变化量</w:t>
            </w:r>
          </w:p>
          <w:p w14:paraId="6EAF3F03">
            <w:pPr>
              <w:pStyle w:val="94"/>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spacing w:val="-6"/>
                <w:kern w:val="21"/>
                <w:sz w:val="21"/>
                <w:szCs w:val="21"/>
                <w:highlight w:val="none"/>
                <w:u w:val="none" w:color="auto"/>
              </w:rPr>
            </w:pPr>
            <w:r>
              <w:rPr>
                <w:rFonts w:hint="default" w:ascii="Times New Roman" w:hAnsi="Times New Roman" w:eastAsia="宋体" w:cs="Times New Roman"/>
                <w:b w:val="0"/>
                <w:bCs w:val="0"/>
                <w:snapToGrid w:val="0"/>
                <w:color w:val="auto"/>
                <w:spacing w:val="-6"/>
                <w:kern w:val="21"/>
                <w:sz w:val="21"/>
                <w:szCs w:val="21"/>
                <w:highlight w:val="none"/>
                <w:u w:val="none" w:color="auto"/>
              </w:rPr>
              <w:t>（t/a）</w:t>
            </w:r>
          </w:p>
        </w:tc>
      </w:tr>
      <w:tr w14:paraId="003DAA6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32" w:hRule="atLeast"/>
        </w:trPr>
        <w:tc>
          <w:tcPr>
            <w:tcW w:w="1588" w:type="dxa"/>
            <w:vMerge w:val="restart"/>
            <w:tcBorders>
              <w:tl2br w:val="nil"/>
              <w:tr2bl w:val="nil"/>
            </w:tcBorders>
            <w:vAlign w:val="center"/>
          </w:tcPr>
          <w:p w14:paraId="27200A2A">
            <w:pPr>
              <w:pStyle w:val="94"/>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lang w:val="en-US" w:eastAsia="zh-CN"/>
              </w:rPr>
            </w:pPr>
            <w:r>
              <w:rPr>
                <w:rFonts w:hint="eastAsia" w:ascii="Times New Roman" w:cs="Times New Roman"/>
                <w:b w:val="0"/>
                <w:bCs w:val="0"/>
                <w:snapToGrid w:val="0"/>
                <w:color w:val="auto"/>
                <w:kern w:val="21"/>
                <w:sz w:val="21"/>
                <w:szCs w:val="21"/>
                <w:highlight w:val="none"/>
                <w:u w:val="none" w:color="auto"/>
                <w:lang w:val="en-US" w:eastAsia="zh-CN"/>
              </w:rPr>
              <w:t>废气</w:t>
            </w:r>
          </w:p>
        </w:tc>
        <w:tc>
          <w:tcPr>
            <w:tcW w:w="1417" w:type="dxa"/>
            <w:tcBorders>
              <w:tl2br w:val="nil"/>
              <w:tr2bl w:val="nil"/>
            </w:tcBorders>
            <w:shd w:val="clear" w:color="auto" w:fill="auto"/>
            <w:vAlign w:val="center"/>
          </w:tcPr>
          <w:p w14:paraId="153F7BB2">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bidi="ar-SA"/>
              </w:rPr>
            </w:pPr>
            <w:r>
              <w:rPr>
                <w:rFonts w:hint="default" w:ascii="Times New Roman" w:hAnsi="Times New Roman" w:eastAsia="宋体" w:cs="Times New Roman"/>
                <w:color w:val="auto"/>
                <w:kern w:val="0"/>
                <w:sz w:val="21"/>
                <w:szCs w:val="21"/>
                <w:u w:val="none"/>
                <w:vertAlign w:val="baseline"/>
                <w:lang w:val="en-US" w:eastAsia="zh-CN" w:bidi="ar-SA"/>
              </w:rPr>
              <w:t>颗粒物</w:t>
            </w:r>
          </w:p>
        </w:tc>
        <w:tc>
          <w:tcPr>
            <w:tcW w:w="1701" w:type="dxa"/>
            <w:tcBorders>
              <w:tl2br w:val="nil"/>
              <w:tr2bl w:val="nil"/>
            </w:tcBorders>
            <w:vAlign w:val="center"/>
          </w:tcPr>
          <w:p w14:paraId="7868641E">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276" w:type="dxa"/>
            <w:tcBorders>
              <w:tl2br w:val="nil"/>
              <w:tr2bl w:val="nil"/>
            </w:tcBorders>
            <w:vAlign w:val="center"/>
          </w:tcPr>
          <w:p w14:paraId="2E5332F6">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701" w:type="dxa"/>
            <w:tcBorders>
              <w:tl2br w:val="nil"/>
              <w:tr2bl w:val="nil"/>
            </w:tcBorders>
            <w:vAlign w:val="center"/>
          </w:tcPr>
          <w:p w14:paraId="72B96710">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559" w:type="dxa"/>
            <w:tcBorders>
              <w:tl2br w:val="nil"/>
              <w:tr2bl w:val="nil"/>
            </w:tcBorders>
            <w:vAlign w:val="center"/>
          </w:tcPr>
          <w:p w14:paraId="1A55F271">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rightChars="0" w:firstLine="0" w:firstLineChars="0"/>
              <w:jc w:val="center"/>
              <w:textAlignment w:val="auto"/>
              <w:rPr>
                <w:rStyle w:val="70"/>
                <w:rFonts w:hint="default" w:ascii="Times New Roman" w:hAnsi="Times New Roman" w:eastAsia="宋体" w:cs="Times New Roman"/>
                <w:b w:val="0"/>
                <w:bCs w:val="0"/>
                <w:color w:val="auto"/>
                <w:sz w:val="21"/>
                <w:szCs w:val="21"/>
                <w:highlight w:val="none"/>
                <w:u w:val="none" w:color="auto"/>
                <w:lang w:val="en-US" w:eastAsia="zh-CN"/>
              </w:rPr>
            </w:pPr>
            <w:r>
              <w:rPr>
                <w:rFonts w:hint="default" w:ascii="Times New Roman" w:hAnsi="Times New Roman" w:eastAsia="宋体" w:cs="Times New Roman"/>
                <w:color w:val="auto"/>
                <w:kern w:val="0"/>
                <w:sz w:val="21"/>
                <w:szCs w:val="21"/>
                <w:u w:val="none"/>
                <w:vertAlign w:val="baseline"/>
                <w:lang w:val="en-US" w:eastAsia="zh-CN" w:bidi="ar-SA"/>
              </w:rPr>
              <w:t>0.043</w:t>
            </w:r>
          </w:p>
        </w:tc>
        <w:tc>
          <w:tcPr>
            <w:tcW w:w="1559" w:type="dxa"/>
            <w:tcBorders>
              <w:tl2br w:val="nil"/>
              <w:tr2bl w:val="nil"/>
            </w:tcBorders>
            <w:vAlign w:val="center"/>
          </w:tcPr>
          <w:p w14:paraId="14079344">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701" w:type="dxa"/>
            <w:tcBorders>
              <w:tl2br w:val="nil"/>
              <w:tr2bl w:val="nil"/>
            </w:tcBorders>
            <w:vAlign w:val="center"/>
          </w:tcPr>
          <w:p w14:paraId="7AE136BE">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color w:val="auto"/>
                <w:kern w:val="0"/>
                <w:sz w:val="21"/>
                <w:szCs w:val="21"/>
                <w:u w:val="none"/>
                <w:vertAlign w:val="baseline"/>
                <w:lang w:val="en-US" w:eastAsia="zh-CN" w:bidi="ar-SA"/>
              </w:rPr>
              <w:t>0.043</w:t>
            </w:r>
          </w:p>
        </w:tc>
        <w:tc>
          <w:tcPr>
            <w:tcW w:w="1286" w:type="dxa"/>
            <w:tcBorders>
              <w:tl2br w:val="nil"/>
              <w:tr2bl w:val="nil"/>
            </w:tcBorders>
            <w:vAlign w:val="center"/>
          </w:tcPr>
          <w:p w14:paraId="6906B558">
            <w:pPr>
              <w:keepNext w:val="0"/>
              <w:keepLines w:val="0"/>
              <w:pageBreakBefore w:val="0"/>
              <w:kinsoku/>
              <w:wordWrap/>
              <w:overflowPunct/>
              <w:topLinePunct w:val="0"/>
              <w:bidi w:val="0"/>
              <w:snapToGrid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snapToGrid w:val="0"/>
                <w:color w:val="auto"/>
                <w:kern w:val="21"/>
                <w:sz w:val="21"/>
                <w:szCs w:val="21"/>
                <w:highlight w:val="none"/>
                <w:u w:val="none" w:color="auto"/>
              </w:rPr>
              <w:t>/</w:t>
            </w:r>
          </w:p>
        </w:tc>
      </w:tr>
      <w:tr w14:paraId="486E962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32" w:hRule="atLeast"/>
        </w:trPr>
        <w:tc>
          <w:tcPr>
            <w:tcW w:w="1588" w:type="dxa"/>
            <w:vMerge w:val="continue"/>
            <w:tcBorders>
              <w:tl2br w:val="nil"/>
              <w:tr2bl w:val="nil"/>
            </w:tcBorders>
            <w:vAlign w:val="center"/>
          </w:tcPr>
          <w:p w14:paraId="6A41E47E">
            <w:pPr>
              <w:pStyle w:val="94"/>
              <w:keepNext w:val="0"/>
              <w:keepLines w:val="0"/>
              <w:pageBreakBefore w:val="0"/>
              <w:kinsoku/>
              <w:wordWrap/>
              <w:overflowPunct/>
              <w:topLinePunct w:val="0"/>
              <w:bidi w:val="0"/>
              <w:snapToGrid w:val="0"/>
              <w:spacing w:beforeLines="0" w:afterLines="0" w:line="240" w:lineRule="auto"/>
              <w:rPr>
                <w:rFonts w:hint="eastAsia" w:ascii="Times New Roman" w:cs="Times New Roman"/>
                <w:b w:val="0"/>
                <w:bCs w:val="0"/>
                <w:snapToGrid w:val="0"/>
                <w:color w:val="auto"/>
                <w:kern w:val="21"/>
                <w:sz w:val="21"/>
                <w:szCs w:val="21"/>
                <w:highlight w:val="none"/>
                <w:u w:val="none" w:color="auto"/>
                <w:lang w:val="en-US" w:eastAsia="zh-CN"/>
              </w:rPr>
            </w:pPr>
          </w:p>
        </w:tc>
        <w:tc>
          <w:tcPr>
            <w:tcW w:w="1417" w:type="dxa"/>
            <w:tcBorders>
              <w:tl2br w:val="nil"/>
              <w:tr2bl w:val="nil"/>
            </w:tcBorders>
            <w:shd w:val="clear" w:color="auto" w:fill="auto"/>
            <w:vAlign w:val="center"/>
          </w:tcPr>
          <w:p w14:paraId="12F3853F">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bidi="ar-SA"/>
              </w:rPr>
            </w:pPr>
            <w:r>
              <w:rPr>
                <w:rFonts w:hint="default" w:ascii="Times New Roman" w:hAnsi="Times New Roman" w:eastAsia="宋体" w:cs="Times New Roman"/>
                <w:color w:val="auto"/>
                <w:kern w:val="0"/>
                <w:sz w:val="21"/>
                <w:szCs w:val="21"/>
                <w:u w:val="none"/>
                <w:vertAlign w:val="baseline"/>
                <w:lang w:val="en-US" w:eastAsia="zh-CN" w:bidi="ar-SA"/>
              </w:rPr>
              <w:t>二氧化硫</w:t>
            </w:r>
          </w:p>
        </w:tc>
        <w:tc>
          <w:tcPr>
            <w:tcW w:w="1701" w:type="dxa"/>
            <w:tcBorders>
              <w:tl2br w:val="nil"/>
              <w:tr2bl w:val="nil"/>
            </w:tcBorders>
            <w:vAlign w:val="center"/>
          </w:tcPr>
          <w:p w14:paraId="386C6A6C">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276" w:type="dxa"/>
            <w:tcBorders>
              <w:tl2br w:val="nil"/>
              <w:tr2bl w:val="nil"/>
            </w:tcBorders>
            <w:vAlign w:val="center"/>
          </w:tcPr>
          <w:p w14:paraId="004A9F0E">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701" w:type="dxa"/>
            <w:tcBorders>
              <w:tl2br w:val="nil"/>
              <w:tr2bl w:val="nil"/>
            </w:tcBorders>
            <w:vAlign w:val="center"/>
          </w:tcPr>
          <w:p w14:paraId="2D7BF03A">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559" w:type="dxa"/>
            <w:tcBorders>
              <w:tl2br w:val="nil"/>
              <w:tr2bl w:val="nil"/>
            </w:tcBorders>
            <w:vAlign w:val="center"/>
          </w:tcPr>
          <w:p w14:paraId="20C5B36E">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Style w:val="70"/>
                <w:rFonts w:hint="eastAsia" w:cs="Times New Roman"/>
                <w:b w:val="0"/>
                <w:bCs w:val="0"/>
                <w:color w:val="auto"/>
                <w:sz w:val="21"/>
                <w:szCs w:val="21"/>
                <w:highlight w:val="none"/>
                <w:u w:val="none" w:color="auto"/>
                <w:lang w:val="en-US" w:eastAsia="zh-CN"/>
              </w:rPr>
            </w:pPr>
            <w:r>
              <w:rPr>
                <w:rFonts w:hint="default" w:ascii="Times New Roman" w:hAnsi="Times New Roman" w:eastAsia="宋体" w:cs="Times New Roman"/>
                <w:color w:val="auto"/>
                <w:kern w:val="2"/>
                <w:sz w:val="21"/>
                <w:szCs w:val="24"/>
                <w:u w:val="none" w:color="auto"/>
                <w:lang w:val="en-US" w:eastAsia="zh-CN" w:bidi="ar-SA"/>
              </w:rPr>
              <w:t>0.937</w:t>
            </w:r>
          </w:p>
        </w:tc>
        <w:tc>
          <w:tcPr>
            <w:tcW w:w="1559" w:type="dxa"/>
            <w:tcBorders>
              <w:tl2br w:val="nil"/>
              <w:tr2bl w:val="nil"/>
            </w:tcBorders>
            <w:vAlign w:val="center"/>
          </w:tcPr>
          <w:p w14:paraId="5546C4CE">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701" w:type="dxa"/>
            <w:tcBorders>
              <w:tl2br w:val="nil"/>
              <w:tr2bl w:val="nil"/>
            </w:tcBorders>
            <w:vAlign w:val="center"/>
          </w:tcPr>
          <w:p w14:paraId="0458300D">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Style w:val="70"/>
                <w:rFonts w:hint="eastAsia" w:cs="Times New Roman"/>
                <w:b w:val="0"/>
                <w:bCs w:val="0"/>
                <w:color w:val="auto"/>
                <w:sz w:val="21"/>
                <w:szCs w:val="21"/>
                <w:highlight w:val="none"/>
                <w:u w:val="none" w:color="auto"/>
                <w:lang w:val="en-US" w:eastAsia="zh-CN"/>
              </w:rPr>
            </w:pPr>
            <w:r>
              <w:rPr>
                <w:rFonts w:hint="default" w:ascii="Times New Roman" w:hAnsi="Times New Roman" w:eastAsia="宋体" w:cs="Times New Roman"/>
                <w:color w:val="auto"/>
                <w:kern w:val="2"/>
                <w:sz w:val="21"/>
                <w:szCs w:val="24"/>
                <w:u w:val="none" w:color="auto"/>
                <w:lang w:val="en-US" w:eastAsia="zh-CN" w:bidi="ar-SA"/>
              </w:rPr>
              <w:t>0.937</w:t>
            </w:r>
          </w:p>
        </w:tc>
        <w:tc>
          <w:tcPr>
            <w:tcW w:w="1286" w:type="dxa"/>
            <w:tcBorders>
              <w:tl2br w:val="nil"/>
              <w:tr2bl w:val="nil"/>
            </w:tcBorders>
            <w:vAlign w:val="center"/>
          </w:tcPr>
          <w:p w14:paraId="71251109">
            <w:pPr>
              <w:keepNext w:val="0"/>
              <w:keepLines w:val="0"/>
              <w:pageBreakBefore w:val="0"/>
              <w:kinsoku/>
              <w:wordWrap/>
              <w:overflowPunct/>
              <w:topLinePunct w:val="0"/>
              <w:bidi w:val="0"/>
              <w:snapToGrid w:val="0"/>
              <w:spacing w:line="240" w:lineRule="auto"/>
              <w:jc w:val="center"/>
              <w:rPr>
                <w:rStyle w:val="70"/>
                <w:rFonts w:hint="eastAsia" w:cs="Times New Roman"/>
                <w:b w:val="0"/>
                <w:bCs w:val="0"/>
                <w:color w:val="auto"/>
                <w:sz w:val="21"/>
                <w:szCs w:val="21"/>
                <w:highlight w:val="none"/>
                <w:u w:val="none" w:color="auto"/>
                <w:lang w:val="en-US" w:eastAsia="zh-CN"/>
              </w:rPr>
            </w:pPr>
            <w:r>
              <w:rPr>
                <w:rFonts w:hint="default" w:ascii="Times New Roman" w:hAnsi="Times New Roman" w:eastAsia="宋体" w:cs="Times New Roman"/>
                <w:b w:val="0"/>
                <w:bCs w:val="0"/>
                <w:snapToGrid w:val="0"/>
                <w:color w:val="auto"/>
                <w:kern w:val="21"/>
                <w:sz w:val="21"/>
                <w:szCs w:val="21"/>
                <w:highlight w:val="none"/>
                <w:u w:val="none" w:color="auto"/>
              </w:rPr>
              <w:t>/</w:t>
            </w:r>
          </w:p>
        </w:tc>
      </w:tr>
      <w:tr w14:paraId="546D32E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1588" w:type="dxa"/>
            <w:vMerge w:val="continue"/>
            <w:tcBorders>
              <w:tl2br w:val="nil"/>
              <w:tr2bl w:val="nil"/>
            </w:tcBorders>
            <w:vAlign w:val="center"/>
          </w:tcPr>
          <w:p w14:paraId="527E5B73">
            <w:pPr>
              <w:keepNext w:val="0"/>
              <w:keepLines w:val="0"/>
              <w:pageBreakBefore w:val="0"/>
              <w:widowControl/>
              <w:kinsoku/>
              <w:wordWrap/>
              <w:overflowPunct/>
              <w:topLinePunct w:val="0"/>
              <w:bidi w:val="0"/>
              <w:snapToGrid w:val="0"/>
              <w:spacing w:line="240" w:lineRule="auto"/>
              <w:jc w:val="center"/>
              <w:textAlignment w:val="center"/>
              <w:rPr>
                <w:rFonts w:hint="default" w:ascii="Times New Roman" w:hAnsi="Times New Roman" w:eastAsia="宋体" w:cs="Times New Roman"/>
                <w:b w:val="0"/>
                <w:bCs w:val="0"/>
                <w:color w:val="auto"/>
                <w:kern w:val="0"/>
                <w:sz w:val="21"/>
                <w:szCs w:val="21"/>
                <w:highlight w:val="none"/>
                <w:u w:val="none" w:color="auto"/>
                <w:lang w:bidi="ar"/>
              </w:rPr>
            </w:pPr>
          </w:p>
        </w:tc>
        <w:tc>
          <w:tcPr>
            <w:tcW w:w="1417" w:type="dxa"/>
            <w:tcBorders>
              <w:tl2br w:val="nil"/>
              <w:tr2bl w:val="nil"/>
            </w:tcBorders>
            <w:shd w:val="clear" w:color="auto" w:fill="auto"/>
            <w:vAlign w:val="center"/>
          </w:tcPr>
          <w:p w14:paraId="02982A79">
            <w:pPr>
              <w:keepNext w:val="0"/>
              <w:keepLines w:val="0"/>
              <w:pageBreakBefore w:val="0"/>
              <w:widowControl w:val="0"/>
              <w:suppressLineNumbers w:val="0"/>
              <w:kinsoku/>
              <w:wordWrap/>
              <w:overflowPunct/>
              <w:topLinePunct w:val="0"/>
              <w:autoSpaceDE/>
              <w:autoSpaceDN/>
              <w:bidi w:val="0"/>
              <w:adjustRightInd/>
              <w:snapToGrid w:val="0"/>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bidi="ar-SA"/>
              </w:rPr>
            </w:pPr>
            <w:r>
              <w:rPr>
                <w:rFonts w:hint="default" w:ascii="Times New Roman" w:hAnsi="Times New Roman" w:eastAsia="宋体" w:cs="Times New Roman"/>
                <w:color w:val="auto"/>
                <w:kern w:val="0"/>
                <w:sz w:val="21"/>
                <w:szCs w:val="21"/>
                <w:u w:val="none"/>
                <w:vertAlign w:val="baseline"/>
                <w:lang w:val="en-US" w:eastAsia="zh-CN" w:bidi="ar-SA"/>
              </w:rPr>
              <w:t>氮氧化物</w:t>
            </w:r>
          </w:p>
        </w:tc>
        <w:tc>
          <w:tcPr>
            <w:tcW w:w="1701" w:type="dxa"/>
            <w:tcBorders>
              <w:tl2br w:val="nil"/>
              <w:tr2bl w:val="nil"/>
            </w:tcBorders>
            <w:vAlign w:val="center"/>
          </w:tcPr>
          <w:p w14:paraId="72E003D3">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276" w:type="dxa"/>
            <w:tcBorders>
              <w:tl2br w:val="nil"/>
              <w:tr2bl w:val="nil"/>
            </w:tcBorders>
            <w:vAlign w:val="center"/>
          </w:tcPr>
          <w:p w14:paraId="47B99149">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701" w:type="dxa"/>
            <w:tcBorders>
              <w:tl2br w:val="nil"/>
              <w:tr2bl w:val="nil"/>
            </w:tcBorders>
            <w:vAlign w:val="center"/>
          </w:tcPr>
          <w:p w14:paraId="1B37B059">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559" w:type="dxa"/>
            <w:tcBorders>
              <w:tl2br w:val="nil"/>
              <w:tr2bl w:val="nil"/>
            </w:tcBorders>
            <w:vAlign w:val="center"/>
          </w:tcPr>
          <w:p w14:paraId="6E61BCC4">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eastAsia" w:ascii="Times New Roman" w:cs="Times New Roman"/>
                <w:b w:val="0"/>
                <w:bCs w:val="0"/>
                <w:snapToGrid w:val="0"/>
                <w:color w:val="auto"/>
                <w:kern w:val="21"/>
                <w:sz w:val="21"/>
                <w:szCs w:val="21"/>
                <w:highlight w:val="none"/>
                <w:u w:val="none" w:color="auto"/>
                <w:lang w:val="en-US" w:eastAsia="zh-CN"/>
              </w:rPr>
            </w:pPr>
            <w:r>
              <w:rPr>
                <w:rFonts w:hint="default" w:ascii="Times New Roman" w:hAnsi="Times New Roman" w:eastAsia="宋体" w:cs="Times New Roman"/>
                <w:color w:val="auto"/>
                <w:kern w:val="2"/>
                <w:sz w:val="21"/>
                <w:szCs w:val="24"/>
                <w:u w:val="none" w:color="auto"/>
                <w:lang w:val="en-US" w:eastAsia="zh-CN" w:bidi="ar-SA"/>
              </w:rPr>
              <w:t>1.126</w:t>
            </w:r>
          </w:p>
        </w:tc>
        <w:tc>
          <w:tcPr>
            <w:tcW w:w="1559" w:type="dxa"/>
            <w:tcBorders>
              <w:tl2br w:val="nil"/>
              <w:tr2bl w:val="nil"/>
            </w:tcBorders>
            <w:vAlign w:val="center"/>
          </w:tcPr>
          <w:p w14:paraId="171DD210">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701" w:type="dxa"/>
            <w:tcBorders>
              <w:tl2br w:val="nil"/>
              <w:tr2bl w:val="nil"/>
            </w:tcBorders>
            <w:vAlign w:val="center"/>
          </w:tcPr>
          <w:p w14:paraId="59969FE6">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eastAsia" w:ascii="Times New Roman" w:cs="Times New Roman"/>
                <w:b w:val="0"/>
                <w:bCs w:val="0"/>
                <w:snapToGrid w:val="0"/>
                <w:color w:val="auto"/>
                <w:kern w:val="21"/>
                <w:sz w:val="21"/>
                <w:szCs w:val="21"/>
                <w:highlight w:val="none"/>
                <w:u w:val="none" w:color="auto"/>
                <w:lang w:val="en-US" w:eastAsia="zh-CN"/>
              </w:rPr>
            </w:pPr>
            <w:r>
              <w:rPr>
                <w:rFonts w:hint="default" w:ascii="Times New Roman" w:hAnsi="Times New Roman" w:eastAsia="宋体" w:cs="Times New Roman"/>
                <w:color w:val="auto"/>
                <w:kern w:val="2"/>
                <w:sz w:val="21"/>
                <w:szCs w:val="24"/>
                <w:u w:val="none" w:color="auto"/>
                <w:lang w:val="en-US" w:eastAsia="zh-CN" w:bidi="ar-SA"/>
              </w:rPr>
              <w:t>1.126</w:t>
            </w:r>
          </w:p>
        </w:tc>
        <w:tc>
          <w:tcPr>
            <w:tcW w:w="1286" w:type="dxa"/>
            <w:tcBorders>
              <w:tl2br w:val="nil"/>
              <w:tr2bl w:val="nil"/>
            </w:tcBorders>
            <w:vAlign w:val="center"/>
          </w:tcPr>
          <w:p w14:paraId="243F1D95">
            <w:pPr>
              <w:keepNext w:val="0"/>
              <w:keepLines w:val="0"/>
              <w:pageBreakBefore w:val="0"/>
              <w:kinsoku/>
              <w:wordWrap/>
              <w:overflowPunct/>
              <w:topLinePunct w:val="0"/>
              <w:bidi w:val="0"/>
              <w:snapToGrid w:val="0"/>
              <w:spacing w:beforeLines="0" w:afterLines="0" w:line="240" w:lineRule="auto"/>
              <w:jc w:val="center"/>
              <w:rPr>
                <w:rStyle w:val="70"/>
                <w:rFonts w:hint="eastAsia" w:cs="Times New Roman"/>
                <w:b w:val="0"/>
                <w:bCs w:val="0"/>
                <w:color w:val="auto"/>
                <w:sz w:val="21"/>
                <w:szCs w:val="21"/>
                <w:highlight w:val="none"/>
                <w:u w:val="none" w:color="auto"/>
                <w:lang w:val="en-US" w:eastAsia="zh-CN"/>
              </w:rPr>
            </w:pPr>
            <w:r>
              <w:rPr>
                <w:rFonts w:hint="default" w:ascii="Times New Roman" w:hAnsi="Times New Roman" w:eastAsia="宋体" w:cs="Times New Roman"/>
                <w:b w:val="0"/>
                <w:bCs w:val="0"/>
                <w:snapToGrid w:val="0"/>
                <w:color w:val="auto"/>
                <w:kern w:val="21"/>
                <w:sz w:val="21"/>
                <w:szCs w:val="21"/>
                <w:highlight w:val="none"/>
                <w:u w:val="none" w:color="auto"/>
              </w:rPr>
              <w:t>/</w:t>
            </w:r>
          </w:p>
        </w:tc>
      </w:tr>
      <w:tr w14:paraId="672C608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1588" w:type="dxa"/>
            <w:vMerge w:val="continue"/>
            <w:tcBorders>
              <w:tl2br w:val="nil"/>
              <w:tr2bl w:val="nil"/>
            </w:tcBorders>
            <w:vAlign w:val="center"/>
          </w:tcPr>
          <w:p w14:paraId="24D9C67B">
            <w:pPr>
              <w:keepNext w:val="0"/>
              <w:keepLines w:val="0"/>
              <w:pageBreakBefore w:val="0"/>
              <w:widowControl/>
              <w:kinsoku/>
              <w:wordWrap/>
              <w:overflowPunct/>
              <w:topLinePunct w:val="0"/>
              <w:bidi w:val="0"/>
              <w:snapToGrid w:val="0"/>
              <w:spacing w:line="240" w:lineRule="auto"/>
              <w:jc w:val="center"/>
              <w:textAlignment w:val="center"/>
              <w:rPr>
                <w:rFonts w:hint="default" w:ascii="Times New Roman" w:hAnsi="Times New Roman" w:eastAsia="宋体" w:cs="Times New Roman"/>
                <w:b w:val="0"/>
                <w:bCs w:val="0"/>
                <w:color w:val="auto"/>
                <w:kern w:val="0"/>
                <w:sz w:val="21"/>
                <w:szCs w:val="21"/>
                <w:highlight w:val="none"/>
                <w:u w:val="none" w:color="auto"/>
                <w:lang w:bidi="ar"/>
              </w:rPr>
            </w:pPr>
          </w:p>
        </w:tc>
        <w:tc>
          <w:tcPr>
            <w:tcW w:w="1417" w:type="dxa"/>
            <w:tcBorders>
              <w:tl2br w:val="nil"/>
              <w:tr2bl w:val="nil"/>
            </w:tcBorders>
            <w:shd w:val="clear" w:color="auto" w:fill="auto"/>
            <w:vAlign w:val="center"/>
          </w:tcPr>
          <w:p w14:paraId="5E0FE1F1">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bidi="ar-SA"/>
              </w:rPr>
            </w:pPr>
            <w:r>
              <w:rPr>
                <w:rFonts w:hint="default" w:ascii="Times New Roman" w:hAnsi="Times New Roman" w:eastAsia="宋体" w:cs="Times New Roman"/>
                <w:color w:val="auto"/>
                <w:kern w:val="0"/>
                <w:sz w:val="21"/>
                <w:szCs w:val="21"/>
                <w:u w:val="none"/>
                <w:vertAlign w:val="baseline"/>
                <w:lang w:val="en-US" w:eastAsia="zh-CN" w:bidi="ar-SA"/>
              </w:rPr>
              <w:t>NH</w:t>
            </w:r>
            <w:r>
              <w:rPr>
                <w:rFonts w:hint="default" w:ascii="Times New Roman" w:hAnsi="Times New Roman" w:eastAsia="宋体" w:cs="Times New Roman"/>
                <w:color w:val="auto"/>
                <w:kern w:val="0"/>
                <w:sz w:val="21"/>
                <w:szCs w:val="21"/>
                <w:u w:val="none"/>
                <w:vertAlign w:val="subscript"/>
                <w:lang w:val="en-US" w:eastAsia="zh-CN" w:bidi="ar-SA"/>
              </w:rPr>
              <w:t>3</w:t>
            </w:r>
          </w:p>
        </w:tc>
        <w:tc>
          <w:tcPr>
            <w:tcW w:w="1701" w:type="dxa"/>
            <w:tcBorders>
              <w:tl2br w:val="nil"/>
              <w:tr2bl w:val="nil"/>
            </w:tcBorders>
            <w:vAlign w:val="center"/>
          </w:tcPr>
          <w:p w14:paraId="1718721A">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276" w:type="dxa"/>
            <w:tcBorders>
              <w:tl2br w:val="nil"/>
              <w:tr2bl w:val="nil"/>
            </w:tcBorders>
            <w:vAlign w:val="center"/>
          </w:tcPr>
          <w:p w14:paraId="56BDEE84">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701" w:type="dxa"/>
            <w:tcBorders>
              <w:tl2br w:val="nil"/>
              <w:tr2bl w:val="nil"/>
            </w:tcBorders>
            <w:vAlign w:val="center"/>
          </w:tcPr>
          <w:p w14:paraId="43D7CCE5">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559" w:type="dxa"/>
            <w:tcBorders>
              <w:tl2br w:val="nil"/>
              <w:tr2bl w:val="nil"/>
            </w:tcBorders>
            <w:vAlign w:val="center"/>
          </w:tcPr>
          <w:p w14:paraId="44510916">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eastAsia" w:ascii="Times New Roman" w:cs="Times New Roman"/>
                <w:b w:val="0"/>
                <w:bCs w:val="0"/>
                <w:snapToGrid w:val="0"/>
                <w:color w:val="auto"/>
                <w:kern w:val="21"/>
                <w:sz w:val="21"/>
                <w:szCs w:val="21"/>
                <w:highlight w:val="none"/>
                <w:u w:val="none" w:color="auto"/>
                <w:lang w:val="en-US" w:eastAsia="zh-CN"/>
              </w:rPr>
            </w:pPr>
            <w:r>
              <w:rPr>
                <w:rFonts w:hint="eastAsia" w:cs="Times New Roman"/>
                <w:color w:val="auto"/>
                <w:kern w:val="2"/>
                <w:sz w:val="21"/>
                <w:szCs w:val="24"/>
                <w:u w:val="none" w:color="auto"/>
                <w:lang w:val="en-US" w:eastAsia="zh-CN" w:bidi="ar-SA"/>
              </w:rPr>
              <w:t>0.068</w:t>
            </w:r>
          </w:p>
        </w:tc>
        <w:tc>
          <w:tcPr>
            <w:tcW w:w="1559" w:type="dxa"/>
            <w:tcBorders>
              <w:tl2br w:val="nil"/>
              <w:tr2bl w:val="nil"/>
            </w:tcBorders>
            <w:vAlign w:val="center"/>
          </w:tcPr>
          <w:p w14:paraId="2C91B009">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701" w:type="dxa"/>
            <w:tcBorders>
              <w:tl2br w:val="nil"/>
              <w:tr2bl w:val="nil"/>
            </w:tcBorders>
            <w:vAlign w:val="center"/>
          </w:tcPr>
          <w:p w14:paraId="2095274C">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eastAsia" w:ascii="Times New Roman" w:cs="Times New Roman"/>
                <w:b w:val="0"/>
                <w:bCs w:val="0"/>
                <w:snapToGrid w:val="0"/>
                <w:color w:val="auto"/>
                <w:kern w:val="21"/>
                <w:sz w:val="21"/>
                <w:szCs w:val="21"/>
                <w:highlight w:val="none"/>
                <w:u w:val="none" w:color="auto"/>
                <w:lang w:val="en-US" w:eastAsia="zh-CN"/>
              </w:rPr>
            </w:pPr>
            <w:r>
              <w:rPr>
                <w:rFonts w:hint="eastAsia" w:cs="Times New Roman"/>
                <w:color w:val="auto"/>
                <w:kern w:val="2"/>
                <w:sz w:val="21"/>
                <w:szCs w:val="24"/>
                <w:u w:val="none" w:color="auto"/>
                <w:lang w:val="en-US" w:eastAsia="zh-CN" w:bidi="ar-SA"/>
              </w:rPr>
              <w:t>0.068</w:t>
            </w:r>
          </w:p>
        </w:tc>
        <w:tc>
          <w:tcPr>
            <w:tcW w:w="1286" w:type="dxa"/>
            <w:tcBorders>
              <w:tl2br w:val="nil"/>
              <w:tr2bl w:val="nil"/>
            </w:tcBorders>
            <w:vAlign w:val="center"/>
          </w:tcPr>
          <w:p w14:paraId="752929E8">
            <w:pPr>
              <w:keepNext w:val="0"/>
              <w:keepLines w:val="0"/>
              <w:pageBreakBefore w:val="0"/>
              <w:kinsoku/>
              <w:wordWrap/>
              <w:overflowPunct/>
              <w:topLinePunct w:val="0"/>
              <w:bidi w:val="0"/>
              <w:snapToGrid w:val="0"/>
              <w:spacing w:beforeLines="0" w:afterLines="0" w:line="240" w:lineRule="auto"/>
              <w:jc w:val="center"/>
              <w:rPr>
                <w:rStyle w:val="70"/>
                <w:rFonts w:hint="eastAsia" w:cs="Times New Roman"/>
                <w:b w:val="0"/>
                <w:bCs w:val="0"/>
                <w:color w:val="auto"/>
                <w:sz w:val="21"/>
                <w:szCs w:val="21"/>
                <w:highlight w:val="none"/>
                <w:u w:val="none" w:color="auto"/>
                <w:lang w:val="en-US" w:eastAsia="zh-CN"/>
              </w:rPr>
            </w:pPr>
            <w:r>
              <w:rPr>
                <w:rFonts w:hint="default" w:ascii="Times New Roman" w:hAnsi="Times New Roman" w:eastAsia="宋体" w:cs="Times New Roman"/>
                <w:b w:val="0"/>
                <w:bCs w:val="0"/>
                <w:snapToGrid w:val="0"/>
                <w:color w:val="auto"/>
                <w:kern w:val="21"/>
                <w:sz w:val="21"/>
                <w:szCs w:val="21"/>
                <w:highlight w:val="none"/>
                <w:u w:val="none" w:color="auto"/>
              </w:rPr>
              <w:t>/</w:t>
            </w:r>
          </w:p>
        </w:tc>
      </w:tr>
      <w:tr w14:paraId="4D70539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1588" w:type="dxa"/>
            <w:vMerge w:val="continue"/>
            <w:tcBorders>
              <w:tl2br w:val="nil"/>
              <w:tr2bl w:val="nil"/>
            </w:tcBorders>
            <w:vAlign w:val="center"/>
          </w:tcPr>
          <w:p w14:paraId="5E5E667D">
            <w:pPr>
              <w:keepNext w:val="0"/>
              <w:keepLines w:val="0"/>
              <w:pageBreakBefore w:val="0"/>
              <w:widowControl/>
              <w:kinsoku/>
              <w:wordWrap/>
              <w:overflowPunct/>
              <w:topLinePunct w:val="0"/>
              <w:bidi w:val="0"/>
              <w:snapToGrid w:val="0"/>
              <w:spacing w:line="240" w:lineRule="auto"/>
              <w:jc w:val="center"/>
              <w:textAlignment w:val="center"/>
              <w:rPr>
                <w:rFonts w:hint="default" w:ascii="Times New Roman" w:hAnsi="Times New Roman" w:eastAsia="宋体" w:cs="Times New Roman"/>
                <w:b w:val="0"/>
                <w:bCs w:val="0"/>
                <w:color w:val="auto"/>
                <w:kern w:val="0"/>
                <w:sz w:val="21"/>
                <w:szCs w:val="21"/>
                <w:highlight w:val="none"/>
                <w:u w:val="none" w:color="auto"/>
                <w:lang w:bidi="ar"/>
              </w:rPr>
            </w:pPr>
          </w:p>
        </w:tc>
        <w:tc>
          <w:tcPr>
            <w:tcW w:w="1417" w:type="dxa"/>
            <w:tcBorders>
              <w:tl2br w:val="nil"/>
              <w:tr2bl w:val="nil"/>
            </w:tcBorders>
            <w:shd w:val="clear" w:color="auto" w:fill="auto"/>
            <w:vAlign w:val="center"/>
          </w:tcPr>
          <w:p w14:paraId="377F3EF7">
            <w:pPr>
              <w:keepNext w:val="0"/>
              <w:keepLines w:val="0"/>
              <w:pageBreakBefore w:val="0"/>
              <w:widowControl w:val="0"/>
              <w:suppressLineNumbers w:val="0"/>
              <w:kinsoku/>
              <w:wordWrap/>
              <w:overflowPunct/>
              <w:topLinePunct w:val="0"/>
              <w:autoSpaceDE/>
              <w:autoSpaceDN/>
              <w:bidi w:val="0"/>
              <w:adjustRightInd/>
              <w:snapToGrid/>
              <w:spacing w:before="0" w:beforeLines="0" w:beforeAutospacing="0" w:after="0" w:afterLines="0" w:after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0"/>
                <w:sz w:val="21"/>
                <w:szCs w:val="21"/>
                <w:u w:val="none"/>
                <w:vertAlign w:val="baseline"/>
                <w:lang w:val="en-US" w:eastAsia="zh-CN" w:bidi="ar-SA"/>
              </w:rPr>
            </w:pPr>
            <w:r>
              <w:rPr>
                <w:rFonts w:hint="default" w:ascii="Times New Roman" w:hAnsi="Times New Roman" w:eastAsia="宋体" w:cs="Times New Roman"/>
                <w:color w:val="auto"/>
                <w:kern w:val="0"/>
                <w:sz w:val="21"/>
                <w:szCs w:val="21"/>
                <w:u w:val="none"/>
                <w:vertAlign w:val="baseline"/>
                <w:lang w:val="en-US" w:eastAsia="zh-CN" w:bidi="ar-SA"/>
              </w:rPr>
              <w:t>H</w:t>
            </w:r>
            <w:r>
              <w:rPr>
                <w:rFonts w:hint="default" w:ascii="Times New Roman" w:hAnsi="Times New Roman" w:eastAsia="宋体" w:cs="Times New Roman"/>
                <w:color w:val="auto"/>
                <w:kern w:val="0"/>
                <w:sz w:val="21"/>
                <w:szCs w:val="21"/>
                <w:u w:val="none"/>
                <w:vertAlign w:val="subscript"/>
                <w:lang w:val="en-US" w:eastAsia="zh-CN" w:bidi="ar-SA"/>
              </w:rPr>
              <w:t>2</w:t>
            </w:r>
            <w:r>
              <w:rPr>
                <w:rFonts w:hint="default" w:ascii="Times New Roman" w:hAnsi="Times New Roman" w:eastAsia="宋体" w:cs="Times New Roman"/>
                <w:color w:val="auto"/>
                <w:kern w:val="0"/>
                <w:sz w:val="21"/>
                <w:szCs w:val="21"/>
                <w:u w:val="none"/>
                <w:vertAlign w:val="baseline"/>
                <w:lang w:val="en-US" w:eastAsia="zh-CN" w:bidi="ar-SA"/>
              </w:rPr>
              <w:t>S</w:t>
            </w:r>
          </w:p>
        </w:tc>
        <w:tc>
          <w:tcPr>
            <w:tcW w:w="1701" w:type="dxa"/>
            <w:tcBorders>
              <w:tl2br w:val="nil"/>
              <w:tr2bl w:val="nil"/>
            </w:tcBorders>
            <w:vAlign w:val="center"/>
          </w:tcPr>
          <w:p w14:paraId="559E09C3">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276" w:type="dxa"/>
            <w:tcBorders>
              <w:tl2br w:val="nil"/>
              <w:tr2bl w:val="nil"/>
            </w:tcBorders>
            <w:vAlign w:val="center"/>
          </w:tcPr>
          <w:p w14:paraId="6F17118E">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701" w:type="dxa"/>
            <w:tcBorders>
              <w:tl2br w:val="nil"/>
              <w:tr2bl w:val="nil"/>
            </w:tcBorders>
            <w:vAlign w:val="center"/>
          </w:tcPr>
          <w:p w14:paraId="42DE57A3">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559" w:type="dxa"/>
            <w:tcBorders>
              <w:tl2br w:val="nil"/>
              <w:tr2bl w:val="nil"/>
            </w:tcBorders>
            <w:vAlign w:val="center"/>
          </w:tcPr>
          <w:p w14:paraId="42F0693D">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eastAsia" w:ascii="Times New Roman" w:cs="Times New Roman"/>
                <w:b w:val="0"/>
                <w:bCs w:val="0"/>
                <w:snapToGrid w:val="0"/>
                <w:color w:val="auto"/>
                <w:kern w:val="21"/>
                <w:sz w:val="21"/>
                <w:szCs w:val="21"/>
                <w:highlight w:val="none"/>
                <w:u w:val="none" w:color="auto"/>
                <w:lang w:val="en-US" w:eastAsia="zh-CN"/>
              </w:rPr>
            </w:pPr>
            <w:r>
              <w:rPr>
                <w:rFonts w:hint="eastAsia" w:cs="Times New Roman"/>
                <w:color w:val="auto"/>
                <w:kern w:val="2"/>
                <w:sz w:val="21"/>
                <w:szCs w:val="24"/>
                <w:u w:val="none" w:color="auto"/>
                <w:lang w:val="en-US" w:eastAsia="zh-CN" w:bidi="ar-SA"/>
              </w:rPr>
              <w:t>0.0026</w:t>
            </w:r>
          </w:p>
        </w:tc>
        <w:tc>
          <w:tcPr>
            <w:tcW w:w="1559" w:type="dxa"/>
            <w:tcBorders>
              <w:tl2br w:val="nil"/>
              <w:tr2bl w:val="nil"/>
            </w:tcBorders>
            <w:vAlign w:val="center"/>
          </w:tcPr>
          <w:p w14:paraId="161A9D92">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701" w:type="dxa"/>
            <w:tcBorders>
              <w:tl2br w:val="nil"/>
              <w:tr2bl w:val="nil"/>
            </w:tcBorders>
            <w:vAlign w:val="center"/>
          </w:tcPr>
          <w:p w14:paraId="0EAF19DC">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eastAsia" w:ascii="Times New Roman" w:cs="Times New Roman"/>
                <w:b w:val="0"/>
                <w:bCs w:val="0"/>
                <w:snapToGrid w:val="0"/>
                <w:color w:val="auto"/>
                <w:kern w:val="21"/>
                <w:sz w:val="21"/>
                <w:szCs w:val="21"/>
                <w:highlight w:val="none"/>
                <w:u w:val="none" w:color="auto"/>
                <w:lang w:val="en-US" w:eastAsia="zh-CN"/>
              </w:rPr>
            </w:pPr>
            <w:r>
              <w:rPr>
                <w:rFonts w:hint="eastAsia" w:cs="Times New Roman"/>
                <w:color w:val="auto"/>
                <w:kern w:val="2"/>
                <w:sz w:val="21"/>
                <w:szCs w:val="24"/>
                <w:u w:val="none" w:color="auto"/>
                <w:lang w:val="en-US" w:eastAsia="zh-CN" w:bidi="ar-SA"/>
              </w:rPr>
              <w:t>0.0026</w:t>
            </w:r>
          </w:p>
        </w:tc>
        <w:tc>
          <w:tcPr>
            <w:tcW w:w="1286" w:type="dxa"/>
            <w:tcBorders>
              <w:tl2br w:val="nil"/>
              <w:tr2bl w:val="nil"/>
            </w:tcBorders>
            <w:vAlign w:val="center"/>
          </w:tcPr>
          <w:p w14:paraId="191264D7">
            <w:pPr>
              <w:keepNext w:val="0"/>
              <w:keepLines w:val="0"/>
              <w:pageBreakBefore w:val="0"/>
              <w:kinsoku/>
              <w:wordWrap/>
              <w:overflowPunct/>
              <w:topLinePunct w:val="0"/>
              <w:bidi w:val="0"/>
              <w:snapToGrid w:val="0"/>
              <w:spacing w:beforeLines="0" w:afterLines="0" w:line="240" w:lineRule="auto"/>
              <w:jc w:val="center"/>
              <w:rPr>
                <w:rStyle w:val="70"/>
                <w:rFonts w:hint="eastAsia" w:cs="Times New Roman"/>
                <w:b w:val="0"/>
                <w:bCs w:val="0"/>
                <w:color w:val="auto"/>
                <w:sz w:val="21"/>
                <w:szCs w:val="21"/>
                <w:highlight w:val="none"/>
                <w:u w:val="none" w:color="auto"/>
                <w:lang w:val="en-US" w:eastAsia="zh-CN"/>
              </w:rPr>
            </w:pPr>
            <w:r>
              <w:rPr>
                <w:rFonts w:hint="default" w:ascii="Times New Roman" w:hAnsi="Times New Roman" w:eastAsia="宋体" w:cs="Times New Roman"/>
                <w:b w:val="0"/>
                <w:bCs w:val="0"/>
                <w:snapToGrid w:val="0"/>
                <w:color w:val="auto"/>
                <w:kern w:val="21"/>
                <w:sz w:val="21"/>
                <w:szCs w:val="21"/>
                <w:highlight w:val="none"/>
                <w:u w:val="none" w:color="auto"/>
              </w:rPr>
              <w:t>/</w:t>
            </w:r>
          </w:p>
        </w:tc>
      </w:tr>
      <w:tr w14:paraId="7088F9A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0" w:hRule="atLeast"/>
        </w:trPr>
        <w:tc>
          <w:tcPr>
            <w:tcW w:w="1588" w:type="dxa"/>
            <w:vMerge w:val="restart"/>
            <w:tcBorders>
              <w:tl2br w:val="nil"/>
              <w:tr2bl w:val="nil"/>
            </w:tcBorders>
            <w:vAlign w:val="center"/>
          </w:tcPr>
          <w:p w14:paraId="503C3D44">
            <w:pPr>
              <w:keepNext w:val="0"/>
              <w:keepLines w:val="0"/>
              <w:pageBreakBefore w:val="0"/>
              <w:widowControl/>
              <w:kinsoku/>
              <w:wordWrap/>
              <w:overflowPunct/>
              <w:topLinePunct w:val="0"/>
              <w:bidi w:val="0"/>
              <w:snapToGrid w:val="0"/>
              <w:spacing w:line="240" w:lineRule="auto"/>
              <w:jc w:val="center"/>
              <w:textAlignment w:val="center"/>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color w:val="auto"/>
                <w:kern w:val="0"/>
                <w:sz w:val="21"/>
                <w:szCs w:val="21"/>
                <w:highlight w:val="none"/>
                <w:u w:val="none" w:color="auto"/>
                <w:lang w:bidi="ar"/>
              </w:rPr>
              <w:t>生活废水</w:t>
            </w:r>
          </w:p>
        </w:tc>
        <w:tc>
          <w:tcPr>
            <w:tcW w:w="1417" w:type="dxa"/>
            <w:tcBorders>
              <w:tl2br w:val="nil"/>
              <w:tr2bl w:val="nil"/>
            </w:tcBorders>
            <w:vAlign w:val="center"/>
          </w:tcPr>
          <w:p w14:paraId="435D09B3">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b w:val="0"/>
                <w:bCs w:val="0"/>
                <w:snapToGrid w:val="0"/>
                <w:color w:val="auto"/>
                <w:kern w:val="21"/>
                <w:sz w:val="21"/>
                <w:szCs w:val="21"/>
                <w:highlight w:val="none"/>
                <w:u w:val="none" w:color="auto"/>
                <w:lang w:val="en-US" w:eastAsia="zh-CN" w:bidi="ar-SA"/>
              </w:rPr>
            </w:pPr>
            <w:r>
              <w:rPr>
                <w:rFonts w:hint="eastAsia" w:ascii="Times New Roman" w:hAnsi="Times New Roman" w:eastAsia="宋体" w:cs="Times New Roman"/>
                <w:color w:val="auto"/>
                <w:kern w:val="2"/>
                <w:sz w:val="21"/>
                <w:szCs w:val="24"/>
                <w:u w:val="none"/>
                <w:lang w:val="en-US" w:eastAsia="zh-CN" w:bidi="ar-SA"/>
              </w:rPr>
              <w:t>废水量</w:t>
            </w:r>
          </w:p>
        </w:tc>
        <w:tc>
          <w:tcPr>
            <w:tcW w:w="1701" w:type="dxa"/>
            <w:tcBorders>
              <w:tl2br w:val="nil"/>
              <w:tr2bl w:val="nil"/>
            </w:tcBorders>
            <w:vAlign w:val="center"/>
          </w:tcPr>
          <w:p w14:paraId="017602E2">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lang w:val="en-US" w:eastAsia="zh-CN" w:bidi="ar-SA"/>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276" w:type="dxa"/>
            <w:tcBorders>
              <w:tl2br w:val="nil"/>
              <w:tr2bl w:val="nil"/>
            </w:tcBorders>
            <w:vAlign w:val="center"/>
          </w:tcPr>
          <w:p w14:paraId="129DAC9F">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lang w:val="en-US" w:eastAsia="zh-CN" w:bidi="ar-SA"/>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701" w:type="dxa"/>
            <w:tcBorders>
              <w:tl2br w:val="nil"/>
              <w:tr2bl w:val="nil"/>
            </w:tcBorders>
            <w:vAlign w:val="center"/>
          </w:tcPr>
          <w:p w14:paraId="6B0386EA">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lang w:val="en-US" w:eastAsia="zh-CN" w:bidi="ar-SA"/>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559" w:type="dxa"/>
            <w:tcBorders>
              <w:tl2br w:val="nil"/>
              <w:tr2bl w:val="nil"/>
            </w:tcBorders>
            <w:vAlign w:val="center"/>
          </w:tcPr>
          <w:p w14:paraId="7C43A54B">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b w:val="0"/>
                <w:bCs w:val="0"/>
                <w:snapToGrid w:val="0"/>
                <w:color w:val="auto"/>
                <w:kern w:val="21"/>
                <w:sz w:val="21"/>
                <w:szCs w:val="21"/>
                <w:highlight w:val="none"/>
                <w:u w:val="none" w:color="auto"/>
                <w:lang w:val="en-US" w:eastAsia="zh-CN" w:bidi="ar-SA"/>
              </w:rPr>
            </w:pPr>
            <w:r>
              <w:rPr>
                <w:rFonts w:hint="eastAsia" w:cs="Times New Roman"/>
                <w:color w:val="auto"/>
                <w:kern w:val="2"/>
                <w:sz w:val="21"/>
                <w:szCs w:val="24"/>
                <w:u w:val="none"/>
                <w:lang w:val="en-US" w:eastAsia="zh-CN" w:bidi="ar-SA"/>
              </w:rPr>
              <w:t>4688.8</w:t>
            </w:r>
          </w:p>
        </w:tc>
        <w:tc>
          <w:tcPr>
            <w:tcW w:w="1559" w:type="dxa"/>
            <w:tcBorders>
              <w:tl2br w:val="nil"/>
              <w:tr2bl w:val="nil"/>
            </w:tcBorders>
            <w:vAlign w:val="center"/>
          </w:tcPr>
          <w:p w14:paraId="0FD0DA91">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lang w:val="en-US" w:eastAsia="zh-CN" w:bidi="ar-SA"/>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701" w:type="dxa"/>
            <w:tcBorders>
              <w:tl2br w:val="nil"/>
              <w:tr2bl w:val="nil"/>
            </w:tcBorders>
            <w:vAlign w:val="center"/>
          </w:tcPr>
          <w:p w14:paraId="1FA6D762">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b w:val="0"/>
                <w:bCs w:val="0"/>
                <w:snapToGrid w:val="0"/>
                <w:color w:val="auto"/>
                <w:kern w:val="21"/>
                <w:sz w:val="21"/>
                <w:szCs w:val="21"/>
                <w:highlight w:val="none"/>
                <w:u w:val="none" w:color="auto"/>
                <w:lang w:val="en-US" w:eastAsia="zh-CN" w:bidi="ar-SA"/>
              </w:rPr>
            </w:pPr>
            <w:r>
              <w:rPr>
                <w:rFonts w:hint="eastAsia" w:cs="Times New Roman"/>
                <w:color w:val="auto"/>
                <w:kern w:val="2"/>
                <w:sz w:val="21"/>
                <w:szCs w:val="24"/>
                <w:u w:val="none"/>
                <w:lang w:val="en-US" w:eastAsia="zh-CN" w:bidi="ar-SA"/>
              </w:rPr>
              <w:t>4688.8</w:t>
            </w:r>
          </w:p>
        </w:tc>
        <w:tc>
          <w:tcPr>
            <w:tcW w:w="1286" w:type="dxa"/>
            <w:tcBorders>
              <w:tl2br w:val="nil"/>
              <w:tr2bl w:val="nil"/>
            </w:tcBorders>
            <w:vAlign w:val="center"/>
          </w:tcPr>
          <w:p w14:paraId="0E5F5B16">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lang w:val="en-US" w:eastAsia="zh-CN" w:bidi="ar-SA"/>
              </w:rPr>
            </w:pPr>
            <w:r>
              <w:rPr>
                <w:rFonts w:hint="default" w:ascii="Times New Roman" w:hAnsi="Times New Roman" w:eastAsia="宋体" w:cs="Times New Roman"/>
                <w:b w:val="0"/>
                <w:bCs w:val="0"/>
                <w:snapToGrid w:val="0"/>
                <w:color w:val="auto"/>
                <w:kern w:val="21"/>
                <w:sz w:val="21"/>
                <w:szCs w:val="21"/>
                <w:highlight w:val="none"/>
                <w:u w:val="none" w:color="auto"/>
              </w:rPr>
              <w:t>/</w:t>
            </w:r>
          </w:p>
        </w:tc>
      </w:tr>
      <w:tr w14:paraId="2335B7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1588" w:type="dxa"/>
            <w:vMerge w:val="continue"/>
            <w:tcBorders>
              <w:tl2br w:val="nil"/>
              <w:tr2bl w:val="nil"/>
            </w:tcBorders>
            <w:vAlign w:val="center"/>
          </w:tcPr>
          <w:p w14:paraId="1E4E3045">
            <w:pPr>
              <w:keepNext w:val="0"/>
              <w:keepLines w:val="0"/>
              <w:pageBreakBefore w:val="0"/>
              <w:widowControl/>
              <w:kinsoku/>
              <w:wordWrap/>
              <w:overflowPunct/>
              <w:topLinePunct w:val="0"/>
              <w:bidi w:val="0"/>
              <w:snapToGrid w:val="0"/>
              <w:spacing w:line="240" w:lineRule="auto"/>
              <w:jc w:val="center"/>
              <w:textAlignment w:val="center"/>
              <w:rPr>
                <w:rFonts w:hint="default" w:ascii="Times New Roman" w:hAnsi="Times New Roman" w:eastAsia="宋体" w:cs="Times New Roman"/>
                <w:b w:val="0"/>
                <w:bCs w:val="0"/>
                <w:color w:val="auto"/>
                <w:kern w:val="0"/>
                <w:sz w:val="21"/>
                <w:szCs w:val="21"/>
                <w:highlight w:val="none"/>
                <w:u w:val="none" w:color="auto"/>
                <w:lang w:bidi="ar"/>
              </w:rPr>
            </w:pPr>
          </w:p>
        </w:tc>
        <w:tc>
          <w:tcPr>
            <w:tcW w:w="1417" w:type="dxa"/>
            <w:tcBorders>
              <w:tl2br w:val="nil"/>
              <w:tr2bl w:val="nil"/>
            </w:tcBorders>
            <w:vAlign w:val="center"/>
          </w:tcPr>
          <w:p w14:paraId="095C10C0">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color w:val="auto"/>
                <w:kern w:val="2"/>
                <w:sz w:val="21"/>
                <w:szCs w:val="24"/>
                <w:u w:val="none"/>
                <w:lang w:val="en-US" w:eastAsia="zh-CN" w:bidi="ar-SA"/>
              </w:rPr>
              <w:t>CODcr</w:t>
            </w:r>
          </w:p>
        </w:tc>
        <w:tc>
          <w:tcPr>
            <w:tcW w:w="1701" w:type="dxa"/>
            <w:tcBorders>
              <w:tl2br w:val="nil"/>
              <w:tr2bl w:val="nil"/>
            </w:tcBorders>
            <w:vAlign w:val="center"/>
          </w:tcPr>
          <w:p w14:paraId="0E2FD571">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lang w:val="en-US" w:eastAsia="zh-CN" w:bidi="ar-SA"/>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276" w:type="dxa"/>
            <w:tcBorders>
              <w:tl2br w:val="nil"/>
              <w:tr2bl w:val="nil"/>
            </w:tcBorders>
            <w:vAlign w:val="center"/>
          </w:tcPr>
          <w:p w14:paraId="0FCEF13E">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lang w:val="en-US" w:eastAsia="zh-CN" w:bidi="ar-SA"/>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701" w:type="dxa"/>
            <w:tcBorders>
              <w:tl2br w:val="nil"/>
              <w:tr2bl w:val="nil"/>
            </w:tcBorders>
            <w:vAlign w:val="center"/>
          </w:tcPr>
          <w:p w14:paraId="45627539">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lang w:val="en-US" w:eastAsia="zh-CN" w:bidi="ar-SA"/>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559" w:type="dxa"/>
            <w:tcBorders>
              <w:tl2br w:val="nil"/>
              <w:tr2bl w:val="nil"/>
            </w:tcBorders>
            <w:vAlign w:val="center"/>
          </w:tcPr>
          <w:p w14:paraId="1D47A614">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eastAsia" w:cs="Times New Roman"/>
                <w:color w:val="auto"/>
                <w:kern w:val="2"/>
                <w:sz w:val="21"/>
                <w:szCs w:val="24"/>
                <w:u w:val="none"/>
                <w:lang w:val="en-US" w:eastAsia="zh-CN" w:bidi="ar-SA"/>
              </w:rPr>
              <w:t>1.069</w:t>
            </w:r>
          </w:p>
        </w:tc>
        <w:tc>
          <w:tcPr>
            <w:tcW w:w="1559" w:type="dxa"/>
            <w:tcBorders>
              <w:tl2br w:val="nil"/>
              <w:tr2bl w:val="nil"/>
            </w:tcBorders>
            <w:vAlign w:val="center"/>
          </w:tcPr>
          <w:p w14:paraId="2A04E0E4">
            <w:pPr>
              <w:keepNext w:val="0"/>
              <w:keepLines w:val="0"/>
              <w:pageBreakBefore w:val="0"/>
              <w:widowControl/>
              <w:suppressLineNumbers w:val="0"/>
              <w:kinsoku/>
              <w:wordWrap/>
              <w:overflowPunct/>
              <w:topLinePunct w:val="0"/>
              <w:bidi w:val="0"/>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701" w:type="dxa"/>
            <w:tcBorders>
              <w:tl2br w:val="nil"/>
              <w:tr2bl w:val="nil"/>
            </w:tcBorders>
            <w:vAlign w:val="center"/>
          </w:tcPr>
          <w:p w14:paraId="2914C532">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eastAsia" w:cs="Times New Roman"/>
                <w:color w:val="auto"/>
                <w:kern w:val="2"/>
                <w:sz w:val="21"/>
                <w:szCs w:val="24"/>
                <w:u w:val="none"/>
                <w:lang w:val="en-US" w:eastAsia="zh-CN" w:bidi="ar-SA"/>
              </w:rPr>
              <w:t>1.069</w:t>
            </w:r>
          </w:p>
        </w:tc>
        <w:tc>
          <w:tcPr>
            <w:tcW w:w="1286" w:type="dxa"/>
            <w:tcBorders>
              <w:tl2br w:val="nil"/>
              <w:tr2bl w:val="nil"/>
            </w:tcBorders>
            <w:vAlign w:val="center"/>
          </w:tcPr>
          <w:p w14:paraId="1DB49AB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default" w:ascii="Times New Roman" w:hAnsi="Times New Roman" w:eastAsia="宋体" w:cs="Times New Roman"/>
                <w:b w:val="0"/>
                <w:bCs w:val="0"/>
                <w:snapToGrid w:val="0"/>
                <w:color w:val="auto"/>
                <w:kern w:val="21"/>
                <w:sz w:val="21"/>
                <w:szCs w:val="21"/>
                <w:highlight w:val="none"/>
                <w:u w:val="none" w:color="auto"/>
              </w:rPr>
              <w:t>/</w:t>
            </w:r>
          </w:p>
        </w:tc>
      </w:tr>
      <w:tr w14:paraId="2940161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1588" w:type="dxa"/>
            <w:vMerge w:val="continue"/>
            <w:tcBorders>
              <w:tl2br w:val="nil"/>
              <w:tr2bl w:val="nil"/>
            </w:tcBorders>
            <w:vAlign w:val="center"/>
          </w:tcPr>
          <w:p w14:paraId="3901FFB0">
            <w:pPr>
              <w:pStyle w:val="94"/>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rPr>
            </w:pPr>
          </w:p>
        </w:tc>
        <w:tc>
          <w:tcPr>
            <w:tcW w:w="1417" w:type="dxa"/>
            <w:tcBorders>
              <w:tl2br w:val="nil"/>
              <w:tr2bl w:val="nil"/>
            </w:tcBorders>
            <w:vAlign w:val="center"/>
          </w:tcPr>
          <w:p w14:paraId="41A3552A">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eastAsia" w:ascii="Times New Roman" w:hAnsi="Times New Roman" w:eastAsia="宋体" w:cs="Times New Roman"/>
                <w:b w:val="0"/>
                <w:bCs w:val="0"/>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4"/>
                <w:u w:val="none"/>
                <w:lang w:val="en-US" w:eastAsia="zh-CN" w:bidi="ar-SA"/>
              </w:rPr>
              <w:t>氨氮</w:t>
            </w:r>
          </w:p>
        </w:tc>
        <w:tc>
          <w:tcPr>
            <w:tcW w:w="1701" w:type="dxa"/>
            <w:tcBorders>
              <w:tl2br w:val="nil"/>
              <w:tr2bl w:val="nil"/>
            </w:tcBorders>
            <w:vAlign w:val="center"/>
          </w:tcPr>
          <w:p w14:paraId="12D0E179">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lang w:val="en-US" w:eastAsia="zh-CN" w:bidi="ar-SA"/>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276" w:type="dxa"/>
            <w:tcBorders>
              <w:tl2br w:val="nil"/>
              <w:tr2bl w:val="nil"/>
            </w:tcBorders>
            <w:vAlign w:val="center"/>
          </w:tcPr>
          <w:p w14:paraId="08472025">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lang w:val="en-US" w:eastAsia="zh-CN" w:bidi="ar-SA"/>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701" w:type="dxa"/>
            <w:tcBorders>
              <w:tl2br w:val="nil"/>
              <w:tr2bl w:val="nil"/>
            </w:tcBorders>
            <w:vAlign w:val="center"/>
          </w:tcPr>
          <w:p w14:paraId="596D4047">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lang w:val="en-US" w:eastAsia="zh-CN" w:bidi="ar-SA"/>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559" w:type="dxa"/>
            <w:tcBorders>
              <w:tl2br w:val="nil"/>
              <w:tr2bl w:val="nil"/>
            </w:tcBorders>
            <w:vAlign w:val="center"/>
          </w:tcPr>
          <w:p w14:paraId="5A8AB7D0">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eastAsia" w:cs="Times New Roman"/>
                <w:color w:val="auto"/>
                <w:kern w:val="2"/>
                <w:sz w:val="21"/>
                <w:szCs w:val="24"/>
                <w:u w:val="none"/>
                <w:lang w:val="en-US" w:eastAsia="zh-CN" w:bidi="ar-SA"/>
              </w:rPr>
              <w:t>0.127</w:t>
            </w:r>
          </w:p>
        </w:tc>
        <w:tc>
          <w:tcPr>
            <w:tcW w:w="1559" w:type="dxa"/>
            <w:tcBorders>
              <w:tl2br w:val="nil"/>
              <w:tr2bl w:val="nil"/>
            </w:tcBorders>
            <w:vAlign w:val="center"/>
          </w:tcPr>
          <w:p w14:paraId="3543D4E5">
            <w:pPr>
              <w:keepNext w:val="0"/>
              <w:keepLines w:val="0"/>
              <w:pageBreakBefore w:val="0"/>
              <w:widowControl/>
              <w:suppressLineNumbers w:val="0"/>
              <w:kinsoku/>
              <w:wordWrap/>
              <w:overflowPunct/>
              <w:topLinePunct w:val="0"/>
              <w:bidi w:val="0"/>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701" w:type="dxa"/>
            <w:tcBorders>
              <w:tl2br w:val="nil"/>
              <w:tr2bl w:val="nil"/>
            </w:tcBorders>
            <w:vAlign w:val="center"/>
          </w:tcPr>
          <w:p w14:paraId="6B19A427">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eastAsia" w:cs="Times New Roman"/>
                <w:color w:val="auto"/>
                <w:kern w:val="2"/>
                <w:sz w:val="21"/>
                <w:szCs w:val="24"/>
                <w:u w:val="none"/>
                <w:lang w:val="en-US" w:eastAsia="zh-CN" w:bidi="ar-SA"/>
              </w:rPr>
              <w:t>0.127</w:t>
            </w:r>
          </w:p>
        </w:tc>
        <w:tc>
          <w:tcPr>
            <w:tcW w:w="1286" w:type="dxa"/>
            <w:tcBorders>
              <w:tl2br w:val="nil"/>
              <w:tr2bl w:val="nil"/>
            </w:tcBorders>
            <w:vAlign w:val="center"/>
          </w:tcPr>
          <w:p w14:paraId="0B4E9AFE">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default" w:ascii="Times New Roman" w:hAnsi="Times New Roman" w:eastAsia="宋体" w:cs="Times New Roman"/>
                <w:b w:val="0"/>
                <w:bCs w:val="0"/>
                <w:snapToGrid w:val="0"/>
                <w:color w:val="auto"/>
                <w:kern w:val="21"/>
                <w:sz w:val="21"/>
                <w:szCs w:val="21"/>
                <w:highlight w:val="none"/>
                <w:u w:val="none" w:color="auto"/>
              </w:rPr>
              <w:t>/</w:t>
            </w:r>
          </w:p>
        </w:tc>
      </w:tr>
      <w:tr w14:paraId="50B31DF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1588" w:type="dxa"/>
            <w:vMerge w:val="continue"/>
            <w:tcBorders>
              <w:tl2br w:val="nil"/>
              <w:tr2bl w:val="nil"/>
            </w:tcBorders>
            <w:vAlign w:val="center"/>
          </w:tcPr>
          <w:p w14:paraId="6D396DB2">
            <w:pPr>
              <w:pStyle w:val="94"/>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rPr>
            </w:pPr>
          </w:p>
        </w:tc>
        <w:tc>
          <w:tcPr>
            <w:tcW w:w="1417" w:type="dxa"/>
            <w:tcBorders>
              <w:tl2br w:val="nil"/>
              <w:tr2bl w:val="nil"/>
            </w:tcBorders>
            <w:vAlign w:val="center"/>
          </w:tcPr>
          <w:p w14:paraId="16DD21D8">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4"/>
                <w:u w:val="none"/>
                <w:lang w:val="en-US" w:eastAsia="zh-CN" w:bidi="ar-SA"/>
              </w:rPr>
              <w:t>总氮</w:t>
            </w:r>
          </w:p>
        </w:tc>
        <w:tc>
          <w:tcPr>
            <w:tcW w:w="1701" w:type="dxa"/>
            <w:tcBorders>
              <w:tl2br w:val="nil"/>
              <w:tr2bl w:val="nil"/>
            </w:tcBorders>
            <w:vAlign w:val="center"/>
          </w:tcPr>
          <w:p w14:paraId="251AEC3F">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lang w:val="en-US" w:eastAsia="zh-CN" w:bidi="ar-SA"/>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276" w:type="dxa"/>
            <w:tcBorders>
              <w:tl2br w:val="nil"/>
              <w:tr2bl w:val="nil"/>
            </w:tcBorders>
            <w:vAlign w:val="center"/>
          </w:tcPr>
          <w:p w14:paraId="04E770CF">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lang w:val="en-US" w:eastAsia="zh-CN" w:bidi="ar-SA"/>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701" w:type="dxa"/>
            <w:tcBorders>
              <w:tl2br w:val="nil"/>
              <w:tr2bl w:val="nil"/>
            </w:tcBorders>
            <w:vAlign w:val="center"/>
          </w:tcPr>
          <w:p w14:paraId="3613F0DF">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lang w:val="en-US" w:eastAsia="zh-CN" w:bidi="ar-SA"/>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559" w:type="dxa"/>
            <w:tcBorders>
              <w:tl2br w:val="nil"/>
              <w:tr2bl w:val="nil"/>
            </w:tcBorders>
            <w:vAlign w:val="center"/>
          </w:tcPr>
          <w:p w14:paraId="44CEB32A">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eastAsia" w:cs="Times New Roman"/>
                <w:color w:val="auto"/>
                <w:kern w:val="2"/>
                <w:sz w:val="21"/>
                <w:szCs w:val="24"/>
                <w:u w:val="none"/>
                <w:lang w:val="en-US" w:eastAsia="zh-CN" w:bidi="ar-SA"/>
              </w:rPr>
              <w:t>0.166</w:t>
            </w:r>
          </w:p>
        </w:tc>
        <w:tc>
          <w:tcPr>
            <w:tcW w:w="1559" w:type="dxa"/>
            <w:tcBorders>
              <w:tl2br w:val="nil"/>
              <w:tr2bl w:val="nil"/>
            </w:tcBorders>
            <w:vAlign w:val="center"/>
          </w:tcPr>
          <w:p w14:paraId="2C7A0873">
            <w:pPr>
              <w:keepNext w:val="0"/>
              <w:keepLines w:val="0"/>
              <w:pageBreakBefore w:val="0"/>
              <w:widowControl/>
              <w:suppressLineNumbers w:val="0"/>
              <w:kinsoku/>
              <w:wordWrap/>
              <w:overflowPunct/>
              <w:topLinePunct w:val="0"/>
              <w:bidi w:val="0"/>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701" w:type="dxa"/>
            <w:tcBorders>
              <w:tl2br w:val="nil"/>
              <w:tr2bl w:val="nil"/>
            </w:tcBorders>
            <w:vAlign w:val="center"/>
          </w:tcPr>
          <w:p w14:paraId="3FC5C283">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eastAsia" w:cs="Times New Roman"/>
                <w:color w:val="auto"/>
                <w:kern w:val="2"/>
                <w:sz w:val="21"/>
                <w:szCs w:val="24"/>
                <w:u w:val="none"/>
                <w:lang w:val="en-US" w:eastAsia="zh-CN" w:bidi="ar-SA"/>
              </w:rPr>
              <w:t>0.166</w:t>
            </w:r>
          </w:p>
        </w:tc>
        <w:tc>
          <w:tcPr>
            <w:tcW w:w="1286" w:type="dxa"/>
            <w:tcBorders>
              <w:tl2br w:val="nil"/>
              <w:tr2bl w:val="nil"/>
            </w:tcBorders>
            <w:vAlign w:val="center"/>
          </w:tcPr>
          <w:p w14:paraId="1EE5BA5A">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default" w:ascii="Times New Roman" w:hAnsi="Times New Roman" w:eastAsia="宋体" w:cs="Times New Roman"/>
                <w:b w:val="0"/>
                <w:bCs w:val="0"/>
                <w:snapToGrid w:val="0"/>
                <w:color w:val="auto"/>
                <w:kern w:val="21"/>
                <w:sz w:val="21"/>
                <w:szCs w:val="21"/>
                <w:highlight w:val="none"/>
                <w:u w:val="none" w:color="auto"/>
              </w:rPr>
              <w:t>/</w:t>
            </w:r>
          </w:p>
        </w:tc>
      </w:tr>
      <w:tr w14:paraId="34CD96D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1588" w:type="dxa"/>
            <w:vMerge w:val="continue"/>
            <w:tcBorders>
              <w:tl2br w:val="nil"/>
              <w:tr2bl w:val="nil"/>
            </w:tcBorders>
            <w:vAlign w:val="center"/>
          </w:tcPr>
          <w:p w14:paraId="73AEFFF9">
            <w:pPr>
              <w:pStyle w:val="94"/>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rPr>
            </w:pPr>
          </w:p>
        </w:tc>
        <w:tc>
          <w:tcPr>
            <w:tcW w:w="1417" w:type="dxa"/>
            <w:tcBorders>
              <w:tl2br w:val="nil"/>
              <w:tr2bl w:val="nil"/>
            </w:tcBorders>
            <w:vAlign w:val="center"/>
          </w:tcPr>
          <w:p w14:paraId="0BA6D29C">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0"/>
                <w:sz w:val="21"/>
                <w:szCs w:val="21"/>
                <w:highlight w:val="none"/>
                <w:u w:val="none" w:color="auto"/>
                <w:lang w:bidi="ar"/>
              </w:rPr>
            </w:pPr>
            <w:r>
              <w:rPr>
                <w:rFonts w:hint="eastAsia" w:ascii="Times New Roman" w:hAnsi="Times New Roman" w:eastAsia="宋体" w:cs="Times New Roman"/>
                <w:color w:val="auto"/>
                <w:kern w:val="2"/>
                <w:sz w:val="21"/>
                <w:szCs w:val="24"/>
                <w:u w:val="none"/>
                <w:lang w:val="en-US" w:eastAsia="zh-CN" w:bidi="ar-SA"/>
              </w:rPr>
              <w:t>总磷</w:t>
            </w:r>
          </w:p>
        </w:tc>
        <w:tc>
          <w:tcPr>
            <w:tcW w:w="1701" w:type="dxa"/>
            <w:tcBorders>
              <w:tl2br w:val="nil"/>
              <w:tr2bl w:val="nil"/>
            </w:tcBorders>
            <w:vAlign w:val="center"/>
          </w:tcPr>
          <w:p w14:paraId="42A4851A">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276" w:type="dxa"/>
            <w:tcBorders>
              <w:tl2br w:val="nil"/>
              <w:tr2bl w:val="nil"/>
            </w:tcBorders>
            <w:vAlign w:val="center"/>
          </w:tcPr>
          <w:p w14:paraId="0A81E8C1">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701" w:type="dxa"/>
            <w:tcBorders>
              <w:tl2br w:val="nil"/>
              <w:tr2bl w:val="nil"/>
            </w:tcBorders>
            <w:vAlign w:val="center"/>
          </w:tcPr>
          <w:p w14:paraId="57ABBF7B">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559" w:type="dxa"/>
            <w:tcBorders>
              <w:tl2br w:val="nil"/>
              <w:tr2bl w:val="nil"/>
            </w:tcBorders>
            <w:vAlign w:val="center"/>
          </w:tcPr>
          <w:p w14:paraId="631EFC19">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eastAsia" w:cs="Times New Roman"/>
                <w:b w:val="0"/>
                <w:bCs w:val="0"/>
                <w:i w:val="0"/>
                <w:iCs w:val="0"/>
                <w:color w:val="auto"/>
                <w:kern w:val="0"/>
                <w:sz w:val="21"/>
                <w:szCs w:val="21"/>
                <w:u w:val="none" w:color="auto"/>
                <w:lang w:val="en-US" w:eastAsia="zh-CN" w:bidi="ar"/>
              </w:rPr>
            </w:pPr>
            <w:r>
              <w:rPr>
                <w:rFonts w:hint="eastAsia" w:cs="Times New Roman"/>
                <w:color w:val="auto"/>
                <w:kern w:val="2"/>
                <w:sz w:val="21"/>
                <w:szCs w:val="24"/>
                <w:u w:val="none"/>
                <w:lang w:val="en-US" w:eastAsia="zh-CN" w:bidi="ar-SA"/>
              </w:rPr>
              <w:t>0.015</w:t>
            </w:r>
          </w:p>
        </w:tc>
        <w:tc>
          <w:tcPr>
            <w:tcW w:w="1559" w:type="dxa"/>
            <w:tcBorders>
              <w:tl2br w:val="nil"/>
              <w:tr2bl w:val="nil"/>
            </w:tcBorders>
            <w:vAlign w:val="center"/>
          </w:tcPr>
          <w:p w14:paraId="7BBF6B86">
            <w:pPr>
              <w:keepNext w:val="0"/>
              <w:keepLines w:val="0"/>
              <w:pageBreakBefore w:val="0"/>
              <w:widowControl/>
              <w:suppressLineNumbers w:val="0"/>
              <w:kinsoku/>
              <w:wordWrap/>
              <w:overflowPunct/>
              <w:topLinePunct w:val="0"/>
              <w:bidi w:val="0"/>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701" w:type="dxa"/>
            <w:tcBorders>
              <w:tl2br w:val="nil"/>
              <w:tr2bl w:val="nil"/>
            </w:tcBorders>
            <w:vAlign w:val="center"/>
          </w:tcPr>
          <w:p w14:paraId="0AD999B1">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eastAsia" w:cs="Times New Roman"/>
                <w:b w:val="0"/>
                <w:bCs w:val="0"/>
                <w:i w:val="0"/>
                <w:iCs w:val="0"/>
                <w:color w:val="auto"/>
                <w:kern w:val="0"/>
                <w:sz w:val="21"/>
                <w:szCs w:val="21"/>
                <w:u w:val="none" w:color="auto"/>
                <w:lang w:val="en-US" w:eastAsia="zh-CN" w:bidi="ar"/>
              </w:rPr>
            </w:pPr>
            <w:r>
              <w:rPr>
                <w:rFonts w:hint="eastAsia" w:cs="Times New Roman"/>
                <w:color w:val="auto"/>
                <w:kern w:val="2"/>
                <w:sz w:val="21"/>
                <w:szCs w:val="24"/>
                <w:u w:val="none"/>
                <w:lang w:val="en-US" w:eastAsia="zh-CN" w:bidi="ar-SA"/>
              </w:rPr>
              <w:t>0.015</w:t>
            </w:r>
          </w:p>
        </w:tc>
        <w:tc>
          <w:tcPr>
            <w:tcW w:w="1286" w:type="dxa"/>
            <w:tcBorders>
              <w:tl2br w:val="nil"/>
              <w:tr2bl w:val="nil"/>
            </w:tcBorders>
            <w:vAlign w:val="center"/>
          </w:tcPr>
          <w:p w14:paraId="6A7C94F3">
            <w:pPr>
              <w:keepNext w:val="0"/>
              <w:keepLines w:val="0"/>
              <w:widowControl/>
              <w:suppressLineNumbers w:val="0"/>
              <w:jc w:val="center"/>
              <w:textAlignment w:val="center"/>
              <w:rPr>
                <w:rStyle w:val="70"/>
                <w:rFonts w:hint="eastAsia" w:cs="Times New Roman"/>
                <w:b w:val="0"/>
                <w:bCs w:val="0"/>
                <w:color w:val="auto"/>
                <w:sz w:val="21"/>
                <w:szCs w:val="21"/>
                <w:highlight w:val="none"/>
                <w:u w:val="none" w:color="auto"/>
                <w:lang w:val="en-US" w:eastAsia="zh-CN"/>
              </w:rPr>
            </w:pPr>
            <w:r>
              <w:rPr>
                <w:rFonts w:hint="default" w:ascii="Times New Roman" w:hAnsi="Times New Roman" w:eastAsia="宋体" w:cs="Times New Roman"/>
                <w:b w:val="0"/>
                <w:bCs w:val="0"/>
                <w:snapToGrid w:val="0"/>
                <w:color w:val="auto"/>
                <w:kern w:val="21"/>
                <w:sz w:val="21"/>
                <w:szCs w:val="21"/>
                <w:highlight w:val="none"/>
                <w:u w:val="none" w:color="auto"/>
              </w:rPr>
              <w:t>/</w:t>
            </w:r>
          </w:p>
        </w:tc>
      </w:tr>
      <w:tr w14:paraId="677A892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1588" w:type="dxa"/>
            <w:vMerge w:val="continue"/>
            <w:tcBorders>
              <w:tl2br w:val="nil"/>
              <w:tr2bl w:val="nil"/>
            </w:tcBorders>
            <w:vAlign w:val="center"/>
          </w:tcPr>
          <w:p w14:paraId="3654991C">
            <w:pPr>
              <w:pStyle w:val="94"/>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rPr>
            </w:pPr>
          </w:p>
        </w:tc>
        <w:tc>
          <w:tcPr>
            <w:tcW w:w="1417" w:type="dxa"/>
            <w:tcBorders>
              <w:tl2br w:val="nil"/>
              <w:tr2bl w:val="nil"/>
            </w:tcBorders>
            <w:vAlign w:val="center"/>
          </w:tcPr>
          <w:p w14:paraId="3DC99B4E">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0"/>
                <w:sz w:val="21"/>
                <w:szCs w:val="21"/>
                <w:highlight w:val="none"/>
                <w:u w:val="none" w:color="auto"/>
                <w:lang w:bidi="ar"/>
              </w:rPr>
            </w:pPr>
            <w:r>
              <w:rPr>
                <w:rFonts w:hint="eastAsia" w:ascii="Times New Roman" w:hAnsi="Times New Roman" w:eastAsia="宋体" w:cs="Times New Roman"/>
                <w:color w:val="auto"/>
                <w:kern w:val="2"/>
                <w:sz w:val="21"/>
                <w:szCs w:val="24"/>
                <w:u w:val="none"/>
                <w:lang w:val="en-US" w:eastAsia="zh-CN" w:bidi="ar-SA"/>
              </w:rPr>
              <w:t>BOD</w:t>
            </w:r>
            <w:r>
              <w:rPr>
                <w:rFonts w:hint="eastAsia" w:ascii="Times New Roman" w:hAnsi="Times New Roman" w:eastAsia="宋体" w:cs="Times New Roman"/>
                <w:color w:val="auto"/>
                <w:kern w:val="2"/>
                <w:sz w:val="21"/>
                <w:szCs w:val="24"/>
                <w:u w:val="none"/>
                <w:vertAlign w:val="subscript"/>
                <w:lang w:val="en-US" w:eastAsia="zh-CN" w:bidi="ar-SA"/>
              </w:rPr>
              <w:t>5</w:t>
            </w:r>
          </w:p>
        </w:tc>
        <w:tc>
          <w:tcPr>
            <w:tcW w:w="1701" w:type="dxa"/>
            <w:tcBorders>
              <w:tl2br w:val="nil"/>
              <w:tr2bl w:val="nil"/>
            </w:tcBorders>
            <w:vAlign w:val="center"/>
          </w:tcPr>
          <w:p w14:paraId="68D3C4BB">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276" w:type="dxa"/>
            <w:tcBorders>
              <w:tl2br w:val="nil"/>
              <w:tr2bl w:val="nil"/>
            </w:tcBorders>
            <w:vAlign w:val="center"/>
          </w:tcPr>
          <w:p w14:paraId="201CA165">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701" w:type="dxa"/>
            <w:tcBorders>
              <w:tl2br w:val="nil"/>
              <w:tr2bl w:val="nil"/>
            </w:tcBorders>
            <w:vAlign w:val="center"/>
          </w:tcPr>
          <w:p w14:paraId="452DBD04">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559" w:type="dxa"/>
            <w:tcBorders>
              <w:tl2br w:val="nil"/>
              <w:tr2bl w:val="nil"/>
            </w:tcBorders>
            <w:vAlign w:val="center"/>
          </w:tcPr>
          <w:p w14:paraId="75FC2DB7">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eastAsia" w:cs="Times New Roman"/>
                <w:b w:val="0"/>
                <w:bCs w:val="0"/>
                <w:i w:val="0"/>
                <w:iCs w:val="0"/>
                <w:color w:val="auto"/>
                <w:kern w:val="0"/>
                <w:sz w:val="21"/>
                <w:szCs w:val="21"/>
                <w:u w:val="none" w:color="auto"/>
                <w:lang w:val="en-US" w:eastAsia="zh-CN" w:bidi="ar"/>
              </w:rPr>
            </w:pPr>
            <w:r>
              <w:rPr>
                <w:rFonts w:hint="eastAsia" w:cs="Times New Roman"/>
                <w:color w:val="auto"/>
                <w:kern w:val="2"/>
                <w:sz w:val="21"/>
                <w:szCs w:val="24"/>
                <w:u w:val="none"/>
                <w:lang w:val="en-US" w:eastAsia="zh-CN" w:bidi="ar-SA"/>
              </w:rPr>
              <w:t>0.492</w:t>
            </w:r>
          </w:p>
        </w:tc>
        <w:tc>
          <w:tcPr>
            <w:tcW w:w="1559" w:type="dxa"/>
            <w:tcBorders>
              <w:tl2br w:val="nil"/>
              <w:tr2bl w:val="nil"/>
            </w:tcBorders>
            <w:vAlign w:val="center"/>
          </w:tcPr>
          <w:p w14:paraId="2A147BB6">
            <w:pPr>
              <w:keepNext w:val="0"/>
              <w:keepLines w:val="0"/>
              <w:pageBreakBefore w:val="0"/>
              <w:widowControl/>
              <w:suppressLineNumbers w:val="0"/>
              <w:kinsoku/>
              <w:wordWrap/>
              <w:overflowPunct/>
              <w:topLinePunct w:val="0"/>
              <w:bidi w:val="0"/>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701" w:type="dxa"/>
            <w:tcBorders>
              <w:tl2br w:val="nil"/>
              <w:tr2bl w:val="nil"/>
            </w:tcBorders>
            <w:vAlign w:val="center"/>
          </w:tcPr>
          <w:p w14:paraId="19868DF0">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eastAsia" w:cs="Times New Roman"/>
                <w:b w:val="0"/>
                <w:bCs w:val="0"/>
                <w:i w:val="0"/>
                <w:iCs w:val="0"/>
                <w:color w:val="auto"/>
                <w:kern w:val="0"/>
                <w:sz w:val="21"/>
                <w:szCs w:val="21"/>
                <w:u w:val="none" w:color="auto"/>
                <w:lang w:val="en-US" w:eastAsia="zh-CN" w:bidi="ar"/>
              </w:rPr>
            </w:pPr>
            <w:r>
              <w:rPr>
                <w:rFonts w:hint="eastAsia" w:cs="Times New Roman"/>
                <w:color w:val="auto"/>
                <w:kern w:val="2"/>
                <w:sz w:val="21"/>
                <w:szCs w:val="24"/>
                <w:u w:val="none"/>
                <w:lang w:val="en-US" w:eastAsia="zh-CN" w:bidi="ar-SA"/>
              </w:rPr>
              <w:t>0.492</w:t>
            </w:r>
          </w:p>
        </w:tc>
        <w:tc>
          <w:tcPr>
            <w:tcW w:w="1286" w:type="dxa"/>
            <w:tcBorders>
              <w:tl2br w:val="nil"/>
              <w:tr2bl w:val="nil"/>
            </w:tcBorders>
            <w:vAlign w:val="center"/>
          </w:tcPr>
          <w:p w14:paraId="63B6E5A5">
            <w:pPr>
              <w:keepNext w:val="0"/>
              <w:keepLines w:val="0"/>
              <w:widowControl/>
              <w:suppressLineNumbers w:val="0"/>
              <w:jc w:val="center"/>
              <w:textAlignment w:val="center"/>
              <w:rPr>
                <w:rStyle w:val="70"/>
                <w:rFonts w:hint="eastAsia" w:cs="Times New Roman"/>
                <w:b w:val="0"/>
                <w:bCs w:val="0"/>
                <w:color w:val="auto"/>
                <w:sz w:val="21"/>
                <w:szCs w:val="21"/>
                <w:highlight w:val="none"/>
                <w:u w:val="none" w:color="auto"/>
                <w:lang w:val="en-US" w:eastAsia="zh-CN"/>
              </w:rPr>
            </w:pPr>
            <w:r>
              <w:rPr>
                <w:rFonts w:hint="default" w:ascii="Times New Roman" w:hAnsi="Times New Roman" w:eastAsia="宋体" w:cs="Times New Roman"/>
                <w:b w:val="0"/>
                <w:bCs w:val="0"/>
                <w:snapToGrid w:val="0"/>
                <w:color w:val="auto"/>
                <w:kern w:val="21"/>
                <w:sz w:val="21"/>
                <w:szCs w:val="21"/>
                <w:highlight w:val="none"/>
                <w:u w:val="none" w:color="auto"/>
              </w:rPr>
              <w:t>/</w:t>
            </w:r>
          </w:p>
        </w:tc>
      </w:tr>
      <w:tr w14:paraId="30AC05C5">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0" w:hRule="atLeast"/>
        </w:trPr>
        <w:tc>
          <w:tcPr>
            <w:tcW w:w="1588" w:type="dxa"/>
            <w:vMerge w:val="continue"/>
            <w:tcBorders>
              <w:tl2br w:val="nil"/>
              <w:tr2bl w:val="nil"/>
            </w:tcBorders>
            <w:vAlign w:val="center"/>
          </w:tcPr>
          <w:p w14:paraId="7A58287B">
            <w:pPr>
              <w:pStyle w:val="94"/>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rPr>
            </w:pPr>
          </w:p>
        </w:tc>
        <w:tc>
          <w:tcPr>
            <w:tcW w:w="1417" w:type="dxa"/>
            <w:tcBorders>
              <w:tl2br w:val="nil"/>
              <w:tr2bl w:val="nil"/>
            </w:tcBorders>
            <w:vAlign w:val="center"/>
          </w:tcPr>
          <w:p w14:paraId="279D1A1E">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0"/>
                <w:sz w:val="21"/>
                <w:szCs w:val="21"/>
                <w:highlight w:val="none"/>
                <w:u w:val="none" w:color="auto"/>
                <w:lang w:bidi="ar"/>
              </w:rPr>
            </w:pPr>
            <w:r>
              <w:rPr>
                <w:rFonts w:hint="eastAsia" w:ascii="Times New Roman" w:hAnsi="Times New Roman" w:eastAsia="宋体" w:cs="Times New Roman"/>
                <w:color w:val="auto"/>
                <w:kern w:val="2"/>
                <w:sz w:val="21"/>
                <w:szCs w:val="24"/>
                <w:u w:val="none"/>
                <w:lang w:val="en-US" w:eastAsia="zh-CN" w:bidi="ar-SA"/>
              </w:rPr>
              <w:t>SS</w:t>
            </w:r>
          </w:p>
        </w:tc>
        <w:tc>
          <w:tcPr>
            <w:tcW w:w="1701" w:type="dxa"/>
            <w:tcBorders>
              <w:tl2br w:val="nil"/>
              <w:tr2bl w:val="nil"/>
            </w:tcBorders>
            <w:vAlign w:val="center"/>
          </w:tcPr>
          <w:p w14:paraId="01493D9D">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276" w:type="dxa"/>
            <w:tcBorders>
              <w:tl2br w:val="nil"/>
              <w:tr2bl w:val="nil"/>
            </w:tcBorders>
            <w:vAlign w:val="center"/>
          </w:tcPr>
          <w:p w14:paraId="73403D95">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701" w:type="dxa"/>
            <w:tcBorders>
              <w:tl2br w:val="nil"/>
              <w:tr2bl w:val="nil"/>
            </w:tcBorders>
            <w:vAlign w:val="center"/>
          </w:tcPr>
          <w:p w14:paraId="5DA85975">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559" w:type="dxa"/>
            <w:tcBorders>
              <w:tl2br w:val="nil"/>
              <w:tr2bl w:val="nil"/>
            </w:tcBorders>
            <w:vAlign w:val="center"/>
          </w:tcPr>
          <w:p w14:paraId="32B0BEEC">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eastAsia" w:cs="Times New Roman"/>
                <w:b w:val="0"/>
                <w:bCs w:val="0"/>
                <w:i w:val="0"/>
                <w:iCs w:val="0"/>
                <w:color w:val="auto"/>
                <w:kern w:val="0"/>
                <w:sz w:val="21"/>
                <w:szCs w:val="21"/>
                <w:u w:val="none" w:color="auto"/>
                <w:lang w:val="en-US" w:eastAsia="zh-CN" w:bidi="ar"/>
              </w:rPr>
            </w:pPr>
            <w:r>
              <w:rPr>
                <w:rFonts w:hint="eastAsia" w:cs="Times New Roman"/>
                <w:color w:val="auto"/>
                <w:kern w:val="2"/>
                <w:sz w:val="21"/>
                <w:szCs w:val="24"/>
                <w:u w:val="none"/>
                <w:lang w:val="en-US" w:eastAsia="zh-CN" w:bidi="ar-SA"/>
              </w:rPr>
              <w:t>0.281</w:t>
            </w:r>
          </w:p>
        </w:tc>
        <w:tc>
          <w:tcPr>
            <w:tcW w:w="1559" w:type="dxa"/>
            <w:tcBorders>
              <w:tl2br w:val="nil"/>
              <w:tr2bl w:val="nil"/>
            </w:tcBorders>
            <w:vAlign w:val="center"/>
          </w:tcPr>
          <w:p w14:paraId="7AC87A96">
            <w:pPr>
              <w:keepNext w:val="0"/>
              <w:keepLines w:val="0"/>
              <w:pageBreakBefore w:val="0"/>
              <w:widowControl/>
              <w:suppressLineNumbers w:val="0"/>
              <w:kinsoku/>
              <w:wordWrap/>
              <w:overflowPunct/>
              <w:topLinePunct w:val="0"/>
              <w:bidi w:val="0"/>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701" w:type="dxa"/>
            <w:tcBorders>
              <w:tl2br w:val="nil"/>
              <w:tr2bl w:val="nil"/>
            </w:tcBorders>
            <w:vAlign w:val="center"/>
          </w:tcPr>
          <w:p w14:paraId="03E15FC7">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eastAsia" w:cs="Times New Roman"/>
                <w:b w:val="0"/>
                <w:bCs w:val="0"/>
                <w:i w:val="0"/>
                <w:iCs w:val="0"/>
                <w:color w:val="auto"/>
                <w:kern w:val="0"/>
                <w:sz w:val="21"/>
                <w:szCs w:val="21"/>
                <w:u w:val="none" w:color="auto"/>
                <w:lang w:val="en-US" w:eastAsia="zh-CN" w:bidi="ar"/>
              </w:rPr>
            </w:pPr>
            <w:r>
              <w:rPr>
                <w:rFonts w:hint="eastAsia" w:cs="Times New Roman"/>
                <w:color w:val="auto"/>
                <w:kern w:val="2"/>
                <w:sz w:val="21"/>
                <w:szCs w:val="24"/>
                <w:u w:val="none"/>
                <w:lang w:val="en-US" w:eastAsia="zh-CN" w:bidi="ar-SA"/>
              </w:rPr>
              <w:t>0.281</w:t>
            </w:r>
          </w:p>
        </w:tc>
        <w:tc>
          <w:tcPr>
            <w:tcW w:w="1286" w:type="dxa"/>
            <w:tcBorders>
              <w:tl2br w:val="nil"/>
              <w:tr2bl w:val="nil"/>
            </w:tcBorders>
            <w:vAlign w:val="center"/>
          </w:tcPr>
          <w:p w14:paraId="4ECB7444">
            <w:pPr>
              <w:keepNext w:val="0"/>
              <w:keepLines w:val="0"/>
              <w:widowControl/>
              <w:suppressLineNumbers w:val="0"/>
              <w:jc w:val="center"/>
              <w:textAlignment w:val="center"/>
              <w:rPr>
                <w:rStyle w:val="70"/>
                <w:rFonts w:hint="eastAsia" w:cs="Times New Roman"/>
                <w:b w:val="0"/>
                <w:bCs w:val="0"/>
                <w:color w:val="auto"/>
                <w:sz w:val="21"/>
                <w:szCs w:val="21"/>
                <w:highlight w:val="none"/>
                <w:u w:val="none" w:color="auto"/>
                <w:lang w:val="en-US" w:eastAsia="zh-CN"/>
              </w:rPr>
            </w:pPr>
            <w:r>
              <w:rPr>
                <w:rFonts w:hint="default" w:ascii="Times New Roman" w:hAnsi="Times New Roman" w:eastAsia="宋体" w:cs="Times New Roman"/>
                <w:b w:val="0"/>
                <w:bCs w:val="0"/>
                <w:snapToGrid w:val="0"/>
                <w:color w:val="auto"/>
                <w:kern w:val="21"/>
                <w:sz w:val="21"/>
                <w:szCs w:val="21"/>
                <w:highlight w:val="none"/>
                <w:u w:val="none" w:color="auto"/>
              </w:rPr>
              <w:t>/</w:t>
            </w:r>
          </w:p>
        </w:tc>
      </w:tr>
      <w:tr w14:paraId="0E15BB1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1588" w:type="dxa"/>
            <w:vMerge w:val="continue"/>
            <w:tcBorders>
              <w:tl2br w:val="nil"/>
              <w:tr2bl w:val="nil"/>
            </w:tcBorders>
            <w:vAlign w:val="center"/>
          </w:tcPr>
          <w:p w14:paraId="70C67FC0">
            <w:pPr>
              <w:pStyle w:val="94"/>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rPr>
            </w:pPr>
          </w:p>
        </w:tc>
        <w:tc>
          <w:tcPr>
            <w:tcW w:w="1417" w:type="dxa"/>
            <w:tcBorders>
              <w:tl2br w:val="nil"/>
              <w:tr2bl w:val="nil"/>
            </w:tcBorders>
            <w:vAlign w:val="center"/>
          </w:tcPr>
          <w:p w14:paraId="41E1D19D">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4"/>
                <w:u w:val="none"/>
                <w:lang w:val="en-US" w:eastAsia="zh-CN" w:bidi="ar-SA"/>
              </w:rPr>
              <w:t>动植物油</w:t>
            </w:r>
          </w:p>
        </w:tc>
        <w:tc>
          <w:tcPr>
            <w:tcW w:w="1701" w:type="dxa"/>
            <w:tcBorders>
              <w:tl2br w:val="nil"/>
              <w:tr2bl w:val="nil"/>
            </w:tcBorders>
            <w:vAlign w:val="center"/>
          </w:tcPr>
          <w:p w14:paraId="689FE3D2">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lang w:val="en-US" w:eastAsia="zh-CN" w:bidi="ar-SA"/>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276" w:type="dxa"/>
            <w:tcBorders>
              <w:tl2br w:val="nil"/>
              <w:tr2bl w:val="nil"/>
            </w:tcBorders>
            <w:vAlign w:val="center"/>
          </w:tcPr>
          <w:p w14:paraId="2AFD5A92">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lang w:val="en-US" w:eastAsia="zh-CN" w:bidi="ar-SA"/>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701" w:type="dxa"/>
            <w:tcBorders>
              <w:tl2br w:val="nil"/>
              <w:tr2bl w:val="nil"/>
            </w:tcBorders>
            <w:vAlign w:val="center"/>
          </w:tcPr>
          <w:p w14:paraId="31D1992C">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lang w:val="en-US" w:eastAsia="zh-CN" w:bidi="ar-SA"/>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559" w:type="dxa"/>
            <w:tcBorders>
              <w:tl2br w:val="nil"/>
              <w:tr2bl w:val="nil"/>
            </w:tcBorders>
            <w:vAlign w:val="center"/>
          </w:tcPr>
          <w:p w14:paraId="3A122F96">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eastAsia" w:cs="Times New Roman"/>
                <w:color w:val="auto"/>
                <w:kern w:val="2"/>
                <w:sz w:val="21"/>
                <w:szCs w:val="24"/>
                <w:u w:val="none"/>
                <w:lang w:val="en-US" w:eastAsia="zh-CN" w:bidi="ar-SA"/>
              </w:rPr>
              <w:t>0.07</w:t>
            </w:r>
          </w:p>
        </w:tc>
        <w:tc>
          <w:tcPr>
            <w:tcW w:w="1559" w:type="dxa"/>
            <w:tcBorders>
              <w:tl2br w:val="nil"/>
              <w:tr2bl w:val="nil"/>
            </w:tcBorders>
            <w:vAlign w:val="center"/>
          </w:tcPr>
          <w:p w14:paraId="476D0A16">
            <w:pPr>
              <w:keepNext w:val="0"/>
              <w:keepLines w:val="0"/>
              <w:pageBreakBefore w:val="0"/>
              <w:widowControl/>
              <w:suppressLineNumbers w:val="0"/>
              <w:kinsoku/>
              <w:wordWrap/>
              <w:overflowPunct/>
              <w:topLinePunct w:val="0"/>
              <w:bidi w:val="0"/>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701" w:type="dxa"/>
            <w:tcBorders>
              <w:tl2br w:val="nil"/>
              <w:tr2bl w:val="nil"/>
            </w:tcBorders>
            <w:vAlign w:val="center"/>
          </w:tcPr>
          <w:p w14:paraId="6A52A8E0">
            <w:pPr>
              <w:keepNext w:val="0"/>
              <w:keepLines w:val="0"/>
              <w:widowControl w:val="0"/>
              <w:suppressLineNumbers w:val="0"/>
              <w:bidi w:val="0"/>
              <w:spacing w:before="0" w:beforeLines="0" w:beforeAutospacing="0" w:after="0" w:afterLines="0" w:afterAutospacing="0" w:line="240" w:lineRule="auto"/>
              <w:ind w:left="0" w:leftChars="0" w:right="0" w:rightChars="0" w:firstLine="0" w:firstLineChars="0"/>
              <w:jc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eastAsia" w:cs="Times New Roman"/>
                <w:color w:val="auto"/>
                <w:kern w:val="2"/>
                <w:sz w:val="21"/>
                <w:szCs w:val="24"/>
                <w:u w:val="none"/>
                <w:lang w:val="en-US" w:eastAsia="zh-CN" w:bidi="ar-SA"/>
              </w:rPr>
              <w:t>0.07</w:t>
            </w:r>
          </w:p>
        </w:tc>
        <w:tc>
          <w:tcPr>
            <w:tcW w:w="1286" w:type="dxa"/>
            <w:tcBorders>
              <w:tl2br w:val="nil"/>
              <w:tr2bl w:val="nil"/>
            </w:tcBorders>
            <w:vAlign w:val="center"/>
          </w:tcPr>
          <w:p w14:paraId="46AD0C72">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default" w:ascii="Times New Roman" w:hAnsi="Times New Roman" w:eastAsia="宋体" w:cs="Times New Roman"/>
                <w:b w:val="0"/>
                <w:bCs w:val="0"/>
                <w:snapToGrid w:val="0"/>
                <w:color w:val="auto"/>
                <w:kern w:val="21"/>
                <w:sz w:val="21"/>
                <w:szCs w:val="21"/>
                <w:highlight w:val="none"/>
                <w:u w:val="none" w:color="auto"/>
              </w:rPr>
              <w:t>/</w:t>
            </w:r>
          </w:p>
        </w:tc>
      </w:tr>
      <w:tr w14:paraId="7CA79F14">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1588" w:type="dxa"/>
            <w:vMerge w:val="restart"/>
            <w:tcBorders>
              <w:tl2br w:val="nil"/>
              <w:tr2bl w:val="nil"/>
            </w:tcBorders>
            <w:vAlign w:val="center"/>
          </w:tcPr>
          <w:p w14:paraId="60C9255E">
            <w:pPr>
              <w:pStyle w:val="94"/>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lang w:val="en-US" w:eastAsia="zh-CN"/>
              </w:rPr>
            </w:pPr>
            <w:r>
              <w:rPr>
                <w:rFonts w:hint="eastAsia" w:ascii="Times New Roman" w:cs="Times New Roman"/>
                <w:b w:val="0"/>
                <w:bCs w:val="0"/>
                <w:snapToGrid w:val="0"/>
                <w:color w:val="auto"/>
                <w:kern w:val="21"/>
                <w:sz w:val="21"/>
                <w:szCs w:val="21"/>
                <w:highlight w:val="none"/>
                <w:u w:val="none" w:color="auto"/>
                <w:lang w:val="en-US" w:eastAsia="zh-CN"/>
              </w:rPr>
              <w:t>生产废水</w:t>
            </w:r>
          </w:p>
        </w:tc>
        <w:tc>
          <w:tcPr>
            <w:tcW w:w="1417" w:type="dxa"/>
            <w:tcBorders>
              <w:tl2br w:val="nil"/>
              <w:tr2bl w:val="nil"/>
            </w:tcBorders>
            <w:vAlign w:val="center"/>
          </w:tcPr>
          <w:p w14:paraId="3BAE50C4">
            <w:pPr>
              <w:keepNext w:val="0"/>
              <w:keepLines w:val="0"/>
              <w:pageBreakBefore w:val="0"/>
              <w:widowControl/>
              <w:kinsoku/>
              <w:wordWrap/>
              <w:overflowPunct/>
              <w:topLinePunct w:val="0"/>
              <w:bidi w:val="0"/>
              <w:snapToGrid w:val="0"/>
              <w:spacing w:line="240" w:lineRule="auto"/>
              <w:jc w:val="center"/>
              <w:textAlignment w:val="center"/>
              <w:rPr>
                <w:rFonts w:hint="default" w:ascii="Times New Roman" w:hAnsi="Times New Roman" w:eastAsia="宋体" w:cs="Times New Roman"/>
                <w:b w:val="0"/>
                <w:bCs w:val="0"/>
                <w:color w:val="auto"/>
                <w:kern w:val="0"/>
                <w:sz w:val="21"/>
                <w:szCs w:val="21"/>
                <w:highlight w:val="none"/>
                <w:u w:val="none" w:color="auto"/>
                <w:lang w:bidi="ar"/>
              </w:rPr>
            </w:pPr>
            <w:r>
              <w:rPr>
                <w:rFonts w:hint="default" w:ascii="Times New Roman" w:hAnsi="Times New Roman" w:eastAsia="宋体" w:cs="Times New Roman"/>
                <w:b w:val="0"/>
                <w:bCs w:val="0"/>
                <w:color w:val="auto"/>
                <w:sz w:val="21"/>
                <w:szCs w:val="21"/>
                <w:highlight w:val="none"/>
                <w:u w:val="none" w:color="auto"/>
              </w:rPr>
              <w:t>废水量</w:t>
            </w:r>
          </w:p>
        </w:tc>
        <w:tc>
          <w:tcPr>
            <w:tcW w:w="1701" w:type="dxa"/>
            <w:tcBorders>
              <w:tl2br w:val="nil"/>
              <w:tr2bl w:val="nil"/>
            </w:tcBorders>
            <w:vAlign w:val="center"/>
          </w:tcPr>
          <w:p w14:paraId="768AAB1E">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276" w:type="dxa"/>
            <w:tcBorders>
              <w:tl2br w:val="nil"/>
              <w:tr2bl w:val="nil"/>
            </w:tcBorders>
            <w:vAlign w:val="center"/>
          </w:tcPr>
          <w:p w14:paraId="3759D544">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701" w:type="dxa"/>
            <w:tcBorders>
              <w:tl2br w:val="nil"/>
              <w:tr2bl w:val="nil"/>
            </w:tcBorders>
            <w:vAlign w:val="center"/>
          </w:tcPr>
          <w:p w14:paraId="0DB1802C">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559" w:type="dxa"/>
            <w:tcBorders>
              <w:tl2br w:val="nil"/>
              <w:tr2bl w:val="nil"/>
            </w:tcBorders>
            <w:vAlign w:val="center"/>
          </w:tcPr>
          <w:p w14:paraId="40166AC7">
            <w:pPr>
              <w:keepNext w:val="0"/>
              <w:keepLines w:val="0"/>
              <w:widowControl/>
              <w:suppressLineNumbers w:val="0"/>
              <w:jc w:val="center"/>
              <w:textAlignment w:val="center"/>
              <w:rPr>
                <w:rFonts w:hint="default" w:cs="Times New Roman"/>
                <w:b w:val="0"/>
                <w:bCs w:val="0"/>
                <w:i w:val="0"/>
                <w:iCs w:val="0"/>
                <w:color w:val="auto"/>
                <w:kern w:val="0"/>
                <w:sz w:val="21"/>
                <w:szCs w:val="21"/>
                <w:u w:val="none" w:color="auto"/>
                <w:lang w:val="en-US" w:eastAsia="zh-CN" w:bidi="ar"/>
              </w:rPr>
            </w:pPr>
            <w:r>
              <w:rPr>
                <w:rFonts w:hint="eastAsia" w:cs="Times New Roman"/>
                <w:b w:val="0"/>
                <w:bCs w:val="0"/>
                <w:i w:val="0"/>
                <w:iCs w:val="0"/>
                <w:color w:val="auto"/>
                <w:kern w:val="0"/>
                <w:sz w:val="21"/>
                <w:szCs w:val="21"/>
                <w:u w:val="none" w:color="auto"/>
                <w:lang w:val="en-US" w:eastAsia="zh-CN" w:bidi="ar"/>
              </w:rPr>
              <w:t>15871.936</w:t>
            </w:r>
          </w:p>
        </w:tc>
        <w:tc>
          <w:tcPr>
            <w:tcW w:w="1559" w:type="dxa"/>
            <w:tcBorders>
              <w:tl2br w:val="nil"/>
              <w:tr2bl w:val="nil"/>
            </w:tcBorders>
            <w:vAlign w:val="center"/>
          </w:tcPr>
          <w:p w14:paraId="30E174C8">
            <w:pPr>
              <w:keepNext w:val="0"/>
              <w:keepLines w:val="0"/>
              <w:pageBreakBefore w:val="0"/>
              <w:widowControl/>
              <w:suppressLineNumbers w:val="0"/>
              <w:kinsoku/>
              <w:wordWrap/>
              <w:overflowPunct/>
              <w:topLinePunct w:val="0"/>
              <w:bidi w:val="0"/>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701" w:type="dxa"/>
            <w:tcBorders>
              <w:tl2br w:val="nil"/>
              <w:tr2bl w:val="nil"/>
            </w:tcBorders>
            <w:vAlign w:val="center"/>
          </w:tcPr>
          <w:p w14:paraId="167E1FA9">
            <w:pPr>
              <w:keepNext w:val="0"/>
              <w:keepLines w:val="0"/>
              <w:widowControl/>
              <w:suppressLineNumbers w:val="0"/>
              <w:jc w:val="center"/>
              <w:textAlignment w:val="center"/>
              <w:rPr>
                <w:rFonts w:hint="default" w:cs="Times New Roman"/>
                <w:b w:val="0"/>
                <w:bCs w:val="0"/>
                <w:i w:val="0"/>
                <w:iCs w:val="0"/>
                <w:color w:val="auto"/>
                <w:kern w:val="0"/>
                <w:sz w:val="21"/>
                <w:szCs w:val="21"/>
                <w:u w:val="none" w:color="auto"/>
                <w:lang w:val="en-US" w:eastAsia="zh-CN" w:bidi="ar"/>
              </w:rPr>
            </w:pPr>
            <w:r>
              <w:rPr>
                <w:rFonts w:hint="eastAsia" w:cs="Times New Roman"/>
                <w:b w:val="0"/>
                <w:bCs w:val="0"/>
                <w:i w:val="0"/>
                <w:iCs w:val="0"/>
                <w:color w:val="auto"/>
                <w:kern w:val="0"/>
                <w:sz w:val="21"/>
                <w:szCs w:val="21"/>
                <w:u w:val="none" w:color="auto"/>
                <w:lang w:val="en-US" w:eastAsia="zh-CN" w:bidi="ar"/>
              </w:rPr>
              <w:t>15871.936</w:t>
            </w:r>
          </w:p>
        </w:tc>
        <w:tc>
          <w:tcPr>
            <w:tcW w:w="1286" w:type="dxa"/>
            <w:tcBorders>
              <w:tl2br w:val="nil"/>
              <w:tr2bl w:val="nil"/>
            </w:tcBorders>
            <w:vAlign w:val="center"/>
          </w:tcPr>
          <w:p w14:paraId="7C53AAEA">
            <w:pPr>
              <w:keepNext w:val="0"/>
              <w:keepLines w:val="0"/>
              <w:widowControl/>
              <w:suppressLineNumbers w:val="0"/>
              <w:jc w:val="center"/>
              <w:textAlignment w:val="center"/>
              <w:rPr>
                <w:rStyle w:val="70"/>
                <w:rFonts w:hint="eastAsia" w:cs="Times New Roman"/>
                <w:b w:val="0"/>
                <w:bCs w:val="0"/>
                <w:color w:val="auto"/>
                <w:sz w:val="21"/>
                <w:szCs w:val="21"/>
                <w:highlight w:val="none"/>
                <w:u w:val="none" w:color="auto"/>
                <w:lang w:val="en-US" w:eastAsia="zh-CN"/>
              </w:rPr>
            </w:pPr>
            <w:r>
              <w:rPr>
                <w:rFonts w:hint="default" w:ascii="Times New Roman" w:hAnsi="Times New Roman" w:eastAsia="宋体" w:cs="Times New Roman"/>
                <w:b w:val="0"/>
                <w:bCs w:val="0"/>
                <w:snapToGrid w:val="0"/>
                <w:color w:val="auto"/>
                <w:kern w:val="21"/>
                <w:sz w:val="21"/>
                <w:szCs w:val="21"/>
                <w:highlight w:val="none"/>
                <w:u w:val="none" w:color="auto"/>
              </w:rPr>
              <w:t>/</w:t>
            </w:r>
          </w:p>
        </w:tc>
      </w:tr>
      <w:tr w14:paraId="4CBE148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1588" w:type="dxa"/>
            <w:vMerge w:val="continue"/>
            <w:tcBorders>
              <w:tl2br w:val="nil"/>
              <w:tr2bl w:val="nil"/>
            </w:tcBorders>
            <w:vAlign w:val="center"/>
          </w:tcPr>
          <w:p w14:paraId="35A24979">
            <w:pPr>
              <w:pStyle w:val="94"/>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rPr>
            </w:pPr>
          </w:p>
        </w:tc>
        <w:tc>
          <w:tcPr>
            <w:tcW w:w="1417" w:type="dxa"/>
            <w:tcBorders>
              <w:tl2br w:val="nil"/>
              <w:tr2bl w:val="nil"/>
            </w:tcBorders>
            <w:shd w:val="clear" w:color="auto" w:fill="auto"/>
            <w:vAlign w:val="center"/>
          </w:tcPr>
          <w:p w14:paraId="1B9E80E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Style w:val="70"/>
                <w:rFonts w:hint="default" w:ascii="Times New Roman" w:hAnsi="Times New Roman" w:eastAsia="宋体" w:cs="Times New Roman"/>
                <w:b w:val="0"/>
                <w:bCs w:val="0"/>
                <w:color w:val="auto"/>
                <w:sz w:val="21"/>
                <w:szCs w:val="21"/>
                <w:highlight w:val="none"/>
                <w:u w:val="none" w:color="auto"/>
                <w:vertAlign w:val="baseline"/>
                <w:lang w:val="en-US" w:eastAsia="zh-CN"/>
              </w:rPr>
              <w:t>COD</w:t>
            </w:r>
          </w:p>
        </w:tc>
        <w:tc>
          <w:tcPr>
            <w:tcW w:w="1701" w:type="dxa"/>
            <w:tcBorders>
              <w:tl2br w:val="nil"/>
              <w:tr2bl w:val="nil"/>
            </w:tcBorders>
            <w:vAlign w:val="center"/>
          </w:tcPr>
          <w:p w14:paraId="78C3661C">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276" w:type="dxa"/>
            <w:tcBorders>
              <w:tl2br w:val="nil"/>
              <w:tr2bl w:val="nil"/>
            </w:tcBorders>
            <w:vAlign w:val="center"/>
          </w:tcPr>
          <w:p w14:paraId="3ADCF4CA">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701" w:type="dxa"/>
            <w:tcBorders>
              <w:tl2br w:val="nil"/>
              <w:tr2bl w:val="nil"/>
            </w:tcBorders>
            <w:vAlign w:val="center"/>
          </w:tcPr>
          <w:p w14:paraId="06B3C21C">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559" w:type="dxa"/>
            <w:tcBorders>
              <w:tl2br w:val="nil"/>
              <w:tr2bl w:val="nil"/>
            </w:tcBorders>
            <w:shd w:val="clear" w:color="auto" w:fill="auto"/>
            <w:vAlign w:val="center"/>
          </w:tcPr>
          <w:p w14:paraId="10CDA386">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Style w:val="70"/>
                <w:rFonts w:hint="default" w:ascii="Times New Roman" w:hAnsi="Times New Roman" w:cs="Times New Roman"/>
                <w:b w:val="0"/>
                <w:bCs w:val="0"/>
                <w:color w:val="auto"/>
                <w:sz w:val="21"/>
                <w:szCs w:val="21"/>
                <w:highlight w:val="none"/>
                <w:u w:val="none" w:color="auto"/>
                <w:vertAlign w:val="baseline"/>
                <w:lang w:val="en-US" w:eastAsia="zh-CN"/>
              </w:rPr>
              <w:t>58.6394</w:t>
            </w:r>
          </w:p>
        </w:tc>
        <w:tc>
          <w:tcPr>
            <w:tcW w:w="1559" w:type="dxa"/>
            <w:tcBorders>
              <w:tl2br w:val="nil"/>
              <w:tr2bl w:val="nil"/>
            </w:tcBorders>
            <w:vAlign w:val="center"/>
          </w:tcPr>
          <w:p w14:paraId="69779A44">
            <w:pPr>
              <w:keepNext w:val="0"/>
              <w:keepLines w:val="0"/>
              <w:pageBreakBefore w:val="0"/>
              <w:widowControl/>
              <w:suppressLineNumbers w:val="0"/>
              <w:kinsoku/>
              <w:wordWrap/>
              <w:overflowPunct/>
              <w:topLinePunct w:val="0"/>
              <w:bidi w:val="0"/>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701" w:type="dxa"/>
            <w:tcBorders>
              <w:tl2br w:val="nil"/>
              <w:tr2bl w:val="nil"/>
            </w:tcBorders>
            <w:shd w:val="clear" w:color="auto" w:fill="auto"/>
            <w:vAlign w:val="center"/>
          </w:tcPr>
          <w:p w14:paraId="7E1B8FF0">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kern w:val="2"/>
                <w:sz w:val="21"/>
                <w:szCs w:val="21"/>
                <w:highlight w:val="none"/>
                <w:u w:val="none" w:color="auto"/>
                <w:vertAlign w:val="baseline"/>
                <w:lang w:val="en-US" w:eastAsia="zh-CN" w:bidi="ar-SA"/>
              </w:rPr>
            </w:pPr>
            <w:r>
              <w:rPr>
                <w:rStyle w:val="70"/>
                <w:rFonts w:hint="default" w:ascii="Times New Roman" w:hAnsi="Times New Roman" w:cs="Times New Roman"/>
                <w:b w:val="0"/>
                <w:bCs w:val="0"/>
                <w:color w:val="auto"/>
                <w:sz w:val="21"/>
                <w:szCs w:val="21"/>
                <w:highlight w:val="none"/>
                <w:u w:val="none" w:color="auto"/>
                <w:vertAlign w:val="baseline"/>
                <w:lang w:val="en-US" w:eastAsia="zh-CN"/>
              </w:rPr>
              <w:t>58.6394</w:t>
            </w:r>
          </w:p>
        </w:tc>
        <w:tc>
          <w:tcPr>
            <w:tcW w:w="1286" w:type="dxa"/>
            <w:tcBorders>
              <w:tl2br w:val="nil"/>
              <w:tr2bl w:val="nil"/>
            </w:tcBorders>
            <w:vAlign w:val="center"/>
          </w:tcPr>
          <w:p w14:paraId="2F402153">
            <w:pPr>
              <w:keepNext w:val="0"/>
              <w:keepLines w:val="0"/>
              <w:widowControl/>
              <w:suppressLineNumbers w:val="0"/>
              <w:jc w:val="center"/>
              <w:textAlignment w:val="center"/>
              <w:rPr>
                <w:rStyle w:val="70"/>
                <w:rFonts w:hint="eastAsia" w:cs="Times New Roman"/>
                <w:b w:val="0"/>
                <w:bCs w:val="0"/>
                <w:color w:val="auto"/>
                <w:sz w:val="21"/>
                <w:szCs w:val="21"/>
                <w:highlight w:val="none"/>
                <w:u w:val="none" w:color="auto"/>
                <w:lang w:val="en-US" w:eastAsia="zh-CN"/>
              </w:rPr>
            </w:pPr>
            <w:r>
              <w:rPr>
                <w:rFonts w:hint="default" w:ascii="Times New Roman" w:hAnsi="Times New Roman" w:eastAsia="宋体" w:cs="Times New Roman"/>
                <w:b w:val="0"/>
                <w:bCs w:val="0"/>
                <w:snapToGrid w:val="0"/>
                <w:color w:val="auto"/>
                <w:kern w:val="21"/>
                <w:sz w:val="21"/>
                <w:szCs w:val="21"/>
                <w:highlight w:val="none"/>
                <w:u w:val="none" w:color="auto"/>
              </w:rPr>
              <w:t>/</w:t>
            </w:r>
          </w:p>
        </w:tc>
      </w:tr>
      <w:tr w14:paraId="2AB5A76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1588" w:type="dxa"/>
            <w:vMerge w:val="continue"/>
            <w:tcBorders>
              <w:tl2br w:val="nil"/>
              <w:tr2bl w:val="nil"/>
            </w:tcBorders>
            <w:vAlign w:val="center"/>
          </w:tcPr>
          <w:p w14:paraId="4188D1FF">
            <w:pPr>
              <w:pStyle w:val="94"/>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rPr>
            </w:pPr>
          </w:p>
        </w:tc>
        <w:tc>
          <w:tcPr>
            <w:tcW w:w="1417" w:type="dxa"/>
            <w:tcBorders>
              <w:tl2br w:val="nil"/>
              <w:tr2bl w:val="nil"/>
            </w:tcBorders>
            <w:shd w:val="clear" w:color="auto" w:fill="auto"/>
            <w:vAlign w:val="center"/>
          </w:tcPr>
          <w:p w14:paraId="65D166A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Style w:val="70"/>
                <w:rFonts w:hint="default" w:ascii="Times New Roman" w:hAnsi="Times New Roman" w:eastAsia="宋体" w:cs="Times New Roman"/>
                <w:b w:val="0"/>
                <w:bCs w:val="0"/>
                <w:color w:val="auto"/>
                <w:sz w:val="21"/>
                <w:szCs w:val="21"/>
                <w:highlight w:val="none"/>
                <w:u w:val="none" w:color="auto"/>
                <w:vertAlign w:val="baseline"/>
                <w:lang w:val="en-US" w:eastAsia="zh-CN"/>
              </w:rPr>
              <w:t>BOD</w:t>
            </w:r>
            <w:r>
              <w:rPr>
                <w:rStyle w:val="70"/>
                <w:rFonts w:hint="default" w:ascii="Times New Roman" w:hAnsi="Times New Roman" w:eastAsia="宋体" w:cs="Times New Roman"/>
                <w:b w:val="0"/>
                <w:bCs w:val="0"/>
                <w:color w:val="auto"/>
                <w:sz w:val="21"/>
                <w:szCs w:val="21"/>
                <w:highlight w:val="none"/>
                <w:u w:val="none" w:color="auto"/>
                <w:vertAlign w:val="subscript"/>
                <w:lang w:val="en-US" w:eastAsia="zh-CN"/>
              </w:rPr>
              <w:t>5</w:t>
            </w:r>
          </w:p>
        </w:tc>
        <w:tc>
          <w:tcPr>
            <w:tcW w:w="1701" w:type="dxa"/>
            <w:tcBorders>
              <w:tl2br w:val="nil"/>
              <w:tr2bl w:val="nil"/>
            </w:tcBorders>
            <w:vAlign w:val="center"/>
          </w:tcPr>
          <w:p w14:paraId="52A16AD8">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276" w:type="dxa"/>
            <w:tcBorders>
              <w:tl2br w:val="nil"/>
              <w:tr2bl w:val="nil"/>
            </w:tcBorders>
            <w:vAlign w:val="center"/>
          </w:tcPr>
          <w:p w14:paraId="7B5F7910">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701" w:type="dxa"/>
            <w:tcBorders>
              <w:tl2br w:val="nil"/>
              <w:tr2bl w:val="nil"/>
            </w:tcBorders>
            <w:vAlign w:val="center"/>
          </w:tcPr>
          <w:p w14:paraId="77BBE0CF">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559" w:type="dxa"/>
            <w:tcBorders>
              <w:tl2br w:val="nil"/>
              <w:tr2bl w:val="nil"/>
            </w:tcBorders>
            <w:shd w:val="clear" w:color="auto" w:fill="auto"/>
            <w:vAlign w:val="center"/>
          </w:tcPr>
          <w:p w14:paraId="1EBE0B4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Style w:val="70"/>
                <w:rFonts w:hint="default" w:ascii="Times New Roman" w:hAnsi="Times New Roman" w:cs="Times New Roman"/>
                <w:b w:val="0"/>
                <w:bCs w:val="0"/>
                <w:color w:val="auto"/>
                <w:sz w:val="21"/>
                <w:szCs w:val="21"/>
                <w:highlight w:val="none"/>
                <w:u w:val="none" w:color="auto"/>
                <w:vertAlign w:val="baseline"/>
                <w:lang w:val="en-US" w:eastAsia="zh-CN"/>
              </w:rPr>
              <w:t>23.4519</w:t>
            </w:r>
          </w:p>
        </w:tc>
        <w:tc>
          <w:tcPr>
            <w:tcW w:w="1559" w:type="dxa"/>
            <w:tcBorders>
              <w:tl2br w:val="nil"/>
              <w:tr2bl w:val="nil"/>
            </w:tcBorders>
            <w:vAlign w:val="center"/>
          </w:tcPr>
          <w:p w14:paraId="626FAABF">
            <w:pPr>
              <w:keepNext w:val="0"/>
              <w:keepLines w:val="0"/>
              <w:pageBreakBefore w:val="0"/>
              <w:widowControl/>
              <w:suppressLineNumbers w:val="0"/>
              <w:kinsoku/>
              <w:wordWrap/>
              <w:overflowPunct/>
              <w:topLinePunct w:val="0"/>
              <w:bidi w:val="0"/>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701" w:type="dxa"/>
            <w:tcBorders>
              <w:tl2br w:val="nil"/>
              <w:tr2bl w:val="nil"/>
            </w:tcBorders>
            <w:shd w:val="clear" w:color="auto" w:fill="auto"/>
            <w:vAlign w:val="center"/>
          </w:tcPr>
          <w:p w14:paraId="0F2743C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kern w:val="2"/>
                <w:sz w:val="21"/>
                <w:szCs w:val="21"/>
                <w:highlight w:val="none"/>
                <w:u w:val="none" w:color="auto"/>
                <w:vertAlign w:val="baseline"/>
                <w:lang w:val="en-US" w:eastAsia="zh-CN" w:bidi="ar-SA"/>
              </w:rPr>
            </w:pPr>
            <w:r>
              <w:rPr>
                <w:rStyle w:val="70"/>
                <w:rFonts w:hint="default" w:ascii="Times New Roman" w:hAnsi="Times New Roman" w:cs="Times New Roman"/>
                <w:b w:val="0"/>
                <w:bCs w:val="0"/>
                <w:color w:val="auto"/>
                <w:sz w:val="21"/>
                <w:szCs w:val="21"/>
                <w:highlight w:val="none"/>
                <w:u w:val="none" w:color="auto"/>
                <w:vertAlign w:val="baseline"/>
                <w:lang w:val="en-US" w:eastAsia="zh-CN"/>
              </w:rPr>
              <w:t>23.4519</w:t>
            </w:r>
          </w:p>
        </w:tc>
        <w:tc>
          <w:tcPr>
            <w:tcW w:w="1286" w:type="dxa"/>
            <w:tcBorders>
              <w:tl2br w:val="nil"/>
              <w:tr2bl w:val="nil"/>
            </w:tcBorders>
            <w:vAlign w:val="center"/>
          </w:tcPr>
          <w:p w14:paraId="7BB8F2A4">
            <w:pPr>
              <w:keepNext w:val="0"/>
              <w:keepLines w:val="0"/>
              <w:widowControl/>
              <w:suppressLineNumbers w:val="0"/>
              <w:jc w:val="center"/>
              <w:textAlignment w:val="center"/>
              <w:rPr>
                <w:rStyle w:val="70"/>
                <w:rFonts w:hint="eastAsia" w:cs="Times New Roman"/>
                <w:b w:val="0"/>
                <w:bCs w:val="0"/>
                <w:color w:val="auto"/>
                <w:sz w:val="21"/>
                <w:szCs w:val="21"/>
                <w:highlight w:val="none"/>
                <w:u w:val="none" w:color="auto"/>
                <w:lang w:val="en-US" w:eastAsia="zh-CN"/>
              </w:rPr>
            </w:pPr>
            <w:r>
              <w:rPr>
                <w:rFonts w:hint="default" w:ascii="Times New Roman" w:hAnsi="Times New Roman" w:eastAsia="宋体" w:cs="Times New Roman"/>
                <w:b w:val="0"/>
                <w:bCs w:val="0"/>
                <w:snapToGrid w:val="0"/>
                <w:color w:val="auto"/>
                <w:kern w:val="21"/>
                <w:sz w:val="21"/>
                <w:szCs w:val="21"/>
                <w:highlight w:val="none"/>
                <w:u w:val="none" w:color="auto"/>
              </w:rPr>
              <w:t>/</w:t>
            </w:r>
          </w:p>
        </w:tc>
      </w:tr>
      <w:tr w14:paraId="3BCBB16E">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1588" w:type="dxa"/>
            <w:vMerge w:val="continue"/>
            <w:tcBorders>
              <w:tl2br w:val="nil"/>
              <w:tr2bl w:val="nil"/>
            </w:tcBorders>
            <w:vAlign w:val="center"/>
          </w:tcPr>
          <w:p w14:paraId="108EA3D5">
            <w:pPr>
              <w:pStyle w:val="94"/>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rPr>
            </w:pPr>
          </w:p>
        </w:tc>
        <w:tc>
          <w:tcPr>
            <w:tcW w:w="1417" w:type="dxa"/>
            <w:tcBorders>
              <w:tl2br w:val="nil"/>
              <w:tr2bl w:val="nil"/>
            </w:tcBorders>
            <w:shd w:val="clear" w:color="auto" w:fill="auto"/>
            <w:vAlign w:val="center"/>
          </w:tcPr>
          <w:p w14:paraId="600062C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Style w:val="70"/>
                <w:rFonts w:hint="default" w:ascii="Times New Roman" w:hAnsi="Times New Roman" w:eastAsia="宋体" w:cs="Times New Roman"/>
                <w:b w:val="0"/>
                <w:bCs w:val="0"/>
                <w:color w:val="auto"/>
                <w:sz w:val="21"/>
                <w:szCs w:val="21"/>
                <w:highlight w:val="none"/>
                <w:u w:val="none" w:color="auto"/>
                <w:vertAlign w:val="baseline"/>
                <w:lang w:val="en-US" w:eastAsia="zh-CN"/>
              </w:rPr>
              <w:t>氨氮</w:t>
            </w:r>
          </w:p>
        </w:tc>
        <w:tc>
          <w:tcPr>
            <w:tcW w:w="1701" w:type="dxa"/>
            <w:tcBorders>
              <w:tl2br w:val="nil"/>
              <w:tr2bl w:val="nil"/>
            </w:tcBorders>
            <w:vAlign w:val="center"/>
          </w:tcPr>
          <w:p w14:paraId="7DA86B67">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276" w:type="dxa"/>
            <w:tcBorders>
              <w:tl2br w:val="nil"/>
              <w:tr2bl w:val="nil"/>
            </w:tcBorders>
            <w:vAlign w:val="center"/>
          </w:tcPr>
          <w:p w14:paraId="6458B85A">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701" w:type="dxa"/>
            <w:tcBorders>
              <w:tl2br w:val="nil"/>
              <w:tr2bl w:val="nil"/>
            </w:tcBorders>
            <w:vAlign w:val="center"/>
          </w:tcPr>
          <w:p w14:paraId="114EAF74">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559" w:type="dxa"/>
            <w:tcBorders>
              <w:tl2br w:val="nil"/>
              <w:tr2bl w:val="nil"/>
            </w:tcBorders>
            <w:shd w:val="clear" w:color="auto" w:fill="auto"/>
            <w:vAlign w:val="center"/>
          </w:tcPr>
          <w:p w14:paraId="42517DD8">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Style w:val="70"/>
                <w:rFonts w:hint="default" w:ascii="Times New Roman" w:hAnsi="Times New Roman" w:cs="Times New Roman"/>
                <w:b w:val="0"/>
                <w:bCs w:val="0"/>
                <w:color w:val="auto"/>
                <w:sz w:val="21"/>
                <w:szCs w:val="21"/>
                <w:highlight w:val="none"/>
                <w:u w:val="none" w:color="auto"/>
                <w:vertAlign w:val="baseline"/>
                <w:lang w:val="en-US" w:eastAsia="zh-CN"/>
              </w:rPr>
              <w:t>0.9206</w:t>
            </w:r>
          </w:p>
        </w:tc>
        <w:tc>
          <w:tcPr>
            <w:tcW w:w="1559" w:type="dxa"/>
            <w:tcBorders>
              <w:tl2br w:val="nil"/>
              <w:tr2bl w:val="nil"/>
            </w:tcBorders>
            <w:vAlign w:val="center"/>
          </w:tcPr>
          <w:p w14:paraId="3BB5A01D">
            <w:pPr>
              <w:keepNext w:val="0"/>
              <w:keepLines w:val="0"/>
              <w:pageBreakBefore w:val="0"/>
              <w:widowControl/>
              <w:suppressLineNumbers w:val="0"/>
              <w:kinsoku/>
              <w:wordWrap/>
              <w:overflowPunct/>
              <w:topLinePunct w:val="0"/>
              <w:bidi w:val="0"/>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701" w:type="dxa"/>
            <w:tcBorders>
              <w:tl2br w:val="nil"/>
              <w:tr2bl w:val="nil"/>
            </w:tcBorders>
            <w:shd w:val="clear" w:color="auto" w:fill="auto"/>
            <w:vAlign w:val="center"/>
          </w:tcPr>
          <w:p w14:paraId="013138A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kern w:val="2"/>
                <w:sz w:val="21"/>
                <w:szCs w:val="21"/>
                <w:highlight w:val="none"/>
                <w:u w:val="none" w:color="auto"/>
                <w:vertAlign w:val="baseline"/>
                <w:lang w:val="en-US" w:eastAsia="zh-CN" w:bidi="ar-SA"/>
              </w:rPr>
            </w:pPr>
            <w:r>
              <w:rPr>
                <w:rStyle w:val="70"/>
                <w:rFonts w:hint="default" w:ascii="Times New Roman" w:hAnsi="Times New Roman" w:cs="Times New Roman"/>
                <w:b w:val="0"/>
                <w:bCs w:val="0"/>
                <w:color w:val="auto"/>
                <w:sz w:val="21"/>
                <w:szCs w:val="21"/>
                <w:highlight w:val="none"/>
                <w:u w:val="none" w:color="auto"/>
                <w:vertAlign w:val="baseline"/>
                <w:lang w:val="en-US" w:eastAsia="zh-CN"/>
              </w:rPr>
              <w:t>0.9206</w:t>
            </w:r>
          </w:p>
        </w:tc>
        <w:tc>
          <w:tcPr>
            <w:tcW w:w="1286" w:type="dxa"/>
            <w:tcBorders>
              <w:tl2br w:val="nil"/>
              <w:tr2bl w:val="nil"/>
            </w:tcBorders>
            <w:vAlign w:val="center"/>
          </w:tcPr>
          <w:p w14:paraId="6AA186B1">
            <w:pPr>
              <w:keepNext w:val="0"/>
              <w:keepLines w:val="0"/>
              <w:widowControl/>
              <w:suppressLineNumbers w:val="0"/>
              <w:jc w:val="center"/>
              <w:textAlignment w:val="center"/>
              <w:rPr>
                <w:rStyle w:val="70"/>
                <w:rFonts w:hint="eastAsia" w:cs="Times New Roman"/>
                <w:b w:val="0"/>
                <w:bCs w:val="0"/>
                <w:color w:val="auto"/>
                <w:sz w:val="21"/>
                <w:szCs w:val="21"/>
                <w:highlight w:val="none"/>
                <w:u w:val="none" w:color="auto"/>
                <w:lang w:val="en-US" w:eastAsia="zh-CN"/>
              </w:rPr>
            </w:pPr>
            <w:r>
              <w:rPr>
                <w:rFonts w:hint="default" w:ascii="Times New Roman" w:hAnsi="Times New Roman" w:eastAsia="宋体" w:cs="Times New Roman"/>
                <w:b w:val="0"/>
                <w:bCs w:val="0"/>
                <w:snapToGrid w:val="0"/>
                <w:color w:val="auto"/>
                <w:kern w:val="21"/>
                <w:sz w:val="21"/>
                <w:szCs w:val="21"/>
                <w:highlight w:val="none"/>
                <w:u w:val="none" w:color="auto"/>
              </w:rPr>
              <w:t>/</w:t>
            </w:r>
          </w:p>
        </w:tc>
      </w:tr>
      <w:tr w14:paraId="7216A79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1588" w:type="dxa"/>
            <w:vMerge w:val="continue"/>
            <w:tcBorders>
              <w:tl2br w:val="nil"/>
              <w:tr2bl w:val="nil"/>
            </w:tcBorders>
            <w:vAlign w:val="center"/>
          </w:tcPr>
          <w:p w14:paraId="5289A23C">
            <w:pPr>
              <w:pStyle w:val="94"/>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rPr>
            </w:pPr>
          </w:p>
        </w:tc>
        <w:tc>
          <w:tcPr>
            <w:tcW w:w="1417" w:type="dxa"/>
            <w:tcBorders>
              <w:tl2br w:val="nil"/>
              <w:tr2bl w:val="nil"/>
            </w:tcBorders>
            <w:shd w:val="clear" w:color="auto" w:fill="auto"/>
            <w:vAlign w:val="center"/>
          </w:tcPr>
          <w:p w14:paraId="299075FF">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t>总氮</w:t>
            </w:r>
          </w:p>
        </w:tc>
        <w:tc>
          <w:tcPr>
            <w:tcW w:w="1701" w:type="dxa"/>
            <w:tcBorders>
              <w:tl2br w:val="nil"/>
              <w:tr2bl w:val="nil"/>
            </w:tcBorders>
            <w:vAlign w:val="center"/>
          </w:tcPr>
          <w:p w14:paraId="01427032">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276" w:type="dxa"/>
            <w:tcBorders>
              <w:tl2br w:val="nil"/>
              <w:tr2bl w:val="nil"/>
            </w:tcBorders>
            <w:vAlign w:val="center"/>
          </w:tcPr>
          <w:p w14:paraId="102B8290">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701" w:type="dxa"/>
            <w:tcBorders>
              <w:tl2br w:val="nil"/>
              <w:tr2bl w:val="nil"/>
            </w:tcBorders>
            <w:vAlign w:val="center"/>
          </w:tcPr>
          <w:p w14:paraId="7C62A2B4">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559" w:type="dxa"/>
            <w:tcBorders>
              <w:tl2br w:val="nil"/>
              <w:tr2bl w:val="nil"/>
            </w:tcBorders>
            <w:shd w:val="clear" w:color="auto" w:fill="auto"/>
            <w:vAlign w:val="center"/>
          </w:tcPr>
          <w:p w14:paraId="2C0AD8C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Style w:val="70"/>
                <w:rFonts w:hint="default" w:ascii="Times New Roman" w:hAnsi="Times New Roman" w:cs="Times New Roman"/>
                <w:b w:val="0"/>
                <w:bCs w:val="0"/>
                <w:color w:val="auto"/>
                <w:sz w:val="21"/>
                <w:szCs w:val="21"/>
                <w:highlight w:val="none"/>
                <w:u w:val="none" w:color="auto"/>
                <w:vertAlign w:val="baseline"/>
                <w:lang w:val="en-US" w:eastAsia="zh-CN"/>
              </w:rPr>
              <w:t>1.9525</w:t>
            </w:r>
          </w:p>
        </w:tc>
        <w:tc>
          <w:tcPr>
            <w:tcW w:w="1559" w:type="dxa"/>
            <w:tcBorders>
              <w:tl2br w:val="nil"/>
              <w:tr2bl w:val="nil"/>
            </w:tcBorders>
            <w:vAlign w:val="center"/>
          </w:tcPr>
          <w:p w14:paraId="4F225B79">
            <w:pPr>
              <w:keepNext w:val="0"/>
              <w:keepLines w:val="0"/>
              <w:pageBreakBefore w:val="0"/>
              <w:widowControl/>
              <w:suppressLineNumbers w:val="0"/>
              <w:kinsoku/>
              <w:wordWrap/>
              <w:overflowPunct/>
              <w:topLinePunct w:val="0"/>
              <w:bidi w:val="0"/>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701" w:type="dxa"/>
            <w:tcBorders>
              <w:tl2br w:val="nil"/>
              <w:tr2bl w:val="nil"/>
            </w:tcBorders>
            <w:shd w:val="clear" w:color="auto" w:fill="auto"/>
            <w:vAlign w:val="center"/>
          </w:tcPr>
          <w:p w14:paraId="4586520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kern w:val="2"/>
                <w:sz w:val="21"/>
                <w:szCs w:val="21"/>
                <w:highlight w:val="none"/>
                <w:u w:val="none" w:color="auto"/>
                <w:vertAlign w:val="baseline"/>
                <w:lang w:val="en-US" w:eastAsia="zh-CN" w:bidi="ar-SA"/>
              </w:rPr>
            </w:pPr>
            <w:r>
              <w:rPr>
                <w:rStyle w:val="70"/>
                <w:rFonts w:hint="default" w:ascii="Times New Roman" w:hAnsi="Times New Roman" w:cs="Times New Roman"/>
                <w:b w:val="0"/>
                <w:bCs w:val="0"/>
                <w:color w:val="auto"/>
                <w:sz w:val="21"/>
                <w:szCs w:val="21"/>
                <w:highlight w:val="none"/>
                <w:u w:val="none" w:color="auto"/>
                <w:vertAlign w:val="baseline"/>
                <w:lang w:val="en-US" w:eastAsia="zh-CN"/>
              </w:rPr>
              <w:t>1.9525</w:t>
            </w:r>
          </w:p>
        </w:tc>
        <w:tc>
          <w:tcPr>
            <w:tcW w:w="1286" w:type="dxa"/>
            <w:tcBorders>
              <w:tl2br w:val="nil"/>
              <w:tr2bl w:val="nil"/>
            </w:tcBorders>
            <w:vAlign w:val="center"/>
          </w:tcPr>
          <w:p w14:paraId="61565EC6">
            <w:pPr>
              <w:keepNext w:val="0"/>
              <w:keepLines w:val="0"/>
              <w:widowControl/>
              <w:suppressLineNumbers w:val="0"/>
              <w:jc w:val="center"/>
              <w:textAlignment w:val="center"/>
              <w:rPr>
                <w:rStyle w:val="70"/>
                <w:rFonts w:hint="eastAsia" w:cs="Times New Roman"/>
                <w:b w:val="0"/>
                <w:bCs w:val="0"/>
                <w:color w:val="auto"/>
                <w:sz w:val="21"/>
                <w:szCs w:val="21"/>
                <w:highlight w:val="none"/>
                <w:u w:val="none" w:color="auto"/>
                <w:lang w:val="en-US" w:eastAsia="zh-CN"/>
              </w:rPr>
            </w:pPr>
            <w:r>
              <w:rPr>
                <w:rFonts w:hint="default" w:ascii="Times New Roman" w:hAnsi="Times New Roman" w:eastAsia="宋体" w:cs="Times New Roman"/>
                <w:b w:val="0"/>
                <w:bCs w:val="0"/>
                <w:snapToGrid w:val="0"/>
                <w:color w:val="auto"/>
                <w:kern w:val="21"/>
                <w:sz w:val="21"/>
                <w:szCs w:val="21"/>
                <w:highlight w:val="none"/>
                <w:u w:val="none" w:color="auto"/>
              </w:rPr>
              <w:t>/</w:t>
            </w:r>
          </w:p>
        </w:tc>
      </w:tr>
      <w:tr w14:paraId="65722C57">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1588" w:type="dxa"/>
            <w:vMerge w:val="continue"/>
            <w:tcBorders>
              <w:tl2br w:val="nil"/>
              <w:tr2bl w:val="nil"/>
            </w:tcBorders>
            <w:vAlign w:val="center"/>
          </w:tcPr>
          <w:p w14:paraId="3DA243E8">
            <w:pPr>
              <w:pStyle w:val="94"/>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rPr>
            </w:pPr>
          </w:p>
        </w:tc>
        <w:tc>
          <w:tcPr>
            <w:tcW w:w="1417" w:type="dxa"/>
            <w:tcBorders>
              <w:tl2br w:val="nil"/>
              <w:tr2bl w:val="nil"/>
            </w:tcBorders>
            <w:shd w:val="clear" w:color="auto" w:fill="auto"/>
            <w:vAlign w:val="center"/>
          </w:tcPr>
          <w:p w14:paraId="4B7F1D0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Style w:val="70"/>
                <w:rFonts w:hint="default" w:ascii="Times New Roman" w:hAnsi="Times New Roman" w:eastAsia="宋体" w:cs="Times New Roman"/>
                <w:b w:val="0"/>
                <w:bCs w:val="0"/>
                <w:color w:val="auto"/>
                <w:sz w:val="21"/>
                <w:szCs w:val="21"/>
                <w:highlight w:val="none"/>
                <w:u w:val="none" w:color="auto"/>
                <w:vertAlign w:val="baseline"/>
                <w:lang w:val="en-US" w:eastAsia="zh-CN"/>
              </w:rPr>
              <w:t>SS</w:t>
            </w:r>
          </w:p>
        </w:tc>
        <w:tc>
          <w:tcPr>
            <w:tcW w:w="1701" w:type="dxa"/>
            <w:tcBorders>
              <w:tl2br w:val="nil"/>
              <w:tr2bl w:val="nil"/>
            </w:tcBorders>
            <w:vAlign w:val="center"/>
          </w:tcPr>
          <w:p w14:paraId="2DD55DE4">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276" w:type="dxa"/>
            <w:tcBorders>
              <w:tl2br w:val="nil"/>
              <w:tr2bl w:val="nil"/>
            </w:tcBorders>
            <w:vAlign w:val="center"/>
          </w:tcPr>
          <w:p w14:paraId="30110D14">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701" w:type="dxa"/>
            <w:tcBorders>
              <w:tl2br w:val="nil"/>
              <w:tr2bl w:val="nil"/>
            </w:tcBorders>
            <w:vAlign w:val="center"/>
          </w:tcPr>
          <w:p w14:paraId="12D20947">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559" w:type="dxa"/>
            <w:tcBorders>
              <w:tl2br w:val="nil"/>
              <w:tr2bl w:val="nil"/>
            </w:tcBorders>
            <w:shd w:val="clear" w:color="auto" w:fill="auto"/>
            <w:vAlign w:val="center"/>
          </w:tcPr>
          <w:p w14:paraId="2C722921">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Style w:val="70"/>
                <w:rFonts w:hint="default" w:ascii="Times New Roman" w:hAnsi="Times New Roman" w:cs="Times New Roman"/>
                <w:b w:val="0"/>
                <w:bCs w:val="0"/>
                <w:color w:val="auto"/>
                <w:sz w:val="21"/>
                <w:szCs w:val="21"/>
                <w:highlight w:val="none"/>
                <w:u w:val="none" w:color="auto"/>
                <w:vertAlign w:val="baseline"/>
                <w:lang w:val="en-US" w:eastAsia="zh-CN"/>
              </w:rPr>
              <w:t>7.4707</w:t>
            </w:r>
          </w:p>
        </w:tc>
        <w:tc>
          <w:tcPr>
            <w:tcW w:w="1559" w:type="dxa"/>
            <w:tcBorders>
              <w:tl2br w:val="nil"/>
              <w:tr2bl w:val="nil"/>
            </w:tcBorders>
            <w:vAlign w:val="center"/>
          </w:tcPr>
          <w:p w14:paraId="1AC9B18B">
            <w:pPr>
              <w:keepNext w:val="0"/>
              <w:keepLines w:val="0"/>
              <w:pageBreakBefore w:val="0"/>
              <w:widowControl/>
              <w:suppressLineNumbers w:val="0"/>
              <w:kinsoku/>
              <w:wordWrap/>
              <w:overflowPunct/>
              <w:topLinePunct w:val="0"/>
              <w:bidi w:val="0"/>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701" w:type="dxa"/>
            <w:tcBorders>
              <w:tl2br w:val="nil"/>
              <w:tr2bl w:val="nil"/>
            </w:tcBorders>
            <w:shd w:val="clear" w:color="auto" w:fill="auto"/>
            <w:vAlign w:val="center"/>
          </w:tcPr>
          <w:p w14:paraId="14EB11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kern w:val="2"/>
                <w:sz w:val="21"/>
                <w:szCs w:val="21"/>
                <w:highlight w:val="none"/>
                <w:u w:val="none" w:color="auto"/>
                <w:vertAlign w:val="baseline"/>
                <w:lang w:val="en-US" w:eastAsia="zh-CN" w:bidi="ar-SA"/>
              </w:rPr>
            </w:pPr>
            <w:r>
              <w:rPr>
                <w:rStyle w:val="70"/>
                <w:rFonts w:hint="default" w:ascii="Times New Roman" w:hAnsi="Times New Roman" w:cs="Times New Roman"/>
                <w:b w:val="0"/>
                <w:bCs w:val="0"/>
                <w:color w:val="auto"/>
                <w:sz w:val="21"/>
                <w:szCs w:val="21"/>
                <w:highlight w:val="none"/>
                <w:u w:val="none" w:color="auto"/>
                <w:vertAlign w:val="baseline"/>
                <w:lang w:val="en-US" w:eastAsia="zh-CN"/>
              </w:rPr>
              <w:t>7.4707</w:t>
            </w:r>
          </w:p>
        </w:tc>
        <w:tc>
          <w:tcPr>
            <w:tcW w:w="1286" w:type="dxa"/>
            <w:tcBorders>
              <w:tl2br w:val="nil"/>
              <w:tr2bl w:val="nil"/>
            </w:tcBorders>
            <w:vAlign w:val="center"/>
          </w:tcPr>
          <w:p w14:paraId="26A9B6DB">
            <w:pPr>
              <w:keepNext w:val="0"/>
              <w:keepLines w:val="0"/>
              <w:widowControl/>
              <w:suppressLineNumbers w:val="0"/>
              <w:jc w:val="center"/>
              <w:textAlignment w:val="center"/>
              <w:rPr>
                <w:rStyle w:val="70"/>
                <w:rFonts w:hint="eastAsia" w:cs="Times New Roman"/>
                <w:b w:val="0"/>
                <w:bCs w:val="0"/>
                <w:color w:val="auto"/>
                <w:sz w:val="21"/>
                <w:szCs w:val="21"/>
                <w:highlight w:val="none"/>
                <w:u w:val="none" w:color="auto"/>
                <w:lang w:val="en-US" w:eastAsia="zh-CN"/>
              </w:rPr>
            </w:pPr>
            <w:r>
              <w:rPr>
                <w:rFonts w:hint="default" w:ascii="Times New Roman" w:hAnsi="Times New Roman" w:eastAsia="宋体" w:cs="Times New Roman"/>
                <w:b w:val="0"/>
                <w:bCs w:val="0"/>
                <w:snapToGrid w:val="0"/>
                <w:color w:val="auto"/>
                <w:kern w:val="21"/>
                <w:sz w:val="21"/>
                <w:szCs w:val="21"/>
                <w:highlight w:val="none"/>
                <w:u w:val="none" w:color="auto"/>
              </w:rPr>
              <w:t>/</w:t>
            </w:r>
          </w:p>
        </w:tc>
      </w:tr>
      <w:tr w14:paraId="2E958CC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1588" w:type="dxa"/>
            <w:vMerge w:val="continue"/>
            <w:tcBorders>
              <w:tl2br w:val="nil"/>
              <w:tr2bl w:val="nil"/>
            </w:tcBorders>
            <w:vAlign w:val="center"/>
          </w:tcPr>
          <w:p w14:paraId="6D450D0A">
            <w:pPr>
              <w:pStyle w:val="94"/>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rPr>
            </w:pPr>
          </w:p>
        </w:tc>
        <w:tc>
          <w:tcPr>
            <w:tcW w:w="1417" w:type="dxa"/>
            <w:tcBorders>
              <w:tl2br w:val="nil"/>
              <w:tr2bl w:val="nil"/>
            </w:tcBorders>
            <w:shd w:val="clear" w:color="auto" w:fill="auto"/>
            <w:vAlign w:val="center"/>
          </w:tcPr>
          <w:p w14:paraId="6666A68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t>总磷</w:t>
            </w:r>
          </w:p>
        </w:tc>
        <w:tc>
          <w:tcPr>
            <w:tcW w:w="1701" w:type="dxa"/>
            <w:tcBorders>
              <w:tl2br w:val="nil"/>
              <w:tr2bl w:val="nil"/>
            </w:tcBorders>
            <w:vAlign w:val="center"/>
          </w:tcPr>
          <w:p w14:paraId="54FE3680">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276" w:type="dxa"/>
            <w:tcBorders>
              <w:tl2br w:val="nil"/>
              <w:tr2bl w:val="nil"/>
            </w:tcBorders>
            <w:vAlign w:val="center"/>
          </w:tcPr>
          <w:p w14:paraId="553C3304">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701" w:type="dxa"/>
            <w:tcBorders>
              <w:tl2br w:val="nil"/>
              <w:tr2bl w:val="nil"/>
            </w:tcBorders>
            <w:vAlign w:val="center"/>
          </w:tcPr>
          <w:p w14:paraId="27536267">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559" w:type="dxa"/>
            <w:tcBorders>
              <w:tl2br w:val="nil"/>
              <w:tr2bl w:val="nil"/>
            </w:tcBorders>
            <w:shd w:val="clear" w:color="auto" w:fill="auto"/>
            <w:vAlign w:val="center"/>
          </w:tcPr>
          <w:p w14:paraId="3B8C6D6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Style w:val="70"/>
                <w:rFonts w:hint="default" w:ascii="Times New Roman" w:hAnsi="Times New Roman" w:cs="Times New Roman"/>
                <w:b w:val="0"/>
                <w:bCs w:val="0"/>
                <w:color w:val="auto"/>
                <w:sz w:val="21"/>
                <w:szCs w:val="21"/>
                <w:highlight w:val="none"/>
                <w:u w:val="none" w:color="auto"/>
                <w:vertAlign w:val="baseline"/>
                <w:lang w:val="en-US" w:eastAsia="zh-CN"/>
              </w:rPr>
              <w:t>0.2359</w:t>
            </w:r>
          </w:p>
        </w:tc>
        <w:tc>
          <w:tcPr>
            <w:tcW w:w="1559" w:type="dxa"/>
            <w:tcBorders>
              <w:tl2br w:val="nil"/>
              <w:tr2bl w:val="nil"/>
            </w:tcBorders>
            <w:vAlign w:val="center"/>
          </w:tcPr>
          <w:p w14:paraId="34476E3E">
            <w:pPr>
              <w:keepNext w:val="0"/>
              <w:keepLines w:val="0"/>
              <w:pageBreakBefore w:val="0"/>
              <w:widowControl/>
              <w:suppressLineNumbers w:val="0"/>
              <w:kinsoku/>
              <w:wordWrap/>
              <w:overflowPunct/>
              <w:topLinePunct w:val="0"/>
              <w:bidi w:val="0"/>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701" w:type="dxa"/>
            <w:tcBorders>
              <w:tl2br w:val="nil"/>
              <w:tr2bl w:val="nil"/>
            </w:tcBorders>
            <w:shd w:val="clear" w:color="auto" w:fill="auto"/>
            <w:vAlign w:val="center"/>
          </w:tcPr>
          <w:p w14:paraId="65D213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kern w:val="2"/>
                <w:sz w:val="21"/>
                <w:szCs w:val="21"/>
                <w:highlight w:val="none"/>
                <w:u w:val="none" w:color="auto"/>
                <w:vertAlign w:val="baseline"/>
                <w:lang w:val="en-US" w:eastAsia="zh-CN" w:bidi="ar-SA"/>
              </w:rPr>
            </w:pPr>
            <w:r>
              <w:rPr>
                <w:rStyle w:val="70"/>
                <w:rFonts w:hint="default" w:ascii="Times New Roman" w:hAnsi="Times New Roman" w:cs="Times New Roman"/>
                <w:b w:val="0"/>
                <w:bCs w:val="0"/>
                <w:color w:val="auto"/>
                <w:sz w:val="21"/>
                <w:szCs w:val="21"/>
                <w:highlight w:val="none"/>
                <w:u w:val="none" w:color="auto"/>
                <w:vertAlign w:val="baseline"/>
                <w:lang w:val="en-US" w:eastAsia="zh-CN"/>
              </w:rPr>
              <w:t>0.2359</w:t>
            </w:r>
          </w:p>
        </w:tc>
        <w:tc>
          <w:tcPr>
            <w:tcW w:w="1286" w:type="dxa"/>
            <w:tcBorders>
              <w:tl2br w:val="nil"/>
              <w:tr2bl w:val="nil"/>
            </w:tcBorders>
            <w:vAlign w:val="center"/>
          </w:tcPr>
          <w:p w14:paraId="55B8E02C">
            <w:pPr>
              <w:keepNext w:val="0"/>
              <w:keepLines w:val="0"/>
              <w:widowControl/>
              <w:suppressLineNumbers w:val="0"/>
              <w:jc w:val="center"/>
              <w:textAlignment w:val="center"/>
              <w:rPr>
                <w:rStyle w:val="70"/>
                <w:rFonts w:hint="eastAsia" w:cs="Times New Roman"/>
                <w:b w:val="0"/>
                <w:bCs w:val="0"/>
                <w:color w:val="auto"/>
                <w:sz w:val="21"/>
                <w:szCs w:val="21"/>
                <w:highlight w:val="none"/>
                <w:u w:val="none" w:color="auto"/>
                <w:lang w:val="en-US" w:eastAsia="zh-CN"/>
              </w:rPr>
            </w:pPr>
            <w:r>
              <w:rPr>
                <w:rFonts w:hint="default" w:ascii="Times New Roman" w:hAnsi="Times New Roman" w:eastAsia="宋体" w:cs="Times New Roman"/>
                <w:b w:val="0"/>
                <w:bCs w:val="0"/>
                <w:snapToGrid w:val="0"/>
                <w:color w:val="auto"/>
                <w:kern w:val="21"/>
                <w:sz w:val="21"/>
                <w:szCs w:val="21"/>
                <w:highlight w:val="none"/>
                <w:u w:val="none" w:color="auto"/>
              </w:rPr>
              <w:t>/</w:t>
            </w:r>
          </w:p>
        </w:tc>
      </w:tr>
      <w:tr w14:paraId="1DFF042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45" w:hRule="atLeast"/>
        </w:trPr>
        <w:tc>
          <w:tcPr>
            <w:tcW w:w="1588" w:type="dxa"/>
            <w:vMerge w:val="continue"/>
            <w:tcBorders>
              <w:tl2br w:val="nil"/>
              <w:tr2bl w:val="nil"/>
            </w:tcBorders>
            <w:vAlign w:val="center"/>
          </w:tcPr>
          <w:p w14:paraId="4FDBE30A">
            <w:pPr>
              <w:pStyle w:val="94"/>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rPr>
            </w:pPr>
          </w:p>
        </w:tc>
        <w:tc>
          <w:tcPr>
            <w:tcW w:w="1417" w:type="dxa"/>
            <w:tcBorders>
              <w:tl2br w:val="nil"/>
              <w:tr2bl w:val="nil"/>
            </w:tcBorders>
            <w:shd w:val="clear" w:color="auto" w:fill="auto"/>
            <w:vAlign w:val="center"/>
          </w:tcPr>
          <w:p w14:paraId="1EEC1E3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Style w:val="70"/>
                <w:rFonts w:hint="default" w:ascii="Times New Roman" w:hAnsi="Times New Roman" w:eastAsia="宋体" w:cs="Times New Roman"/>
                <w:b w:val="0"/>
                <w:bCs w:val="0"/>
                <w:color w:val="auto"/>
                <w:sz w:val="21"/>
                <w:szCs w:val="21"/>
                <w:highlight w:val="none"/>
                <w:u w:val="none" w:color="auto"/>
                <w:vertAlign w:val="baseline"/>
                <w:lang w:val="en-US" w:eastAsia="zh-CN"/>
              </w:rPr>
              <w:t>动植物油</w:t>
            </w:r>
          </w:p>
        </w:tc>
        <w:tc>
          <w:tcPr>
            <w:tcW w:w="1701" w:type="dxa"/>
            <w:tcBorders>
              <w:tl2br w:val="nil"/>
              <w:tr2bl w:val="nil"/>
            </w:tcBorders>
            <w:vAlign w:val="center"/>
          </w:tcPr>
          <w:p w14:paraId="3F3F7664">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276" w:type="dxa"/>
            <w:tcBorders>
              <w:tl2br w:val="nil"/>
              <w:tr2bl w:val="nil"/>
            </w:tcBorders>
            <w:vAlign w:val="center"/>
          </w:tcPr>
          <w:p w14:paraId="361BF275">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701" w:type="dxa"/>
            <w:tcBorders>
              <w:tl2br w:val="nil"/>
              <w:tr2bl w:val="nil"/>
            </w:tcBorders>
            <w:vAlign w:val="center"/>
          </w:tcPr>
          <w:p w14:paraId="115E3F43">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559" w:type="dxa"/>
            <w:tcBorders>
              <w:tl2br w:val="nil"/>
              <w:tr2bl w:val="nil"/>
            </w:tcBorders>
            <w:shd w:val="clear" w:color="auto" w:fill="auto"/>
            <w:vAlign w:val="center"/>
          </w:tcPr>
          <w:p w14:paraId="1AE569AE">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auto"/>
                <w:kern w:val="2"/>
                <w:sz w:val="21"/>
                <w:szCs w:val="21"/>
                <w:highlight w:val="none"/>
                <w:u w:val="none" w:color="auto"/>
                <w:vertAlign w:val="baseline"/>
                <w:lang w:val="en-US" w:eastAsia="zh-CN" w:bidi="ar-SA"/>
              </w:rPr>
            </w:pPr>
            <w:r>
              <w:rPr>
                <w:rStyle w:val="70"/>
                <w:rFonts w:hint="default" w:ascii="Times New Roman" w:hAnsi="Times New Roman" w:cs="Times New Roman"/>
                <w:b w:val="0"/>
                <w:bCs w:val="0"/>
                <w:color w:val="auto"/>
                <w:sz w:val="21"/>
                <w:szCs w:val="21"/>
                <w:highlight w:val="none"/>
                <w:u w:val="none" w:color="auto"/>
                <w:vertAlign w:val="baseline"/>
                <w:lang w:val="en-US" w:eastAsia="zh-CN"/>
              </w:rPr>
              <w:t>0.616</w:t>
            </w:r>
          </w:p>
        </w:tc>
        <w:tc>
          <w:tcPr>
            <w:tcW w:w="1559" w:type="dxa"/>
            <w:tcBorders>
              <w:tl2br w:val="nil"/>
              <w:tr2bl w:val="nil"/>
            </w:tcBorders>
            <w:vAlign w:val="center"/>
          </w:tcPr>
          <w:p w14:paraId="2E1DF74D">
            <w:pPr>
              <w:keepNext w:val="0"/>
              <w:keepLines w:val="0"/>
              <w:pageBreakBefore w:val="0"/>
              <w:widowControl/>
              <w:suppressLineNumbers w:val="0"/>
              <w:kinsoku/>
              <w:wordWrap/>
              <w:overflowPunct/>
              <w:topLinePunct w:val="0"/>
              <w:bidi w:val="0"/>
              <w:snapToGrid w:val="0"/>
              <w:spacing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u w:val="none" w:color="auto"/>
                <w:lang w:val="en-US" w:eastAsia="zh-CN" w:bidi="ar"/>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701" w:type="dxa"/>
            <w:tcBorders>
              <w:tl2br w:val="nil"/>
              <w:tr2bl w:val="nil"/>
            </w:tcBorders>
            <w:shd w:val="clear" w:color="auto" w:fill="auto"/>
            <w:vAlign w:val="center"/>
          </w:tcPr>
          <w:p w14:paraId="7EC47E7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Times New Roman" w:hAnsi="Times New Roman" w:eastAsia="宋体" w:cs="Times New Roman"/>
                <w:b w:val="0"/>
                <w:bCs w:val="0"/>
                <w:color w:val="auto"/>
                <w:kern w:val="2"/>
                <w:sz w:val="21"/>
                <w:szCs w:val="21"/>
                <w:highlight w:val="none"/>
                <w:u w:val="none" w:color="auto"/>
                <w:vertAlign w:val="baseline"/>
                <w:lang w:val="en-US" w:eastAsia="zh-CN" w:bidi="ar-SA"/>
              </w:rPr>
            </w:pPr>
            <w:r>
              <w:rPr>
                <w:rStyle w:val="70"/>
                <w:rFonts w:hint="default" w:ascii="Times New Roman" w:hAnsi="Times New Roman" w:cs="Times New Roman"/>
                <w:b w:val="0"/>
                <w:bCs w:val="0"/>
                <w:color w:val="auto"/>
                <w:sz w:val="21"/>
                <w:szCs w:val="21"/>
                <w:highlight w:val="none"/>
                <w:u w:val="none" w:color="auto"/>
                <w:vertAlign w:val="baseline"/>
                <w:lang w:val="en-US" w:eastAsia="zh-CN"/>
              </w:rPr>
              <w:t>0.616</w:t>
            </w:r>
          </w:p>
        </w:tc>
        <w:tc>
          <w:tcPr>
            <w:tcW w:w="1286" w:type="dxa"/>
            <w:tcBorders>
              <w:tl2br w:val="nil"/>
              <w:tr2bl w:val="nil"/>
            </w:tcBorders>
            <w:vAlign w:val="center"/>
          </w:tcPr>
          <w:p w14:paraId="4E4AFADB">
            <w:pPr>
              <w:keepNext w:val="0"/>
              <w:keepLines w:val="0"/>
              <w:widowControl/>
              <w:suppressLineNumbers w:val="0"/>
              <w:jc w:val="center"/>
              <w:textAlignment w:val="center"/>
              <w:rPr>
                <w:rStyle w:val="70"/>
                <w:rFonts w:hint="eastAsia" w:cs="Times New Roman"/>
                <w:b w:val="0"/>
                <w:bCs w:val="0"/>
                <w:color w:val="auto"/>
                <w:sz w:val="21"/>
                <w:szCs w:val="21"/>
                <w:highlight w:val="none"/>
                <w:u w:val="none" w:color="auto"/>
                <w:lang w:val="en-US" w:eastAsia="zh-CN"/>
              </w:rPr>
            </w:pPr>
            <w:r>
              <w:rPr>
                <w:rFonts w:hint="default" w:ascii="Times New Roman" w:hAnsi="Times New Roman" w:eastAsia="宋体" w:cs="Times New Roman"/>
                <w:b w:val="0"/>
                <w:bCs w:val="0"/>
                <w:snapToGrid w:val="0"/>
                <w:color w:val="auto"/>
                <w:kern w:val="21"/>
                <w:sz w:val="21"/>
                <w:szCs w:val="21"/>
                <w:highlight w:val="none"/>
                <w:u w:val="none" w:color="auto"/>
              </w:rPr>
              <w:t>/</w:t>
            </w:r>
          </w:p>
        </w:tc>
      </w:tr>
      <w:tr w14:paraId="7557E5C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1588" w:type="dxa"/>
            <w:vMerge w:val="restart"/>
            <w:tcBorders>
              <w:tl2br w:val="nil"/>
              <w:tr2bl w:val="nil"/>
            </w:tcBorders>
            <w:vAlign w:val="center"/>
          </w:tcPr>
          <w:p w14:paraId="60BC29CB">
            <w:pPr>
              <w:pStyle w:val="94"/>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一般工业</w:t>
            </w:r>
          </w:p>
          <w:p w14:paraId="20C9474B">
            <w:pPr>
              <w:pStyle w:val="94"/>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固体废物</w:t>
            </w:r>
          </w:p>
        </w:tc>
        <w:tc>
          <w:tcPr>
            <w:tcW w:w="1417" w:type="dxa"/>
            <w:tcBorders>
              <w:tl2br w:val="nil"/>
              <w:tr2bl w:val="nil"/>
            </w:tcBorders>
            <w:vAlign w:val="center"/>
          </w:tcPr>
          <w:p w14:paraId="5E72154F">
            <w:pPr>
              <w:pStyle w:val="103"/>
              <w:keepNext w:val="0"/>
              <w:keepLines w:val="0"/>
              <w:pageBreakBefore w:val="0"/>
              <w:kinsoku/>
              <w:wordWrap/>
              <w:overflowPunct/>
              <w:topLinePunct w:val="0"/>
              <w:bidi w:val="0"/>
              <w:snapToGrid w:val="0"/>
              <w:spacing w:line="240" w:lineRule="auto"/>
              <w:rPr>
                <w:rFonts w:hint="default" w:ascii="Times New Roman" w:hAnsi="Times New Roman" w:eastAsia="宋体" w:cs="Times New Roman"/>
                <w:b w:val="0"/>
                <w:bCs w:val="0"/>
                <w:color w:val="auto"/>
                <w:sz w:val="21"/>
                <w:szCs w:val="21"/>
                <w:highlight w:val="none"/>
                <w:u w:val="none" w:color="auto"/>
              </w:rPr>
            </w:pPr>
            <w:r>
              <w:rPr>
                <w:rFonts w:hint="default" w:ascii="Times New Roman" w:hAnsi="Times New Roman" w:eastAsia="宋体" w:cs="Times New Roman"/>
                <w:b w:val="0"/>
                <w:bCs w:val="0"/>
                <w:color w:val="auto"/>
                <w:sz w:val="21"/>
                <w:szCs w:val="21"/>
                <w:highlight w:val="none"/>
                <w:u w:val="none" w:color="auto"/>
              </w:rPr>
              <w:t>生活垃圾</w:t>
            </w:r>
          </w:p>
        </w:tc>
        <w:tc>
          <w:tcPr>
            <w:tcW w:w="1701" w:type="dxa"/>
            <w:tcBorders>
              <w:tl2br w:val="nil"/>
              <w:tr2bl w:val="nil"/>
            </w:tcBorders>
            <w:vAlign w:val="center"/>
          </w:tcPr>
          <w:p w14:paraId="132094C1">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276" w:type="dxa"/>
            <w:tcBorders>
              <w:tl2br w:val="nil"/>
              <w:tr2bl w:val="nil"/>
            </w:tcBorders>
            <w:vAlign w:val="center"/>
          </w:tcPr>
          <w:p w14:paraId="7CA6EA02">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701" w:type="dxa"/>
            <w:tcBorders>
              <w:tl2br w:val="nil"/>
              <w:tr2bl w:val="nil"/>
            </w:tcBorders>
            <w:vAlign w:val="center"/>
          </w:tcPr>
          <w:p w14:paraId="5FCB2364">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559" w:type="dxa"/>
            <w:tcBorders>
              <w:tl2br w:val="nil"/>
              <w:tr2bl w:val="nil"/>
            </w:tcBorders>
            <w:vAlign w:val="center"/>
          </w:tcPr>
          <w:p w14:paraId="1CF062D3">
            <w:pPr>
              <w:pStyle w:val="103"/>
              <w:keepNext w:val="0"/>
              <w:keepLines w:val="0"/>
              <w:pageBreakBefore w:val="0"/>
              <w:kinsoku/>
              <w:wordWrap/>
              <w:overflowPunct/>
              <w:topLinePunct w:val="0"/>
              <w:bidi w:val="0"/>
              <w:snapToGrid w:val="0"/>
              <w:spacing w:line="240" w:lineRule="auto"/>
              <w:rPr>
                <w:rFonts w:hint="default" w:ascii="Times New Roman" w:hAnsi="Times New Roman" w:eastAsia="宋体" w:cs="Times New Roman"/>
                <w:b w:val="0"/>
                <w:bCs w:val="0"/>
                <w:color w:val="auto"/>
                <w:sz w:val="21"/>
                <w:szCs w:val="21"/>
                <w:highlight w:val="none"/>
                <w:u w:val="none" w:color="auto"/>
                <w:lang w:val="en-US" w:eastAsia="zh-CN"/>
              </w:rPr>
            </w:pPr>
            <w:r>
              <w:rPr>
                <w:rFonts w:hint="eastAsia" w:cs="Times New Roman"/>
                <w:b w:val="0"/>
                <w:bCs w:val="0"/>
                <w:color w:val="auto"/>
                <w:sz w:val="21"/>
                <w:szCs w:val="21"/>
                <w:highlight w:val="none"/>
                <w:u w:val="none" w:color="auto"/>
                <w:lang w:val="en-US" w:eastAsia="zh-CN"/>
              </w:rPr>
              <w:t>20.48</w:t>
            </w:r>
          </w:p>
        </w:tc>
        <w:tc>
          <w:tcPr>
            <w:tcW w:w="1559" w:type="dxa"/>
            <w:tcBorders>
              <w:tl2br w:val="nil"/>
              <w:tr2bl w:val="nil"/>
            </w:tcBorders>
            <w:vAlign w:val="center"/>
          </w:tcPr>
          <w:p w14:paraId="28B21913">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701" w:type="dxa"/>
            <w:tcBorders>
              <w:tl2br w:val="nil"/>
              <w:tr2bl w:val="nil"/>
            </w:tcBorders>
            <w:vAlign w:val="center"/>
          </w:tcPr>
          <w:p w14:paraId="12714BD0">
            <w:pPr>
              <w:pStyle w:val="103"/>
              <w:keepNext w:val="0"/>
              <w:keepLines w:val="0"/>
              <w:pageBreakBefore w:val="0"/>
              <w:kinsoku/>
              <w:wordWrap/>
              <w:overflowPunct/>
              <w:topLinePunct w:val="0"/>
              <w:bidi w:val="0"/>
              <w:snapToGrid w:val="0"/>
              <w:spacing w:line="240" w:lineRule="auto"/>
              <w:rPr>
                <w:rFonts w:hint="default" w:ascii="Times New Roman" w:hAnsi="Times New Roman" w:eastAsia="宋体" w:cs="Times New Roman"/>
                <w:b w:val="0"/>
                <w:bCs w:val="0"/>
                <w:color w:val="auto"/>
                <w:kern w:val="0"/>
                <w:sz w:val="21"/>
                <w:szCs w:val="21"/>
                <w:highlight w:val="none"/>
                <w:u w:val="none" w:color="auto"/>
                <w:lang w:val="en-US" w:eastAsia="zh-CN" w:bidi="ar-SA"/>
              </w:rPr>
            </w:pPr>
            <w:r>
              <w:rPr>
                <w:rFonts w:hint="eastAsia" w:cs="Times New Roman"/>
                <w:b w:val="0"/>
                <w:bCs w:val="0"/>
                <w:color w:val="auto"/>
                <w:sz w:val="21"/>
                <w:szCs w:val="21"/>
                <w:highlight w:val="none"/>
                <w:u w:val="none" w:color="auto"/>
                <w:lang w:val="en-US" w:eastAsia="zh-CN"/>
              </w:rPr>
              <w:t>3</w:t>
            </w:r>
          </w:p>
        </w:tc>
        <w:tc>
          <w:tcPr>
            <w:tcW w:w="1286" w:type="dxa"/>
            <w:tcBorders>
              <w:tl2br w:val="nil"/>
              <w:tr2bl w:val="nil"/>
            </w:tcBorders>
            <w:vAlign w:val="center"/>
          </w:tcPr>
          <w:p w14:paraId="36BA8174">
            <w:pPr>
              <w:keepNext w:val="0"/>
              <w:keepLines w:val="0"/>
              <w:pageBreakBefore w:val="0"/>
              <w:kinsoku/>
              <w:wordWrap/>
              <w:overflowPunct/>
              <w:topLinePunct w:val="0"/>
              <w:bidi w:val="0"/>
              <w:snapToGrid w:val="0"/>
              <w:spacing w:line="240" w:lineRule="auto"/>
              <w:jc w:val="center"/>
              <w:rPr>
                <w:rFonts w:hint="default" w:ascii="Times New Roman" w:hAnsi="Times New Roman" w:eastAsia="宋体" w:cs="Times New Roman"/>
                <w:b w:val="0"/>
                <w:bCs w:val="0"/>
                <w:color w:val="auto"/>
                <w:kern w:val="0"/>
                <w:sz w:val="21"/>
                <w:szCs w:val="21"/>
                <w:highlight w:val="none"/>
                <w:u w:val="none" w:color="auto"/>
                <w:lang w:val="en-US" w:eastAsia="zh-CN" w:bidi="ar-SA"/>
              </w:rPr>
            </w:pPr>
            <w:r>
              <w:rPr>
                <w:rFonts w:hint="default" w:ascii="Times New Roman" w:hAnsi="Times New Roman" w:eastAsia="宋体" w:cs="Times New Roman"/>
                <w:b w:val="0"/>
                <w:bCs w:val="0"/>
                <w:snapToGrid w:val="0"/>
                <w:color w:val="auto"/>
                <w:kern w:val="21"/>
                <w:sz w:val="21"/>
                <w:szCs w:val="21"/>
                <w:highlight w:val="none"/>
                <w:u w:val="none" w:color="auto"/>
              </w:rPr>
              <w:t>/</w:t>
            </w:r>
          </w:p>
        </w:tc>
      </w:tr>
      <w:tr w14:paraId="50C35AD0">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588" w:type="dxa"/>
            <w:vMerge w:val="continue"/>
            <w:tcBorders>
              <w:tl2br w:val="nil"/>
              <w:tr2bl w:val="nil"/>
            </w:tcBorders>
            <w:vAlign w:val="center"/>
          </w:tcPr>
          <w:p w14:paraId="48C8EB96">
            <w:pPr>
              <w:pStyle w:val="94"/>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rPr>
            </w:pPr>
          </w:p>
        </w:tc>
        <w:tc>
          <w:tcPr>
            <w:tcW w:w="1417" w:type="dxa"/>
            <w:tcBorders>
              <w:tl2br w:val="nil"/>
              <w:tr2bl w:val="nil"/>
            </w:tcBorders>
            <w:vAlign w:val="center"/>
          </w:tcPr>
          <w:p w14:paraId="72D4E24D">
            <w:pPr>
              <w:widowControl w:val="0"/>
              <w:jc w:val="center"/>
              <w:rPr>
                <w:rFonts w:hint="default" w:ascii="Times New Roman" w:hAnsi="Times New Roman" w:eastAsia="宋体" w:cs="Times New Roman"/>
                <w:b w:val="0"/>
                <w:bCs w:val="0"/>
                <w:color w:val="auto"/>
                <w:kern w:val="2"/>
                <w:sz w:val="21"/>
                <w:szCs w:val="21"/>
                <w:highlight w:val="none"/>
                <w:u w:val="none" w:color="auto"/>
              </w:rPr>
            </w:pPr>
            <w:r>
              <w:rPr>
                <w:rFonts w:hint="eastAsia" w:ascii="Times New Roman" w:hAnsi="Times New Roman" w:eastAsia="宋体" w:cs="Times New Roman"/>
                <w:color w:val="auto"/>
                <w:kern w:val="2"/>
                <w:sz w:val="21"/>
                <w:szCs w:val="21"/>
                <w:highlight w:val="none"/>
                <w:u w:val="none" w:color="auto"/>
                <w:lang w:val="en-US" w:eastAsia="zh-CN" w:bidi="ar-SA"/>
              </w:rPr>
              <w:t>坏豆和沉渣</w:t>
            </w:r>
          </w:p>
        </w:tc>
        <w:tc>
          <w:tcPr>
            <w:tcW w:w="1701" w:type="dxa"/>
            <w:tcBorders>
              <w:tl2br w:val="nil"/>
              <w:tr2bl w:val="nil"/>
            </w:tcBorders>
            <w:vAlign w:val="center"/>
          </w:tcPr>
          <w:p w14:paraId="590A63F8">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276" w:type="dxa"/>
            <w:tcBorders>
              <w:tl2br w:val="nil"/>
              <w:tr2bl w:val="nil"/>
            </w:tcBorders>
            <w:vAlign w:val="center"/>
          </w:tcPr>
          <w:p w14:paraId="16E78A2D">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701" w:type="dxa"/>
            <w:tcBorders>
              <w:tl2br w:val="nil"/>
              <w:tr2bl w:val="nil"/>
            </w:tcBorders>
            <w:vAlign w:val="center"/>
          </w:tcPr>
          <w:p w14:paraId="3FA7120D">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559" w:type="dxa"/>
            <w:tcBorders>
              <w:tl2br w:val="nil"/>
              <w:tr2bl w:val="nil"/>
            </w:tcBorders>
            <w:vAlign w:val="center"/>
          </w:tcPr>
          <w:p w14:paraId="20B8CD03">
            <w:pPr>
              <w:widowControl w:val="0"/>
              <w:jc w:val="center"/>
              <w:rPr>
                <w:rFonts w:hint="default" w:ascii="Times New Roman" w:hAnsi="Times New Roman" w:eastAsia="宋体" w:cs="Times New Roman"/>
                <w:b w:val="0"/>
                <w:bCs w:val="0"/>
                <w:color w:val="auto"/>
                <w:kern w:val="2"/>
                <w:sz w:val="21"/>
                <w:szCs w:val="21"/>
                <w:highlight w:val="none"/>
                <w:u w:val="none" w:color="auto"/>
                <w:lang w:eastAsia="zh-CN"/>
              </w:rPr>
            </w:pPr>
            <w:r>
              <w:rPr>
                <w:rFonts w:hint="eastAsia" w:ascii="Times New Roman" w:hAnsi="Times New Roman" w:eastAsia="宋体" w:cs="Times New Roman"/>
                <w:color w:val="auto"/>
                <w:kern w:val="2"/>
                <w:sz w:val="21"/>
                <w:szCs w:val="21"/>
                <w:highlight w:val="none"/>
                <w:u w:val="none" w:color="auto"/>
                <w:lang w:val="en-US" w:eastAsia="zh-CN" w:bidi="ar-SA"/>
              </w:rPr>
              <w:t>0.875</w:t>
            </w:r>
          </w:p>
        </w:tc>
        <w:tc>
          <w:tcPr>
            <w:tcW w:w="1559" w:type="dxa"/>
            <w:tcBorders>
              <w:tl2br w:val="nil"/>
              <w:tr2bl w:val="nil"/>
            </w:tcBorders>
            <w:vAlign w:val="center"/>
          </w:tcPr>
          <w:p w14:paraId="6074488B">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701" w:type="dxa"/>
            <w:tcBorders>
              <w:tl2br w:val="nil"/>
              <w:tr2bl w:val="nil"/>
            </w:tcBorders>
            <w:vAlign w:val="center"/>
          </w:tcPr>
          <w:p w14:paraId="407FFFB9">
            <w:pPr>
              <w:widowControl w:val="0"/>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0.875</w:t>
            </w:r>
          </w:p>
        </w:tc>
        <w:tc>
          <w:tcPr>
            <w:tcW w:w="1286" w:type="dxa"/>
            <w:tcBorders>
              <w:tl2br w:val="nil"/>
              <w:tr2bl w:val="nil"/>
            </w:tcBorders>
            <w:vAlign w:val="center"/>
          </w:tcPr>
          <w:p w14:paraId="0C5718C1">
            <w:pPr>
              <w:keepNext w:val="0"/>
              <w:keepLines w:val="0"/>
              <w:pageBreakBefore w:val="0"/>
              <w:kinsoku/>
              <w:wordWrap/>
              <w:overflowPunct/>
              <w:topLinePunct w:val="0"/>
              <w:bidi w:val="0"/>
              <w:snapToGrid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snapToGrid w:val="0"/>
                <w:color w:val="auto"/>
                <w:kern w:val="21"/>
                <w:sz w:val="21"/>
                <w:szCs w:val="21"/>
                <w:highlight w:val="none"/>
                <w:u w:val="none" w:color="auto"/>
              </w:rPr>
              <w:t>/</w:t>
            </w:r>
          </w:p>
        </w:tc>
      </w:tr>
      <w:tr w14:paraId="32CEFB2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266" w:hRule="atLeast"/>
        </w:trPr>
        <w:tc>
          <w:tcPr>
            <w:tcW w:w="1588" w:type="dxa"/>
            <w:vMerge w:val="continue"/>
            <w:tcBorders>
              <w:tl2br w:val="nil"/>
              <w:tr2bl w:val="nil"/>
            </w:tcBorders>
            <w:vAlign w:val="center"/>
          </w:tcPr>
          <w:p w14:paraId="4662E5B0">
            <w:pPr>
              <w:pStyle w:val="94"/>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rPr>
            </w:pPr>
          </w:p>
        </w:tc>
        <w:tc>
          <w:tcPr>
            <w:tcW w:w="1417" w:type="dxa"/>
            <w:tcBorders>
              <w:tl2br w:val="nil"/>
              <w:tr2bl w:val="nil"/>
            </w:tcBorders>
            <w:vAlign w:val="center"/>
          </w:tcPr>
          <w:p w14:paraId="0B6D757C">
            <w:pPr>
              <w:widowControl w:val="0"/>
              <w:jc w:val="center"/>
              <w:rPr>
                <w:rFonts w:hint="default" w:ascii="Times New Roman" w:hAnsi="Times New Roman" w:eastAsia="宋体" w:cs="Times New Roman"/>
                <w:b w:val="0"/>
                <w:bCs w:val="0"/>
                <w:color w:val="auto"/>
                <w:kern w:val="2"/>
                <w:sz w:val="21"/>
                <w:szCs w:val="21"/>
                <w:highlight w:val="none"/>
                <w:u w:val="none" w:color="auto"/>
                <w:lang w:val="en-US" w:eastAsia="zh-CN"/>
              </w:rPr>
            </w:pPr>
            <w:r>
              <w:rPr>
                <w:rFonts w:hint="eastAsia" w:ascii="Times New Roman" w:hAnsi="Times New Roman" w:eastAsia="宋体" w:cs="Times New Roman"/>
                <w:color w:val="auto"/>
                <w:kern w:val="2"/>
                <w:sz w:val="21"/>
                <w:szCs w:val="21"/>
                <w:highlight w:val="none"/>
                <w:u w:val="none" w:color="auto"/>
                <w:lang w:val="en-US" w:eastAsia="zh-CN" w:bidi="ar-SA"/>
              </w:rPr>
              <w:t>豆渣</w:t>
            </w:r>
          </w:p>
        </w:tc>
        <w:tc>
          <w:tcPr>
            <w:tcW w:w="1701" w:type="dxa"/>
            <w:tcBorders>
              <w:tl2br w:val="nil"/>
              <w:tr2bl w:val="nil"/>
            </w:tcBorders>
            <w:vAlign w:val="center"/>
          </w:tcPr>
          <w:p w14:paraId="5441FC7A">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276" w:type="dxa"/>
            <w:tcBorders>
              <w:tl2br w:val="nil"/>
              <w:tr2bl w:val="nil"/>
            </w:tcBorders>
            <w:vAlign w:val="center"/>
          </w:tcPr>
          <w:p w14:paraId="71814E6F">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701" w:type="dxa"/>
            <w:tcBorders>
              <w:tl2br w:val="nil"/>
              <w:tr2bl w:val="nil"/>
            </w:tcBorders>
            <w:vAlign w:val="center"/>
          </w:tcPr>
          <w:p w14:paraId="0CEC917D">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559" w:type="dxa"/>
            <w:tcBorders>
              <w:tl2br w:val="nil"/>
              <w:tr2bl w:val="nil"/>
            </w:tcBorders>
            <w:vAlign w:val="center"/>
          </w:tcPr>
          <w:p w14:paraId="1C13A1E8">
            <w:pPr>
              <w:widowControl w:val="0"/>
              <w:jc w:val="center"/>
              <w:rPr>
                <w:rFonts w:hint="default" w:ascii="Times New Roman" w:hAnsi="Times New Roman" w:eastAsia="宋体" w:cs="Times New Roman"/>
                <w:b w:val="0"/>
                <w:bCs w:val="0"/>
                <w:color w:val="auto"/>
                <w:kern w:val="2"/>
                <w:sz w:val="21"/>
                <w:szCs w:val="21"/>
                <w:highlight w:val="none"/>
                <w:u w:val="none" w:color="auto"/>
                <w:lang w:val="en-US" w:eastAsia="zh-CN"/>
              </w:rPr>
            </w:pPr>
            <w:r>
              <w:rPr>
                <w:rFonts w:hint="eastAsia" w:ascii="Times New Roman" w:hAnsi="Times New Roman" w:eastAsia="宋体" w:cs="Times New Roman"/>
                <w:color w:val="auto"/>
                <w:kern w:val="2"/>
                <w:sz w:val="21"/>
                <w:szCs w:val="21"/>
                <w:highlight w:val="none"/>
                <w:u w:val="none" w:color="auto"/>
                <w:lang w:val="en-US" w:eastAsia="zh-CN" w:bidi="ar-SA"/>
              </w:rPr>
              <w:t>2625</w:t>
            </w:r>
          </w:p>
        </w:tc>
        <w:tc>
          <w:tcPr>
            <w:tcW w:w="1559" w:type="dxa"/>
            <w:tcBorders>
              <w:tl2br w:val="nil"/>
              <w:tr2bl w:val="nil"/>
            </w:tcBorders>
            <w:vAlign w:val="center"/>
          </w:tcPr>
          <w:p w14:paraId="59803FFA">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701" w:type="dxa"/>
            <w:tcBorders>
              <w:tl2br w:val="nil"/>
              <w:tr2bl w:val="nil"/>
            </w:tcBorders>
            <w:vAlign w:val="center"/>
          </w:tcPr>
          <w:p w14:paraId="6544F8F7">
            <w:pPr>
              <w:widowControl w:val="0"/>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2625</w:t>
            </w:r>
          </w:p>
        </w:tc>
        <w:tc>
          <w:tcPr>
            <w:tcW w:w="1286" w:type="dxa"/>
            <w:tcBorders>
              <w:tl2br w:val="nil"/>
              <w:tr2bl w:val="nil"/>
            </w:tcBorders>
            <w:vAlign w:val="center"/>
          </w:tcPr>
          <w:p w14:paraId="7980B435">
            <w:pPr>
              <w:keepNext w:val="0"/>
              <w:keepLines w:val="0"/>
              <w:pageBreakBefore w:val="0"/>
              <w:kinsoku/>
              <w:wordWrap/>
              <w:overflowPunct/>
              <w:topLinePunct w:val="0"/>
              <w:bidi w:val="0"/>
              <w:snapToGrid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snapToGrid w:val="0"/>
                <w:color w:val="auto"/>
                <w:kern w:val="21"/>
                <w:sz w:val="21"/>
                <w:szCs w:val="21"/>
                <w:highlight w:val="none"/>
                <w:u w:val="none" w:color="auto"/>
              </w:rPr>
              <w:t>/</w:t>
            </w:r>
          </w:p>
        </w:tc>
      </w:tr>
      <w:tr w14:paraId="76363402">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588" w:type="dxa"/>
            <w:vMerge w:val="continue"/>
            <w:tcBorders>
              <w:tl2br w:val="nil"/>
              <w:tr2bl w:val="nil"/>
            </w:tcBorders>
            <w:vAlign w:val="center"/>
          </w:tcPr>
          <w:p w14:paraId="562C030F">
            <w:pPr>
              <w:pStyle w:val="94"/>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rPr>
            </w:pPr>
          </w:p>
        </w:tc>
        <w:tc>
          <w:tcPr>
            <w:tcW w:w="1417" w:type="dxa"/>
            <w:tcBorders>
              <w:tl2br w:val="nil"/>
              <w:tr2bl w:val="nil"/>
            </w:tcBorders>
            <w:vAlign w:val="center"/>
          </w:tcPr>
          <w:p w14:paraId="5D2B498F">
            <w:pPr>
              <w:widowControl w:val="0"/>
              <w:jc w:val="center"/>
              <w:rPr>
                <w:rFonts w:hint="default" w:ascii="Times New Roman" w:hAnsi="Times New Roman" w:eastAsia="宋体" w:cs="Times New Roman"/>
                <w:b w:val="0"/>
                <w:bCs w:val="0"/>
                <w:color w:val="auto"/>
                <w:kern w:val="2"/>
                <w:sz w:val="21"/>
                <w:szCs w:val="21"/>
                <w:highlight w:val="none"/>
                <w:u w:val="none" w:color="auto"/>
                <w:lang w:val="en-US" w:eastAsia="zh-CN"/>
              </w:rPr>
            </w:pPr>
            <w:r>
              <w:rPr>
                <w:rFonts w:hint="eastAsia" w:ascii="Times New Roman" w:hAnsi="Times New Roman" w:eastAsia="宋体" w:cs="Times New Roman"/>
                <w:color w:val="auto"/>
                <w:kern w:val="2"/>
                <w:sz w:val="21"/>
                <w:szCs w:val="21"/>
                <w:highlight w:val="none"/>
                <w:u w:val="none" w:color="auto"/>
                <w:lang w:val="en-US" w:eastAsia="zh-CN" w:bidi="ar-SA"/>
              </w:rPr>
              <w:t>豆制品</w:t>
            </w:r>
            <w:r>
              <w:rPr>
                <w:rFonts w:hint="default" w:ascii="Times New Roman" w:hAnsi="Times New Roman" w:eastAsia="宋体" w:cs="Times New Roman"/>
                <w:color w:val="auto"/>
                <w:kern w:val="2"/>
                <w:sz w:val="21"/>
                <w:szCs w:val="21"/>
                <w:highlight w:val="none"/>
                <w:u w:val="none" w:color="auto"/>
                <w:lang w:val="en-US" w:eastAsia="zh-CN" w:bidi="ar-SA"/>
              </w:rPr>
              <w:t>废边角料及不合格产品</w:t>
            </w:r>
          </w:p>
        </w:tc>
        <w:tc>
          <w:tcPr>
            <w:tcW w:w="1701" w:type="dxa"/>
            <w:tcBorders>
              <w:tl2br w:val="nil"/>
              <w:tr2bl w:val="nil"/>
            </w:tcBorders>
            <w:vAlign w:val="center"/>
          </w:tcPr>
          <w:p w14:paraId="5191BF5B">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276" w:type="dxa"/>
            <w:tcBorders>
              <w:tl2br w:val="nil"/>
              <w:tr2bl w:val="nil"/>
            </w:tcBorders>
            <w:vAlign w:val="center"/>
          </w:tcPr>
          <w:p w14:paraId="31FDEB79">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701" w:type="dxa"/>
            <w:tcBorders>
              <w:tl2br w:val="nil"/>
              <w:tr2bl w:val="nil"/>
            </w:tcBorders>
            <w:vAlign w:val="center"/>
          </w:tcPr>
          <w:p w14:paraId="1BDB4F83">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559" w:type="dxa"/>
            <w:tcBorders>
              <w:tl2br w:val="nil"/>
              <w:tr2bl w:val="nil"/>
            </w:tcBorders>
            <w:vAlign w:val="center"/>
          </w:tcPr>
          <w:p w14:paraId="04509093">
            <w:pPr>
              <w:widowControl w:val="0"/>
              <w:jc w:val="center"/>
              <w:rPr>
                <w:rFonts w:hint="default" w:ascii="Times New Roman" w:hAnsi="Times New Roman" w:eastAsia="宋体" w:cs="Times New Roman"/>
                <w:b w:val="0"/>
                <w:bCs w:val="0"/>
                <w:color w:val="auto"/>
                <w:kern w:val="2"/>
                <w:sz w:val="21"/>
                <w:szCs w:val="21"/>
                <w:highlight w:val="none"/>
                <w:u w:val="none" w:color="auto"/>
                <w:lang w:eastAsia="zh-CN"/>
              </w:rPr>
            </w:pPr>
            <w:r>
              <w:rPr>
                <w:rFonts w:hint="eastAsia" w:ascii="Times New Roman" w:hAnsi="Times New Roman" w:eastAsia="宋体" w:cs="Times New Roman"/>
                <w:color w:val="auto"/>
                <w:kern w:val="2"/>
                <w:sz w:val="21"/>
                <w:szCs w:val="21"/>
                <w:highlight w:val="none"/>
                <w:u w:val="none" w:color="auto"/>
                <w:lang w:val="en-US" w:eastAsia="zh-CN" w:bidi="ar-SA"/>
              </w:rPr>
              <w:t>1.5</w:t>
            </w:r>
          </w:p>
        </w:tc>
        <w:tc>
          <w:tcPr>
            <w:tcW w:w="1559" w:type="dxa"/>
            <w:tcBorders>
              <w:tl2br w:val="nil"/>
              <w:tr2bl w:val="nil"/>
            </w:tcBorders>
            <w:vAlign w:val="center"/>
          </w:tcPr>
          <w:p w14:paraId="18ACB4E6">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701" w:type="dxa"/>
            <w:tcBorders>
              <w:tl2br w:val="nil"/>
              <w:tr2bl w:val="nil"/>
            </w:tcBorders>
            <w:vAlign w:val="center"/>
          </w:tcPr>
          <w:p w14:paraId="3C2E9741">
            <w:pPr>
              <w:widowControl w:val="0"/>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1.5</w:t>
            </w:r>
          </w:p>
        </w:tc>
        <w:tc>
          <w:tcPr>
            <w:tcW w:w="1286" w:type="dxa"/>
            <w:tcBorders>
              <w:tl2br w:val="nil"/>
              <w:tr2bl w:val="nil"/>
            </w:tcBorders>
            <w:vAlign w:val="center"/>
          </w:tcPr>
          <w:p w14:paraId="0CC941F0">
            <w:pPr>
              <w:keepNext w:val="0"/>
              <w:keepLines w:val="0"/>
              <w:pageBreakBefore w:val="0"/>
              <w:kinsoku/>
              <w:wordWrap/>
              <w:overflowPunct/>
              <w:topLinePunct w:val="0"/>
              <w:bidi w:val="0"/>
              <w:snapToGrid w:val="0"/>
              <w:spacing w:line="240" w:lineRule="auto"/>
              <w:jc w:val="center"/>
              <w:rPr>
                <w:rFonts w:hint="default" w:ascii="Times New Roman" w:hAnsi="Times New Roman" w:eastAsia="宋体" w:cs="Times New Roman"/>
                <w:b w:val="0"/>
                <w:bCs w:val="0"/>
                <w:color w:val="auto"/>
                <w:kern w:val="2"/>
                <w:sz w:val="21"/>
                <w:szCs w:val="21"/>
                <w:highlight w:val="none"/>
                <w:u w:val="none" w:color="auto"/>
                <w:lang w:val="en-US" w:eastAsia="zh-CN" w:bidi="ar-SA"/>
              </w:rPr>
            </w:pPr>
            <w:r>
              <w:rPr>
                <w:rFonts w:hint="default" w:ascii="Times New Roman" w:hAnsi="Times New Roman" w:eastAsia="宋体" w:cs="Times New Roman"/>
                <w:b w:val="0"/>
                <w:bCs w:val="0"/>
                <w:snapToGrid w:val="0"/>
                <w:color w:val="auto"/>
                <w:kern w:val="21"/>
                <w:sz w:val="21"/>
                <w:szCs w:val="21"/>
                <w:highlight w:val="none"/>
                <w:u w:val="none" w:color="auto"/>
              </w:rPr>
              <w:t>/</w:t>
            </w:r>
          </w:p>
        </w:tc>
      </w:tr>
      <w:tr w14:paraId="4CF7FC9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588" w:type="dxa"/>
            <w:vMerge w:val="continue"/>
            <w:tcBorders>
              <w:tl2br w:val="nil"/>
              <w:tr2bl w:val="nil"/>
            </w:tcBorders>
            <w:vAlign w:val="center"/>
          </w:tcPr>
          <w:p w14:paraId="64FE625F">
            <w:pPr>
              <w:pStyle w:val="94"/>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rPr>
            </w:pPr>
          </w:p>
        </w:tc>
        <w:tc>
          <w:tcPr>
            <w:tcW w:w="1417" w:type="dxa"/>
            <w:tcBorders>
              <w:tl2br w:val="nil"/>
              <w:tr2bl w:val="nil"/>
            </w:tcBorders>
            <w:vAlign w:val="center"/>
          </w:tcPr>
          <w:p w14:paraId="0A908D05">
            <w:pPr>
              <w:widowControl w:val="0"/>
              <w:jc w:val="center"/>
              <w:rPr>
                <w:rFonts w:hint="eastAsia" w:cs="Times New Roman"/>
                <w:b w:val="0"/>
                <w:bCs w:val="0"/>
                <w:color w:val="auto"/>
                <w:kern w:val="2"/>
                <w:sz w:val="21"/>
                <w:szCs w:val="21"/>
                <w:highlight w:val="none"/>
                <w:u w:val="none" w:color="auto"/>
                <w:lang w:val="en-US" w:eastAsia="zh-CN"/>
              </w:rPr>
            </w:pPr>
            <w:r>
              <w:rPr>
                <w:rFonts w:hint="eastAsia" w:ascii="Times New Roman" w:hAnsi="Times New Roman" w:eastAsia="宋体" w:cs="Times New Roman"/>
                <w:color w:val="auto"/>
                <w:kern w:val="2"/>
                <w:sz w:val="21"/>
                <w:szCs w:val="21"/>
                <w:highlight w:val="none"/>
                <w:u w:val="none" w:color="auto"/>
                <w:lang w:val="en-US" w:eastAsia="zh-CN" w:bidi="ar-SA"/>
              </w:rPr>
              <w:t>肉制品食物残渣及不合格产品</w:t>
            </w:r>
          </w:p>
        </w:tc>
        <w:tc>
          <w:tcPr>
            <w:tcW w:w="1701" w:type="dxa"/>
            <w:tcBorders>
              <w:tl2br w:val="nil"/>
              <w:tr2bl w:val="nil"/>
            </w:tcBorders>
            <w:vAlign w:val="center"/>
          </w:tcPr>
          <w:p w14:paraId="24D92AE9">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276" w:type="dxa"/>
            <w:tcBorders>
              <w:tl2br w:val="nil"/>
              <w:tr2bl w:val="nil"/>
            </w:tcBorders>
            <w:vAlign w:val="center"/>
          </w:tcPr>
          <w:p w14:paraId="51647C61">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701" w:type="dxa"/>
            <w:tcBorders>
              <w:tl2br w:val="nil"/>
              <w:tr2bl w:val="nil"/>
            </w:tcBorders>
            <w:vAlign w:val="center"/>
          </w:tcPr>
          <w:p w14:paraId="0F3507D5">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559" w:type="dxa"/>
            <w:tcBorders>
              <w:tl2br w:val="nil"/>
              <w:tr2bl w:val="nil"/>
            </w:tcBorders>
            <w:vAlign w:val="center"/>
          </w:tcPr>
          <w:p w14:paraId="2ACBE57F">
            <w:pPr>
              <w:widowControl w:val="0"/>
              <w:jc w:val="center"/>
              <w:rPr>
                <w:rFonts w:hint="eastAsia" w:cs="Times New Roman"/>
                <w:b w:val="0"/>
                <w:bCs w:val="0"/>
                <w:color w:val="auto"/>
                <w:sz w:val="21"/>
                <w:szCs w:val="21"/>
                <w:highlight w:val="none"/>
                <w:u w:val="none" w:color="auto"/>
                <w:lang w:val="en-US" w:eastAsia="zh-CN"/>
              </w:rPr>
            </w:pPr>
            <w:r>
              <w:rPr>
                <w:rFonts w:hint="eastAsia" w:ascii="Times New Roman" w:hAnsi="Times New Roman" w:eastAsia="宋体" w:cs="Times New Roman"/>
                <w:color w:val="auto"/>
                <w:kern w:val="2"/>
                <w:sz w:val="21"/>
                <w:szCs w:val="21"/>
                <w:highlight w:val="none"/>
                <w:u w:val="none" w:color="auto"/>
                <w:lang w:val="en-US" w:eastAsia="zh-CN" w:bidi="ar-SA"/>
              </w:rPr>
              <w:t>1.25</w:t>
            </w:r>
          </w:p>
        </w:tc>
        <w:tc>
          <w:tcPr>
            <w:tcW w:w="1559" w:type="dxa"/>
            <w:tcBorders>
              <w:tl2br w:val="nil"/>
              <w:tr2bl w:val="nil"/>
            </w:tcBorders>
            <w:vAlign w:val="center"/>
          </w:tcPr>
          <w:p w14:paraId="1BDE068D">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701" w:type="dxa"/>
            <w:tcBorders>
              <w:tl2br w:val="nil"/>
              <w:tr2bl w:val="nil"/>
            </w:tcBorders>
            <w:vAlign w:val="center"/>
          </w:tcPr>
          <w:p w14:paraId="4FF496EF">
            <w:pPr>
              <w:widowControl w:val="0"/>
              <w:jc w:val="center"/>
              <w:rPr>
                <w:rFonts w:hint="eastAsia" w:cs="Times New Roman"/>
                <w:b w:val="0"/>
                <w:bCs w:val="0"/>
                <w:color w:val="auto"/>
                <w:sz w:val="21"/>
                <w:szCs w:val="21"/>
                <w:highlight w:val="none"/>
                <w:u w:val="none" w:color="auto"/>
                <w:lang w:val="en-US" w:eastAsia="zh-CN"/>
              </w:rPr>
            </w:pPr>
            <w:r>
              <w:rPr>
                <w:rFonts w:hint="eastAsia" w:ascii="Times New Roman" w:hAnsi="Times New Roman" w:eastAsia="宋体" w:cs="Times New Roman"/>
                <w:color w:val="auto"/>
                <w:kern w:val="2"/>
                <w:sz w:val="21"/>
                <w:szCs w:val="21"/>
                <w:highlight w:val="none"/>
                <w:u w:val="none" w:color="auto"/>
                <w:lang w:val="en-US" w:eastAsia="zh-CN" w:bidi="ar-SA"/>
              </w:rPr>
              <w:t>1.25</w:t>
            </w:r>
          </w:p>
        </w:tc>
        <w:tc>
          <w:tcPr>
            <w:tcW w:w="1286" w:type="dxa"/>
            <w:tcBorders>
              <w:tl2br w:val="nil"/>
              <w:tr2bl w:val="nil"/>
            </w:tcBorders>
            <w:vAlign w:val="center"/>
          </w:tcPr>
          <w:p w14:paraId="1628DDF1">
            <w:pPr>
              <w:keepNext w:val="0"/>
              <w:keepLines w:val="0"/>
              <w:pageBreakBefore w:val="0"/>
              <w:kinsoku/>
              <w:wordWrap/>
              <w:overflowPunct/>
              <w:topLinePunct w:val="0"/>
              <w:bidi w:val="0"/>
              <w:snapToGrid w:val="0"/>
              <w:spacing w:line="240" w:lineRule="auto"/>
              <w:jc w:val="center"/>
              <w:rPr>
                <w:rStyle w:val="70"/>
                <w:rFonts w:hint="eastAsia" w:cs="Times New Roman"/>
                <w:b w:val="0"/>
                <w:bCs w:val="0"/>
                <w:color w:val="auto"/>
                <w:sz w:val="21"/>
                <w:szCs w:val="21"/>
                <w:highlight w:val="none"/>
                <w:u w:val="none" w:color="auto"/>
                <w:lang w:val="en-US" w:eastAsia="zh-CN"/>
              </w:rPr>
            </w:pPr>
            <w:r>
              <w:rPr>
                <w:rFonts w:hint="default" w:ascii="Times New Roman" w:hAnsi="Times New Roman" w:eastAsia="宋体" w:cs="Times New Roman"/>
                <w:b w:val="0"/>
                <w:bCs w:val="0"/>
                <w:snapToGrid w:val="0"/>
                <w:color w:val="auto"/>
                <w:kern w:val="21"/>
                <w:sz w:val="21"/>
                <w:szCs w:val="21"/>
                <w:highlight w:val="none"/>
                <w:u w:val="none" w:color="auto"/>
              </w:rPr>
              <w:t>/</w:t>
            </w:r>
          </w:p>
        </w:tc>
      </w:tr>
      <w:tr w14:paraId="5922EC8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588" w:type="dxa"/>
            <w:vMerge w:val="continue"/>
            <w:tcBorders>
              <w:tl2br w:val="nil"/>
              <w:tr2bl w:val="nil"/>
            </w:tcBorders>
            <w:vAlign w:val="center"/>
          </w:tcPr>
          <w:p w14:paraId="2651FE51">
            <w:pPr>
              <w:pStyle w:val="94"/>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rPr>
            </w:pPr>
          </w:p>
        </w:tc>
        <w:tc>
          <w:tcPr>
            <w:tcW w:w="1417" w:type="dxa"/>
            <w:tcBorders>
              <w:tl2br w:val="nil"/>
              <w:tr2bl w:val="nil"/>
            </w:tcBorders>
            <w:vAlign w:val="center"/>
          </w:tcPr>
          <w:p w14:paraId="35ACB110">
            <w:pPr>
              <w:widowControl w:val="0"/>
              <w:jc w:val="center"/>
              <w:rPr>
                <w:rFonts w:hint="eastAsia" w:cs="Times New Roman"/>
                <w:b w:val="0"/>
                <w:bCs w:val="0"/>
                <w:color w:val="auto"/>
                <w:kern w:val="2"/>
                <w:sz w:val="21"/>
                <w:szCs w:val="21"/>
                <w:highlight w:val="none"/>
                <w:u w:val="none" w:color="auto"/>
                <w:lang w:val="en-US" w:eastAsia="zh-CN"/>
              </w:rPr>
            </w:pPr>
            <w:r>
              <w:rPr>
                <w:rFonts w:hint="eastAsia" w:cs="Times New Roman"/>
                <w:color w:val="auto"/>
                <w:kern w:val="2"/>
                <w:sz w:val="21"/>
                <w:szCs w:val="21"/>
                <w:highlight w:val="none"/>
                <w:u w:val="none" w:color="auto"/>
                <w:lang w:val="en-US" w:eastAsia="zh-CN" w:bidi="ar-SA"/>
              </w:rPr>
              <w:t>废弃食用油脂</w:t>
            </w:r>
          </w:p>
        </w:tc>
        <w:tc>
          <w:tcPr>
            <w:tcW w:w="1701" w:type="dxa"/>
            <w:tcBorders>
              <w:tl2br w:val="nil"/>
              <w:tr2bl w:val="nil"/>
            </w:tcBorders>
            <w:vAlign w:val="center"/>
          </w:tcPr>
          <w:p w14:paraId="2FD6F9A3">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276" w:type="dxa"/>
            <w:tcBorders>
              <w:tl2br w:val="nil"/>
              <w:tr2bl w:val="nil"/>
            </w:tcBorders>
            <w:vAlign w:val="center"/>
          </w:tcPr>
          <w:p w14:paraId="29E02486">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701" w:type="dxa"/>
            <w:tcBorders>
              <w:tl2br w:val="nil"/>
              <w:tr2bl w:val="nil"/>
            </w:tcBorders>
            <w:vAlign w:val="center"/>
          </w:tcPr>
          <w:p w14:paraId="31CABF3A">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559" w:type="dxa"/>
            <w:tcBorders>
              <w:tl2br w:val="nil"/>
              <w:tr2bl w:val="nil"/>
            </w:tcBorders>
            <w:vAlign w:val="center"/>
          </w:tcPr>
          <w:p w14:paraId="1D3C3ABE">
            <w:pPr>
              <w:widowControl w:val="0"/>
              <w:jc w:val="center"/>
              <w:rPr>
                <w:rFonts w:hint="eastAsia" w:cs="Times New Roman"/>
                <w:b w:val="0"/>
                <w:bCs w:val="0"/>
                <w:color w:val="auto"/>
                <w:sz w:val="21"/>
                <w:szCs w:val="21"/>
                <w:highlight w:val="none"/>
                <w:u w:val="none" w:color="auto"/>
                <w:lang w:val="en-US" w:eastAsia="zh-CN"/>
              </w:rPr>
            </w:pPr>
            <w:r>
              <w:rPr>
                <w:rFonts w:hint="eastAsia" w:ascii="Times New Roman" w:hAnsi="Times New Roman" w:eastAsia="宋体" w:cs="Times New Roman"/>
                <w:color w:val="auto"/>
                <w:kern w:val="0"/>
                <w:sz w:val="21"/>
                <w:szCs w:val="21"/>
                <w:highlight w:val="none"/>
                <w:u w:val="none" w:color="auto"/>
                <w:lang w:val="en-US" w:eastAsia="zh-CN" w:bidi="ar-SA"/>
              </w:rPr>
              <w:t>28.06</w:t>
            </w:r>
          </w:p>
        </w:tc>
        <w:tc>
          <w:tcPr>
            <w:tcW w:w="1559" w:type="dxa"/>
            <w:tcBorders>
              <w:tl2br w:val="nil"/>
              <w:tr2bl w:val="nil"/>
            </w:tcBorders>
            <w:vAlign w:val="center"/>
          </w:tcPr>
          <w:p w14:paraId="0176D49D">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701" w:type="dxa"/>
            <w:tcBorders>
              <w:tl2br w:val="nil"/>
              <w:tr2bl w:val="nil"/>
            </w:tcBorders>
            <w:vAlign w:val="center"/>
          </w:tcPr>
          <w:p w14:paraId="0946C253">
            <w:pPr>
              <w:widowControl w:val="0"/>
              <w:jc w:val="center"/>
              <w:rPr>
                <w:rFonts w:hint="eastAsia" w:cs="Times New Roman"/>
                <w:b w:val="0"/>
                <w:bCs w:val="0"/>
                <w:color w:val="auto"/>
                <w:sz w:val="21"/>
                <w:szCs w:val="21"/>
                <w:highlight w:val="none"/>
                <w:u w:val="none" w:color="auto"/>
                <w:lang w:val="en-US" w:eastAsia="zh-CN"/>
              </w:rPr>
            </w:pPr>
            <w:r>
              <w:rPr>
                <w:rFonts w:hint="eastAsia" w:ascii="Times New Roman" w:hAnsi="Times New Roman" w:eastAsia="宋体" w:cs="Times New Roman"/>
                <w:color w:val="auto"/>
                <w:kern w:val="0"/>
                <w:sz w:val="21"/>
                <w:szCs w:val="21"/>
                <w:highlight w:val="none"/>
                <w:u w:val="none" w:color="auto"/>
                <w:lang w:val="en-US" w:eastAsia="zh-CN" w:bidi="ar-SA"/>
              </w:rPr>
              <w:t>28.06</w:t>
            </w:r>
          </w:p>
        </w:tc>
        <w:tc>
          <w:tcPr>
            <w:tcW w:w="1286" w:type="dxa"/>
            <w:tcBorders>
              <w:tl2br w:val="nil"/>
              <w:tr2bl w:val="nil"/>
            </w:tcBorders>
            <w:vAlign w:val="center"/>
          </w:tcPr>
          <w:p w14:paraId="06170181">
            <w:pPr>
              <w:keepNext w:val="0"/>
              <w:keepLines w:val="0"/>
              <w:pageBreakBefore w:val="0"/>
              <w:kinsoku/>
              <w:wordWrap/>
              <w:overflowPunct/>
              <w:topLinePunct w:val="0"/>
              <w:bidi w:val="0"/>
              <w:snapToGrid w:val="0"/>
              <w:spacing w:line="240" w:lineRule="auto"/>
              <w:jc w:val="center"/>
              <w:rPr>
                <w:rStyle w:val="70"/>
                <w:rFonts w:hint="eastAsia" w:cs="Times New Roman"/>
                <w:b w:val="0"/>
                <w:bCs w:val="0"/>
                <w:color w:val="auto"/>
                <w:sz w:val="21"/>
                <w:szCs w:val="21"/>
                <w:highlight w:val="none"/>
                <w:u w:val="none" w:color="auto"/>
                <w:lang w:val="en-US" w:eastAsia="zh-CN"/>
              </w:rPr>
            </w:pPr>
            <w:r>
              <w:rPr>
                <w:rFonts w:hint="default" w:ascii="Times New Roman" w:hAnsi="Times New Roman" w:eastAsia="宋体" w:cs="Times New Roman"/>
                <w:b w:val="0"/>
                <w:bCs w:val="0"/>
                <w:snapToGrid w:val="0"/>
                <w:color w:val="auto"/>
                <w:kern w:val="21"/>
                <w:sz w:val="21"/>
                <w:szCs w:val="21"/>
                <w:highlight w:val="none"/>
                <w:u w:val="none" w:color="auto"/>
              </w:rPr>
              <w:t>/</w:t>
            </w:r>
          </w:p>
        </w:tc>
      </w:tr>
      <w:tr w14:paraId="078BD548">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588" w:type="dxa"/>
            <w:vMerge w:val="continue"/>
            <w:tcBorders>
              <w:tl2br w:val="nil"/>
              <w:tr2bl w:val="nil"/>
            </w:tcBorders>
            <w:vAlign w:val="center"/>
          </w:tcPr>
          <w:p w14:paraId="399B8B68">
            <w:pPr>
              <w:pStyle w:val="94"/>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rPr>
            </w:pPr>
          </w:p>
        </w:tc>
        <w:tc>
          <w:tcPr>
            <w:tcW w:w="1417" w:type="dxa"/>
            <w:tcBorders>
              <w:tl2br w:val="nil"/>
              <w:tr2bl w:val="nil"/>
            </w:tcBorders>
            <w:vAlign w:val="center"/>
          </w:tcPr>
          <w:p w14:paraId="36A23A38">
            <w:pPr>
              <w:widowControl w:val="0"/>
              <w:jc w:val="center"/>
              <w:rPr>
                <w:rFonts w:hint="eastAsia" w:cs="Times New Roman"/>
                <w:b w:val="0"/>
                <w:bCs w:val="0"/>
                <w:color w:val="auto"/>
                <w:kern w:val="2"/>
                <w:sz w:val="21"/>
                <w:szCs w:val="21"/>
                <w:highlight w:val="none"/>
                <w:u w:val="none" w:color="auto"/>
                <w:lang w:val="en-US" w:eastAsia="zh-CN"/>
              </w:rPr>
            </w:pPr>
            <w:r>
              <w:rPr>
                <w:rFonts w:hint="eastAsia" w:ascii="Times New Roman" w:hAnsi="Times New Roman" w:eastAsia="宋体" w:cs="Times New Roman"/>
                <w:color w:val="auto"/>
                <w:kern w:val="2"/>
                <w:sz w:val="21"/>
                <w:szCs w:val="21"/>
                <w:highlight w:val="none"/>
                <w:u w:val="none" w:color="auto"/>
                <w:lang w:val="en-US" w:eastAsia="zh-CN" w:bidi="ar-SA"/>
              </w:rPr>
              <w:t>废包装材料</w:t>
            </w:r>
          </w:p>
        </w:tc>
        <w:tc>
          <w:tcPr>
            <w:tcW w:w="1701" w:type="dxa"/>
            <w:tcBorders>
              <w:tl2br w:val="nil"/>
              <w:tr2bl w:val="nil"/>
            </w:tcBorders>
            <w:vAlign w:val="center"/>
          </w:tcPr>
          <w:p w14:paraId="35F738FF">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276" w:type="dxa"/>
            <w:tcBorders>
              <w:tl2br w:val="nil"/>
              <w:tr2bl w:val="nil"/>
            </w:tcBorders>
            <w:vAlign w:val="center"/>
          </w:tcPr>
          <w:p w14:paraId="29022967">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701" w:type="dxa"/>
            <w:tcBorders>
              <w:tl2br w:val="nil"/>
              <w:tr2bl w:val="nil"/>
            </w:tcBorders>
            <w:vAlign w:val="center"/>
          </w:tcPr>
          <w:p w14:paraId="20083C43">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559" w:type="dxa"/>
            <w:tcBorders>
              <w:tl2br w:val="nil"/>
              <w:tr2bl w:val="nil"/>
            </w:tcBorders>
            <w:vAlign w:val="center"/>
          </w:tcPr>
          <w:p w14:paraId="42EF7F3A">
            <w:pPr>
              <w:widowControl w:val="0"/>
              <w:jc w:val="center"/>
              <w:rPr>
                <w:rFonts w:hint="eastAsia" w:cs="Times New Roman"/>
                <w:b w:val="0"/>
                <w:bCs w:val="0"/>
                <w:color w:val="auto"/>
                <w:sz w:val="21"/>
                <w:szCs w:val="21"/>
                <w:highlight w:val="none"/>
                <w:u w:val="none" w:color="auto"/>
                <w:lang w:val="en-US" w:eastAsia="zh-CN"/>
              </w:rPr>
            </w:pPr>
            <w:r>
              <w:rPr>
                <w:rFonts w:hint="eastAsia" w:ascii="Times New Roman" w:hAnsi="Times New Roman" w:eastAsia="宋体" w:cs="Times New Roman"/>
                <w:color w:val="auto"/>
                <w:kern w:val="0"/>
                <w:sz w:val="21"/>
                <w:szCs w:val="21"/>
                <w:highlight w:val="none"/>
                <w:u w:val="none" w:color="auto"/>
                <w:lang w:val="en-US" w:eastAsia="zh-CN" w:bidi="ar-SA"/>
              </w:rPr>
              <w:t>2</w:t>
            </w:r>
          </w:p>
        </w:tc>
        <w:tc>
          <w:tcPr>
            <w:tcW w:w="1559" w:type="dxa"/>
            <w:tcBorders>
              <w:tl2br w:val="nil"/>
              <w:tr2bl w:val="nil"/>
            </w:tcBorders>
            <w:vAlign w:val="center"/>
          </w:tcPr>
          <w:p w14:paraId="463C9623">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701" w:type="dxa"/>
            <w:tcBorders>
              <w:tl2br w:val="nil"/>
              <w:tr2bl w:val="nil"/>
            </w:tcBorders>
            <w:vAlign w:val="center"/>
          </w:tcPr>
          <w:p w14:paraId="5705EAEC">
            <w:pPr>
              <w:widowControl w:val="0"/>
              <w:jc w:val="center"/>
              <w:rPr>
                <w:rFonts w:hint="eastAsia" w:cs="Times New Roman"/>
                <w:b w:val="0"/>
                <w:bCs w:val="0"/>
                <w:color w:val="auto"/>
                <w:sz w:val="21"/>
                <w:szCs w:val="21"/>
                <w:highlight w:val="none"/>
                <w:u w:val="none" w:color="auto"/>
                <w:lang w:val="en-US" w:eastAsia="zh-CN"/>
              </w:rPr>
            </w:pPr>
            <w:r>
              <w:rPr>
                <w:rFonts w:hint="eastAsia" w:ascii="Times New Roman" w:hAnsi="Times New Roman" w:eastAsia="宋体" w:cs="Times New Roman"/>
                <w:color w:val="auto"/>
                <w:kern w:val="0"/>
                <w:sz w:val="21"/>
                <w:szCs w:val="21"/>
                <w:highlight w:val="none"/>
                <w:u w:val="none" w:color="auto"/>
                <w:lang w:val="en-US" w:eastAsia="zh-CN" w:bidi="ar-SA"/>
              </w:rPr>
              <w:t>2</w:t>
            </w:r>
          </w:p>
        </w:tc>
        <w:tc>
          <w:tcPr>
            <w:tcW w:w="1286" w:type="dxa"/>
            <w:tcBorders>
              <w:tl2br w:val="nil"/>
              <w:tr2bl w:val="nil"/>
            </w:tcBorders>
            <w:vAlign w:val="center"/>
          </w:tcPr>
          <w:p w14:paraId="60752327">
            <w:pPr>
              <w:keepNext w:val="0"/>
              <w:keepLines w:val="0"/>
              <w:pageBreakBefore w:val="0"/>
              <w:kinsoku/>
              <w:wordWrap/>
              <w:overflowPunct/>
              <w:topLinePunct w:val="0"/>
              <w:bidi w:val="0"/>
              <w:snapToGrid w:val="0"/>
              <w:spacing w:line="240" w:lineRule="auto"/>
              <w:jc w:val="center"/>
              <w:rPr>
                <w:rStyle w:val="70"/>
                <w:rFonts w:hint="eastAsia" w:cs="Times New Roman"/>
                <w:b w:val="0"/>
                <w:bCs w:val="0"/>
                <w:color w:val="auto"/>
                <w:sz w:val="21"/>
                <w:szCs w:val="21"/>
                <w:highlight w:val="none"/>
                <w:u w:val="none" w:color="auto"/>
                <w:lang w:val="en-US" w:eastAsia="zh-CN"/>
              </w:rPr>
            </w:pPr>
            <w:r>
              <w:rPr>
                <w:rFonts w:hint="default" w:ascii="Times New Roman" w:hAnsi="Times New Roman" w:eastAsia="宋体" w:cs="Times New Roman"/>
                <w:b w:val="0"/>
                <w:bCs w:val="0"/>
                <w:snapToGrid w:val="0"/>
                <w:color w:val="auto"/>
                <w:kern w:val="21"/>
                <w:sz w:val="21"/>
                <w:szCs w:val="21"/>
                <w:highlight w:val="none"/>
                <w:u w:val="none" w:color="auto"/>
              </w:rPr>
              <w:t>/</w:t>
            </w:r>
          </w:p>
        </w:tc>
      </w:tr>
      <w:tr w14:paraId="07DA82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588" w:type="dxa"/>
            <w:vMerge w:val="continue"/>
            <w:tcBorders>
              <w:tl2br w:val="nil"/>
              <w:tr2bl w:val="nil"/>
            </w:tcBorders>
            <w:vAlign w:val="center"/>
          </w:tcPr>
          <w:p w14:paraId="3BE7A4B5">
            <w:pPr>
              <w:pStyle w:val="94"/>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rPr>
            </w:pPr>
          </w:p>
        </w:tc>
        <w:tc>
          <w:tcPr>
            <w:tcW w:w="1417" w:type="dxa"/>
            <w:tcBorders>
              <w:tl2br w:val="nil"/>
              <w:tr2bl w:val="nil"/>
            </w:tcBorders>
            <w:vAlign w:val="center"/>
          </w:tcPr>
          <w:p w14:paraId="0F7899E7">
            <w:pPr>
              <w:widowControl w:val="0"/>
              <w:jc w:val="center"/>
              <w:rPr>
                <w:rFonts w:hint="eastAsia" w:cs="Times New Roman"/>
                <w:b w:val="0"/>
                <w:bCs w:val="0"/>
                <w:color w:val="auto"/>
                <w:kern w:val="2"/>
                <w:sz w:val="21"/>
                <w:szCs w:val="21"/>
                <w:highlight w:val="none"/>
                <w:u w:val="none" w:color="auto"/>
                <w:lang w:val="en-US" w:eastAsia="zh-CN"/>
              </w:rPr>
            </w:pPr>
            <w:r>
              <w:rPr>
                <w:rFonts w:hint="eastAsia" w:ascii="Times New Roman" w:hAnsi="Times New Roman" w:eastAsia="宋体" w:cs="Times New Roman"/>
                <w:color w:val="auto"/>
                <w:kern w:val="2"/>
                <w:sz w:val="21"/>
                <w:szCs w:val="21"/>
                <w:highlight w:val="none"/>
                <w:u w:val="none" w:color="auto"/>
                <w:lang w:val="en-US" w:eastAsia="zh-CN" w:bidi="ar-SA"/>
              </w:rPr>
              <w:t>污泥处理污泥</w:t>
            </w:r>
          </w:p>
        </w:tc>
        <w:tc>
          <w:tcPr>
            <w:tcW w:w="1701" w:type="dxa"/>
            <w:tcBorders>
              <w:tl2br w:val="nil"/>
              <w:tr2bl w:val="nil"/>
            </w:tcBorders>
            <w:vAlign w:val="center"/>
          </w:tcPr>
          <w:p w14:paraId="61576144">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276" w:type="dxa"/>
            <w:tcBorders>
              <w:tl2br w:val="nil"/>
              <w:tr2bl w:val="nil"/>
            </w:tcBorders>
            <w:vAlign w:val="center"/>
          </w:tcPr>
          <w:p w14:paraId="098AEE6A">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701" w:type="dxa"/>
            <w:tcBorders>
              <w:tl2br w:val="nil"/>
              <w:tr2bl w:val="nil"/>
            </w:tcBorders>
            <w:vAlign w:val="center"/>
          </w:tcPr>
          <w:p w14:paraId="44B9F7DE">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559" w:type="dxa"/>
            <w:tcBorders>
              <w:tl2br w:val="nil"/>
              <w:tr2bl w:val="nil"/>
            </w:tcBorders>
            <w:vAlign w:val="center"/>
          </w:tcPr>
          <w:p w14:paraId="04AA2785">
            <w:pPr>
              <w:widowControl w:val="0"/>
              <w:jc w:val="center"/>
              <w:rPr>
                <w:rFonts w:hint="eastAsia" w:cs="Times New Roman"/>
                <w:b w:val="0"/>
                <w:bCs w:val="0"/>
                <w:color w:val="auto"/>
                <w:sz w:val="21"/>
                <w:szCs w:val="21"/>
                <w:highlight w:val="none"/>
                <w:u w:val="none" w:color="auto"/>
                <w:lang w:val="en-US" w:eastAsia="zh-CN"/>
              </w:rPr>
            </w:pPr>
            <w:r>
              <w:rPr>
                <w:rFonts w:hint="eastAsia" w:ascii="Times New Roman" w:hAnsi="Times New Roman" w:eastAsia="宋体" w:cs="Times New Roman"/>
                <w:color w:val="auto"/>
                <w:kern w:val="0"/>
                <w:sz w:val="21"/>
                <w:szCs w:val="21"/>
                <w:highlight w:val="none"/>
                <w:u w:val="none" w:color="auto"/>
                <w:lang w:val="en-US" w:eastAsia="zh-CN" w:bidi="ar-SA"/>
              </w:rPr>
              <w:t>9.78</w:t>
            </w:r>
          </w:p>
        </w:tc>
        <w:tc>
          <w:tcPr>
            <w:tcW w:w="1559" w:type="dxa"/>
            <w:tcBorders>
              <w:tl2br w:val="nil"/>
              <w:tr2bl w:val="nil"/>
            </w:tcBorders>
            <w:vAlign w:val="center"/>
          </w:tcPr>
          <w:p w14:paraId="4774A122">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701" w:type="dxa"/>
            <w:tcBorders>
              <w:tl2br w:val="nil"/>
              <w:tr2bl w:val="nil"/>
            </w:tcBorders>
            <w:vAlign w:val="center"/>
          </w:tcPr>
          <w:p w14:paraId="07E495A6">
            <w:pPr>
              <w:widowControl w:val="0"/>
              <w:jc w:val="center"/>
              <w:rPr>
                <w:rFonts w:hint="eastAsia" w:cs="Times New Roman"/>
                <w:b w:val="0"/>
                <w:bCs w:val="0"/>
                <w:color w:val="auto"/>
                <w:sz w:val="21"/>
                <w:szCs w:val="21"/>
                <w:highlight w:val="none"/>
                <w:u w:val="none" w:color="auto"/>
                <w:lang w:val="en-US" w:eastAsia="zh-CN"/>
              </w:rPr>
            </w:pPr>
            <w:r>
              <w:rPr>
                <w:rFonts w:hint="eastAsia" w:ascii="Times New Roman" w:hAnsi="Times New Roman" w:eastAsia="宋体" w:cs="Times New Roman"/>
                <w:color w:val="auto"/>
                <w:kern w:val="0"/>
                <w:sz w:val="21"/>
                <w:szCs w:val="21"/>
                <w:highlight w:val="none"/>
                <w:u w:val="none" w:color="auto"/>
                <w:lang w:val="en-US" w:eastAsia="zh-CN" w:bidi="ar-SA"/>
              </w:rPr>
              <w:t>9.78</w:t>
            </w:r>
          </w:p>
        </w:tc>
        <w:tc>
          <w:tcPr>
            <w:tcW w:w="1286" w:type="dxa"/>
            <w:tcBorders>
              <w:tl2br w:val="nil"/>
              <w:tr2bl w:val="nil"/>
            </w:tcBorders>
            <w:vAlign w:val="center"/>
          </w:tcPr>
          <w:p w14:paraId="71D51AD8">
            <w:pPr>
              <w:keepNext w:val="0"/>
              <w:keepLines w:val="0"/>
              <w:pageBreakBefore w:val="0"/>
              <w:kinsoku/>
              <w:wordWrap/>
              <w:overflowPunct/>
              <w:topLinePunct w:val="0"/>
              <w:bidi w:val="0"/>
              <w:snapToGrid w:val="0"/>
              <w:spacing w:line="240" w:lineRule="auto"/>
              <w:jc w:val="center"/>
              <w:rPr>
                <w:rStyle w:val="70"/>
                <w:rFonts w:hint="eastAsia" w:cs="Times New Roman"/>
                <w:b w:val="0"/>
                <w:bCs w:val="0"/>
                <w:color w:val="auto"/>
                <w:sz w:val="21"/>
                <w:szCs w:val="21"/>
                <w:highlight w:val="none"/>
                <w:u w:val="none" w:color="auto"/>
                <w:lang w:val="en-US" w:eastAsia="zh-CN"/>
              </w:rPr>
            </w:pPr>
            <w:r>
              <w:rPr>
                <w:rFonts w:hint="default" w:ascii="Times New Roman" w:hAnsi="Times New Roman" w:eastAsia="宋体" w:cs="Times New Roman"/>
                <w:b w:val="0"/>
                <w:bCs w:val="0"/>
                <w:snapToGrid w:val="0"/>
                <w:color w:val="auto"/>
                <w:kern w:val="21"/>
                <w:sz w:val="21"/>
                <w:szCs w:val="21"/>
                <w:highlight w:val="none"/>
                <w:u w:val="none" w:color="auto"/>
              </w:rPr>
              <w:t>/</w:t>
            </w:r>
          </w:p>
        </w:tc>
      </w:tr>
      <w:tr w14:paraId="6EE82B3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588" w:type="dxa"/>
            <w:vMerge w:val="continue"/>
            <w:tcBorders>
              <w:tl2br w:val="nil"/>
              <w:tr2bl w:val="nil"/>
            </w:tcBorders>
            <w:vAlign w:val="center"/>
          </w:tcPr>
          <w:p w14:paraId="7466A8A4">
            <w:pPr>
              <w:pStyle w:val="94"/>
              <w:keepNext w:val="0"/>
              <w:keepLines w:val="0"/>
              <w:pageBreakBefore w:val="0"/>
              <w:kinsoku/>
              <w:wordWrap/>
              <w:overflowPunct/>
              <w:topLinePunct w:val="0"/>
              <w:bidi w:val="0"/>
              <w:snapToGrid w:val="0"/>
              <w:spacing w:beforeLines="0" w:afterLines="0" w:line="240" w:lineRule="auto"/>
              <w:rPr>
                <w:rFonts w:hint="default" w:ascii="Times New Roman" w:hAnsi="Times New Roman" w:eastAsia="宋体" w:cs="Times New Roman"/>
                <w:b w:val="0"/>
                <w:bCs w:val="0"/>
                <w:snapToGrid w:val="0"/>
                <w:color w:val="auto"/>
                <w:kern w:val="21"/>
                <w:sz w:val="21"/>
                <w:szCs w:val="21"/>
                <w:highlight w:val="none"/>
                <w:u w:val="none" w:color="auto"/>
              </w:rPr>
            </w:pPr>
          </w:p>
        </w:tc>
        <w:tc>
          <w:tcPr>
            <w:tcW w:w="1417" w:type="dxa"/>
            <w:tcBorders>
              <w:tl2br w:val="nil"/>
              <w:tr2bl w:val="nil"/>
            </w:tcBorders>
            <w:vAlign w:val="center"/>
          </w:tcPr>
          <w:p w14:paraId="658A7513">
            <w:pPr>
              <w:widowControl w:val="0"/>
              <w:jc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ascii="Times New Roman" w:hAnsi="Times New Roman" w:eastAsia="宋体" w:cs="Times New Roman"/>
                <w:color w:val="auto"/>
                <w:kern w:val="2"/>
                <w:sz w:val="21"/>
                <w:szCs w:val="21"/>
                <w:highlight w:val="none"/>
                <w:u w:val="none" w:color="auto"/>
                <w:lang w:val="en-US" w:eastAsia="zh-CN" w:bidi="ar-SA"/>
              </w:rPr>
              <w:t>废滤芯</w:t>
            </w:r>
          </w:p>
        </w:tc>
        <w:tc>
          <w:tcPr>
            <w:tcW w:w="1701" w:type="dxa"/>
            <w:tcBorders>
              <w:tl2br w:val="nil"/>
              <w:tr2bl w:val="nil"/>
            </w:tcBorders>
            <w:vAlign w:val="center"/>
          </w:tcPr>
          <w:p w14:paraId="62179639">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276" w:type="dxa"/>
            <w:tcBorders>
              <w:tl2br w:val="nil"/>
              <w:tr2bl w:val="nil"/>
            </w:tcBorders>
            <w:vAlign w:val="center"/>
          </w:tcPr>
          <w:p w14:paraId="63079EBC">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701" w:type="dxa"/>
            <w:tcBorders>
              <w:tl2br w:val="nil"/>
              <w:tr2bl w:val="nil"/>
            </w:tcBorders>
            <w:vAlign w:val="center"/>
          </w:tcPr>
          <w:p w14:paraId="1D37BF6A">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559" w:type="dxa"/>
            <w:tcBorders>
              <w:tl2br w:val="nil"/>
              <w:tr2bl w:val="nil"/>
            </w:tcBorders>
            <w:vAlign w:val="center"/>
          </w:tcPr>
          <w:p w14:paraId="70F5B648">
            <w:pPr>
              <w:widowControl w:val="0"/>
              <w:jc w:val="center"/>
              <w:rPr>
                <w:rFonts w:hint="eastAsia" w:cs="Times New Roman"/>
                <w:b w:val="0"/>
                <w:bCs w:val="0"/>
                <w:color w:val="auto"/>
                <w:sz w:val="21"/>
                <w:szCs w:val="21"/>
                <w:highlight w:val="none"/>
                <w:u w:val="none" w:color="auto"/>
                <w:lang w:val="en-US" w:eastAsia="zh-CN"/>
              </w:rPr>
            </w:pPr>
            <w:r>
              <w:rPr>
                <w:rFonts w:hint="eastAsia" w:ascii="Times New Roman" w:hAnsi="Times New Roman" w:eastAsia="宋体" w:cs="Times New Roman"/>
                <w:color w:val="auto"/>
                <w:kern w:val="0"/>
                <w:sz w:val="21"/>
                <w:szCs w:val="21"/>
                <w:highlight w:val="none"/>
                <w:u w:val="none" w:color="auto"/>
                <w:lang w:val="en-US" w:eastAsia="zh-CN" w:bidi="ar-SA"/>
              </w:rPr>
              <w:t>0.01</w:t>
            </w:r>
          </w:p>
        </w:tc>
        <w:tc>
          <w:tcPr>
            <w:tcW w:w="1559" w:type="dxa"/>
            <w:tcBorders>
              <w:tl2br w:val="nil"/>
              <w:tr2bl w:val="nil"/>
            </w:tcBorders>
            <w:vAlign w:val="center"/>
          </w:tcPr>
          <w:p w14:paraId="03358BCE">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rPr>
            </w:pPr>
            <w:r>
              <w:rPr>
                <w:rFonts w:hint="default" w:ascii="Times New Roman" w:hAnsi="Times New Roman" w:eastAsia="宋体" w:cs="Times New Roman"/>
                <w:b w:val="0"/>
                <w:bCs w:val="0"/>
                <w:snapToGrid w:val="0"/>
                <w:color w:val="auto"/>
                <w:kern w:val="21"/>
                <w:sz w:val="21"/>
                <w:szCs w:val="21"/>
                <w:highlight w:val="none"/>
                <w:u w:val="none" w:color="auto"/>
              </w:rPr>
              <w:t>/</w:t>
            </w:r>
          </w:p>
        </w:tc>
        <w:tc>
          <w:tcPr>
            <w:tcW w:w="1701" w:type="dxa"/>
            <w:tcBorders>
              <w:tl2br w:val="nil"/>
              <w:tr2bl w:val="nil"/>
            </w:tcBorders>
            <w:vAlign w:val="center"/>
          </w:tcPr>
          <w:p w14:paraId="41DE364A">
            <w:pPr>
              <w:widowControl w:val="0"/>
              <w:jc w:val="center"/>
              <w:rPr>
                <w:rFonts w:hint="eastAsia" w:cs="Times New Roman"/>
                <w:b w:val="0"/>
                <w:bCs w:val="0"/>
                <w:color w:val="auto"/>
                <w:sz w:val="21"/>
                <w:szCs w:val="21"/>
                <w:highlight w:val="none"/>
                <w:u w:val="none" w:color="auto"/>
                <w:lang w:val="en-US" w:eastAsia="zh-CN"/>
              </w:rPr>
            </w:pPr>
            <w:r>
              <w:rPr>
                <w:rFonts w:hint="eastAsia" w:ascii="Times New Roman" w:hAnsi="Times New Roman" w:eastAsia="宋体" w:cs="Times New Roman"/>
                <w:color w:val="auto"/>
                <w:kern w:val="0"/>
                <w:sz w:val="21"/>
                <w:szCs w:val="21"/>
                <w:highlight w:val="none"/>
                <w:u w:val="none" w:color="auto"/>
                <w:lang w:val="en-US" w:eastAsia="zh-CN" w:bidi="ar-SA"/>
              </w:rPr>
              <w:t>0.01</w:t>
            </w:r>
          </w:p>
        </w:tc>
        <w:tc>
          <w:tcPr>
            <w:tcW w:w="1286" w:type="dxa"/>
            <w:tcBorders>
              <w:tl2br w:val="nil"/>
              <w:tr2bl w:val="nil"/>
            </w:tcBorders>
            <w:vAlign w:val="center"/>
          </w:tcPr>
          <w:p w14:paraId="0577FBBD">
            <w:pPr>
              <w:keepNext w:val="0"/>
              <w:keepLines w:val="0"/>
              <w:pageBreakBefore w:val="0"/>
              <w:kinsoku/>
              <w:wordWrap/>
              <w:overflowPunct/>
              <w:topLinePunct w:val="0"/>
              <w:bidi w:val="0"/>
              <w:snapToGrid w:val="0"/>
              <w:spacing w:line="240" w:lineRule="auto"/>
              <w:jc w:val="center"/>
              <w:rPr>
                <w:rStyle w:val="70"/>
                <w:rFonts w:hint="eastAsia" w:cs="Times New Roman"/>
                <w:b w:val="0"/>
                <w:bCs w:val="0"/>
                <w:color w:val="auto"/>
                <w:sz w:val="21"/>
                <w:szCs w:val="21"/>
                <w:highlight w:val="none"/>
                <w:u w:val="none" w:color="auto"/>
                <w:lang w:val="en-US" w:eastAsia="zh-CN"/>
              </w:rPr>
            </w:pPr>
            <w:r>
              <w:rPr>
                <w:rFonts w:hint="default" w:ascii="Times New Roman" w:hAnsi="Times New Roman" w:eastAsia="宋体" w:cs="Times New Roman"/>
                <w:b w:val="0"/>
                <w:bCs w:val="0"/>
                <w:snapToGrid w:val="0"/>
                <w:color w:val="auto"/>
                <w:kern w:val="21"/>
                <w:sz w:val="21"/>
                <w:szCs w:val="21"/>
                <w:highlight w:val="none"/>
                <w:u w:val="none" w:color="auto"/>
              </w:rPr>
              <w:t>/</w:t>
            </w:r>
          </w:p>
        </w:tc>
      </w:tr>
      <w:tr w14:paraId="5419CB61">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22" w:hRule="atLeast"/>
        </w:trPr>
        <w:tc>
          <w:tcPr>
            <w:tcW w:w="1588" w:type="dxa"/>
            <w:tcBorders>
              <w:tl2br w:val="nil"/>
              <w:tr2bl w:val="nil"/>
            </w:tcBorders>
            <w:vAlign w:val="center"/>
          </w:tcPr>
          <w:p w14:paraId="3CB3AEE4">
            <w:pPr>
              <w:pStyle w:val="94"/>
              <w:keepNext w:val="0"/>
              <w:keepLines w:val="0"/>
              <w:pageBreakBefore w:val="0"/>
              <w:kinsoku/>
              <w:wordWrap/>
              <w:overflowPunct/>
              <w:topLinePunct w:val="0"/>
              <w:bidi w:val="0"/>
              <w:snapToGrid w:val="0"/>
              <w:spacing w:beforeLines="0" w:afterLines="0" w:line="240" w:lineRule="auto"/>
              <w:rPr>
                <w:rFonts w:hint="eastAsia" w:ascii="Times New Roman" w:hAnsi="Times New Roman" w:eastAsia="宋体" w:cs="Times New Roman"/>
                <w:b w:val="0"/>
                <w:bCs w:val="0"/>
                <w:snapToGrid w:val="0"/>
                <w:color w:val="auto"/>
                <w:kern w:val="21"/>
                <w:sz w:val="21"/>
                <w:szCs w:val="21"/>
                <w:highlight w:val="none"/>
                <w:u w:val="none" w:color="auto"/>
                <w:lang w:eastAsia="zh-CN"/>
              </w:rPr>
            </w:pPr>
            <w:r>
              <w:rPr>
                <w:rFonts w:hint="eastAsia" w:ascii="Times New Roman" w:cs="Times New Roman"/>
                <w:b w:val="0"/>
                <w:bCs w:val="0"/>
                <w:snapToGrid w:val="0"/>
                <w:color w:val="auto"/>
                <w:kern w:val="21"/>
                <w:sz w:val="21"/>
                <w:szCs w:val="21"/>
                <w:highlight w:val="none"/>
                <w:u w:val="none" w:color="auto"/>
                <w:lang w:eastAsia="zh-CN"/>
              </w:rPr>
              <w:t>危险废物</w:t>
            </w:r>
          </w:p>
        </w:tc>
        <w:tc>
          <w:tcPr>
            <w:tcW w:w="1417" w:type="dxa"/>
            <w:tcBorders>
              <w:tl2br w:val="nil"/>
              <w:tr2bl w:val="nil"/>
            </w:tcBorders>
            <w:vAlign w:val="center"/>
          </w:tcPr>
          <w:p w14:paraId="57E2C416">
            <w:pPr>
              <w:widowControl w:val="0"/>
              <w:jc w:val="center"/>
              <w:rPr>
                <w:rFonts w:hint="eastAsia" w:ascii="Times New Roman" w:hAnsi="Times New Roman" w:eastAsia="宋体" w:cs="Times New Roman"/>
                <w:color w:val="auto"/>
                <w:kern w:val="2"/>
                <w:sz w:val="21"/>
                <w:szCs w:val="21"/>
                <w:highlight w:val="none"/>
                <w:u w:val="none" w:color="auto"/>
                <w:lang w:val="en-US" w:eastAsia="zh-CN" w:bidi="ar-SA"/>
              </w:rPr>
            </w:pPr>
            <w:r>
              <w:rPr>
                <w:rFonts w:hint="eastAsia" w:cs="Times New Roman"/>
                <w:color w:val="auto"/>
                <w:kern w:val="2"/>
                <w:sz w:val="21"/>
                <w:szCs w:val="21"/>
                <w:highlight w:val="none"/>
                <w:u w:val="none" w:color="auto"/>
                <w:lang w:val="en-US" w:eastAsia="zh-CN" w:bidi="ar-SA"/>
              </w:rPr>
              <w:t>废机油</w:t>
            </w:r>
          </w:p>
        </w:tc>
        <w:tc>
          <w:tcPr>
            <w:tcW w:w="1701" w:type="dxa"/>
            <w:tcBorders>
              <w:tl2br w:val="nil"/>
              <w:tr2bl w:val="nil"/>
            </w:tcBorders>
            <w:vAlign w:val="center"/>
          </w:tcPr>
          <w:p w14:paraId="7B3CBB4A">
            <w:pPr>
              <w:keepNext w:val="0"/>
              <w:keepLines w:val="0"/>
              <w:pageBreakBefore w:val="0"/>
              <w:kinsoku/>
              <w:wordWrap/>
              <w:overflowPunct/>
              <w:topLinePunct w:val="0"/>
              <w:bidi w:val="0"/>
              <w:snapToGrid w:val="0"/>
              <w:spacing w:beforeLines="0" w:afterLines="0" w:line="240" w:lineRule="auto"/>
              <w:jc w:val="center"/>
              <w:rPr>
                <w:rFonts w:hint="default" w:ascii="Times New Roman" w:hAnsi="Times New Roman" w:eastAsia="宋体" w:cs="Times New Roman"/>
                <w:b w:val="0"/>
                <w:bCs w:val="0"/>
                <w:snapToGrid w:val="0"/>
                <w:color w:val="auto"/>
                <w:kern w:val="21"/>
                <w:sz w:val="21"/>
                <w:szCs w:val="21"/>
                <w:highlight w:val="none"/>
                <w:u w:val="none" w:color="auto"/>
                <w:lang w:val="en-US" w:eastAsia="zh-CN"/>
              </w:rPr>
            </w:pPr>
            <w:r>
              <w:rPr>
                <w:rFonts w:hint="eastAsia" w:cs="Times New Roman"/>
                <w:b w:val="0"/>
                <w:bCs w:val="0"/>
                <w:snapToGrid w:val="0"/>
                <w:color w:val="auto"/>
                <w:kern w:val="21"/>
                <w:sz w:val="21"/>
                <w:szCs w:val="21"/>
                <w:highlight w:val="none"/>
                <w:u w:val="none" w:color="auto"/>
                <w:lang w:val="en-US" w:eastAsia="zh-CN"/>
              </w:rPr>
              <w:t>/</w:t>
            </w:r>
          </w:p>
        </w:tc>
        <w:tc>
          <w:tcPr>
            <w:tcW w:w="1276" w:type="dxa"/>
            <w:tcBorders>
              <w:tl2br w:val="nil"/>
              <w:tr2bl w:val="nil"/>
            </w:tcBorders>
            <w:vAlign w:val="center"/>
          </w:tcPr>
          <w:p w14:paraId="2FA0FBDC">
            <w:pPr>
              <w:keepNext w:val="0"/>
              <w:keepLines w:val="0"/>
              <w:pageBreakBefore w:val="0"/>
              <w:kinsoku/>
              <w:wordWrap/>
              <w:overflowPunct/>
              <w:topLinePunct w:val="0"/>
              <w:bidi w:val="0"/>
              <w:snapToGrid w:val="0"/>
              <w:spacing w:beforeLines="0" w:afterLines="0" w:line="240" w:lineRule="auto"/>
              <w:jc w:val="center"/>
              <w:rPr>
                <w:rFonts w:hint="eastAsia" w:ascii="Times New Roman" w:hAnsi="Times New Roman" w:eastAsia="宋体" w:cs="Times New Roman"/>
                <w:b w:val="0"/>
                <w:bCs w:val="0"/>
                <w:snapToGrid w:val="0"/>
                <w:color w:val="auto"/>
                <w:kern w:val="21"/>
                <w:sz w:val="21"/>
                <w:szCs w:val="21"/>
                <w:highlight w:val="none"/>
                <w:u w:val="none" w:color="auto"/>
                <w:lang w:val="en-US" w:eastAsia="zh-CN"/>
              </w:rPr>
            </w:pPr>
            <w:r>
              <w:rPr>
                <w:rFonts w:hint="eastAsia" w:cs="Times New Roman"/>
                <w:b w:val="0"/>
                <w:bCs w:val="0"/>
                <w:snapToGrid w:val="0"/>
                <w:color w:val="auto"/>
                <w:kern w:val="21"/>
                <w:sz w:val="21"/>
                <w:szCs w:val="21"/>
                <w:highlight w:val="none"/>
                <w:u w:val="none" w:color="auto"/>
                <w:lang w:val="en-US" w:eastAsia="zh-CN"/>
              </w:rPr>
              <w:t>/</w:t>
            </w:r>
          </w:p>
        </w:tc>
        <w:tc>
          <w:tcPr>
            <w:tcW w:w="1701" w:type="dxa"/>
            <w:tcBorders>
              <w:tl2br w:val="nil"/>
              <w:tr2bl w:val="nil"/>
            </w:tcBorders>
            <w:vAlign w:val="center"/>
          </w:tcPr>
          <w:p w14:paraId="348CA022">
            <w:pPr>
              <w:keepNext w:val="0"/>
              <w:keepLines w:val="0"/>
              <w:pageBreakBefore w:val="0"/>
              <w:kinsoku/>
              <w:wordWrap/>
              <w:overflowPunct/>
              <w:topLinePunct w:val="0"/>
              <w:bidi w:val="0"/>
              <w:snapToGrid w:val="0"/>
              <w:spacing w:beforeLines="0" w:afterLines="0" w:line="240" w:lineRule="auto"/>
              <w:jc w:val="center"/>
              <w:rPr>
                <w:rFonts w:hint="eastAsia" w:ascii="Times New Roman" w:hAnsi="Times New Roman" w:eastAsia="宋体" w:cs="Times New Roman"/>
                <w:b w:val="0"/>
                <w:bCs w:val="0"/>
                <w:snapToGrid w:val="0"/>
                <w:color w:val="auto"/>
                <w:kern w:val="21"/>
                <w:sz w:val="21"/>
                <w:szCs w:val="21"/>
                <w:highlight w:val="none"/>
                <w:u w:val="none" w:color="auto"/>
                <w:lang w:val="en-US" w:eastAsia="zh-CN"/>
              </w:rPr>
            </w:pPr>
            <w:r>
              <w:rPr>
                <w:rFonts w:hint="eastAsia" w:cs="Times New Roman"/>
                <w:b w:val="0"/>
                <w:bCs w:val="0"/>
                <w:snapToGrid w:val="0"/>
                <w:color w:val="auto"/>
                <w:kern w:val="21"/>
                <w:sz w:val="21"/>
                <w:szCs w:val="21"/>
                <w:highlight w:val="none"/>
                <w:u w:val="none" w:color="auto"/>
                <w:lang w:val="en-US" w:eastAsia="zh-CN"/>
              </w:rPr>
              <w:t>/</w:t>
            </w:r>
          </w:p>
        </w:tc>
        <w:tc>
          <w:tcPr>
            <w:tcW w:w="1559" w:type="dxa"/>
            <w:tcBorders>
              <w:tl2br w:val="nil"/>
              <w:tr2bl w:val="nil"/>
            </w:tcBorders>
            <w:vAlign w:val="center"/>
          </w:tcPr>
          <w:p w14:paraId="13EFCDD2">
            <w:pPr>
              <w:widowControl w:val="0"/>
              <w:jc w:val="center"/>
              <w:rPr>
                <w:rFonts w:hint="default" w:ascii="Times New Roman" w:hAnsi="Times New Roman" w:eastAsia="宋体" w:cs="Times New Roman"/>
                <w:color w:val="auto"/>
                <w:kern w:val="0"/>
                <w:sz w:val="21"/>
                <w:szCs w:val="21"/>
                <w:highlight w:val="none"/>
                <w:u w:val="none" w:color="auto"/>
                <w:lang w:val="en-US" w:eastAsia="zh-CN" w:bidi="ar-SA"/>
              </w:rPr>
            </w:pPr>
            <w:r>
              <w:rPr>
                <w:rFonts w:hint="eastAsia" w:cs="Times New Roman"/>
                <w:color w:val="auto"/>
                <w:kern w:val="0"/>
                <w:sz w:val="21"/>
                <w:szCs w:val="21"/>
                <w:highlight w:val="none"/>
                <w:u w:val="none" w:color="auto"/>
                <w:lang w:val="en-US" w:eastAsia="zh-CN" w:bidi="ar-SA"/>
              </w:rPr>
              <w:t>0.05</w:t>
            </w:r>
          </w:p>
        </w:tc>
        <w:tc>
          <w:tcPr>
            <w:tcW w:w="1559" w:type="dxa"/>
            <w:tcBorders>
              <w:tl2br w:val="nil"/>
              <w:tr2bl w:val="nil"/>
            </w:tcBorders>
            <w:vAlign w:val="center"/>
          </w:tcPr>
          <w:p w14:paraId="2E647B54">
            <w:pPr>
              <w:keepNext w:val="0"/>
              <w:keepLines w:val="0"/>
              <w:pageBreakBefore w:val="0"/>
              <w:kinsoku/>
              <w:wordWrap/>
              <w:overflowPunct/>
              <w:topLinePunct w:val="0"/>
              <w:bidi w:val="0"/>
              <w:snapToGrid w:val="0"/>
              <w:spacing w:beforeLines="0" w:afterLines="0" w:line="240" w:lineRule="auto"/>
              <w:jc w:val="center"/>
              <w:rPr>
                <w:rFonts w:hint="eastAsia" w:ascii="Times New Roman" w:hAnsi="Times New Roman" w:eastAsia="宋体" w:cs="Times New Roman"/>
                <w:b w:val="0"/>
                <w:bCs w:val="0"/>
                <w:snapToGrid w:val="0"/>
                <w:color w:val="auto"/>
                <w:kern w:val="21"/>
                <w:sz w:val="21"/>
                <w:szCs w:val="21"/>
                <w:highlight w:val="none"/>
                <w:u w:val="none" w:color="auto"/>
                <w:lang w:val="en-US" w:eastAsia="zh-CN"/>
              </w:rPr>
            </w:pPr>
            <w:r>
              <w:rPr>
                <w:rFonts w:hint="eastAsia" w:cs="Times New Roman"/>
                <w:b w:val="0"/>
                <w:bCs w:val="0"/>
                <w:snapToGrid w:val="0"/>
                <w:color w:val="auto"/>
                <w:kern w:val="21"/>
                <w:sz w:val="21"/>
                <w:szCs w:val="21"/>
                <w:highlight w:val="none"/>
                <w:u w:val="none" w:color="auto"/>
                <w:lang w:val="en-US" w:eastAsia="zh-CN"/>
              </w:rPr>
              <w:t>/</w:t>
            </w:r>
          </w:p>
        </w:tc>
        <w:tc>
          <w:tcPr>
            <w:tcW w:w="1701" w:type="dxa"/>
            <w:tcBorders>
              <w:tl2br w:val="nil"/>
              <w:tr2bl w:val="nil"/>
            </w:tcBorders>
            <w:vAlign w:val="center"/>
          </w:tcPr>
          <w:p w14:paraId="35D00959">
            <w:pPr>
              <w:widowControl w:val="0"/>
              <w:jc w:val="center"/>
              <w:rPr>
                <w:rFonts w:hint="default" w:ascii="Times New Roman" w:hAnsi="Times New Roman" w:eastAsia="宋体" w:cs="Times New Roman"/>
                <w:color w:val="auto"/>
                <w:kern w:val="0"/>
                <w:sz w:val="21"/>
                <w:szCs w:val="21"/>
                <w:highlight w:val="none"/>
                <w:u w:val="none" w:color="auto"/>
                <w:lang w:val="en-US" w:eastAsia="zh-CN" w:bidi="ar-SA"/>
              </w:rPr>
            </w:pPr>
            <w:r>
              <w:rPr>
                <w:rFonts w:hint="eastAsia" w:cs="Times New Roman"/>
                <w:color w:val="auto"/>
                <w:kern w:val="0"/>
                <w:sz w:val="21"/>
                <w:szCs w:val="21"/>
                <w:highlight w:val="none"/>
                <w:u w:val="none" w:color="auto"/>
                <w:lang w:val="en-US" w:eastAsia="zh-CN" w:bidi="ar-SA"/>
              </w:rPr>
              <w:t>0.05</w:t>
            </w:r>
          </w:p>
        </w:tc>
        <w:tc>
          <w:tcPr>
            <w:tcW w:w="1286" w:type="dxa"/>
            <w:tcBorders>
              <w:tl2br w:val="nil"/>
              <w:tr2bl w:val="nil"/>
            </w:tcBorders>
            <w:vAlign w:val="center"/>
          </w:tcPr>
          <w:p w14:paraId="64844690">
            <w:pPr>
              <w:keepNext w:val="0"/>
              <w:keepLines w:val="0"/>
              <w:pageBreakBefore w:val="0"/>
              <w:kinsoku/>
              <w:wordWrap/>
              <w:overflowPunct/>
              <w:topLinePunct w:val="0"/>
              <w:bidi w:val="0"/>
              <w:snapToGrid w:val="0"/>
              <w:spacing w:line="240" w:lineRule="auto"/>
              <w:jc w:val="center"/>
              <w:rPr>
                <w:rFonts w:hint="eastAsia" w:ascii="Times New Roman" w:hAnsi="Times New Roman" w:eastAsia="宋体" w:cs="Times New Roman"/>
                <w:b w:val="0"/>
                <w:bCs w:val="0"/>
                <w:snapToGrid w:val="0"/>
                <w:color w:val="auto"/>
                <w:kern w:val="21"/>
                <w:sz w:val="21"/>
                <w:szCs w:val="21"/>
                <w:highlight w:val="none"/>
                <w:u w:val="none" w:color="auto"/>
                <w:lang w:val="en-US" w:eastAsia="zh-CN"/>
              </w:rPr>
            </w:pPr>
            <w:r>
              <w:rPr>
                <w:rFonts w:hint="eastAsia" w:cs="Times New Roman"/>
                <w:b w:val="0"/>
                <w:bCs w:val="0"/>
                <w:snapToGrid w:val="0"/>
                <w:color w:val="auto"/>
                <w:kern w:val="21"/>
                <w:sz w:val="21"/>
                <w:szCs w:val="21"/>
                <w:highlight w:val="none"/>
                <w:u w:val="none" w:color="auto"/>
                <w:lang w:val="en-US" w:eastAsia="zh-CN"/>
              </w:rPr>
              <w:t>/</w:t>
            </w:r>
          </w:p>
        </w:tc>
      </w:tr>
    </w:tbl>
    <w:p w14:paraId="7B15F289">
      <w:pPr>
        <w:pStyle w:val="94"/>
        <w:spacing w:before="192" w:beforeLines="80" w:after="24"/>
        <w:jc w:val="left"/>
        <w:rPr>
          <w:rFonts w:hint="default" w:ascii="Times New Roman" w:hAnsi="Times New Roman" w:eastAsia="宋体" w:cs="Times New Roman"/>
          <w:color w:val="auto"/>
          <w:highlight w:val="none"/>
          <w:u w:val="none" w:color="auto"/>
        </w:rPr>
      </w:pPr>
      <w:r>
        <w:rPr>
          <w:rFonts w:hint="default" w:ascii="Times New Roman" w:hAnsi="Times New Roman" w:eastAsia="宋体" w:cs="Times New Roman"/>
          <w:snapToGrid w:val="0"/>
          <w:color w:val="auto"/>
          <w:kern w:val="21"/>
          <w:szCs w:val="21"/>
          <w:highlight w:val="none"/>
          <w:u w:val="none" w:color="auto"/>
        </w:rPr>
        <w:t>注：</w:t>
      </w:r>
      <w:r>
        <w:rPr>
          <w:rFonts w:hint="default" w:ascii="Times New Roman" w:hAnsi="Times New Roman" w:eastAsia="宋体" w:cs="Times New Roman"/>
          <w:snapToGrid w:val="0"/>
          <w:color w:val="auto"/>
          <w:spacing w:val="-16"/>
          <w:kern w:val="21"/>
          <w:szCs w:val="21"/>
          <w:highlight w:val="none"/>
          <w:u w:val="none" w:color="auto"/>
        </w:rPr>
        <w:fldChar w:fldCharType="begin"/>
      </w:r>
      <w:r>
        <w:rPr>
          <w:rFonts w:hint="default" w:ascii="Times New Roman" w:hAnsi="Times New Roman" w:eastAsia="宋体" w:cs="Times New Roman"/>
          <w:snapToGrid w:val="0"/>
          <w:color w:val="auto"/>
          <w:spacing w:val="-16"/>
          <w:kern w:val="21"/>
          <w:szCs w:val="21"/>
          <w:highlight w:val="none"/>
          <w:u w:val="none" w:color="auto"/>
        </w:rPr>
        <w:instrText xml:space="preserve"> = 6 \* GB3 \* MERGEFORMAT </w:instrText>
      </w:r>
      <w:r>
        <w:rPr>
          <w:rFonts w:hint="default" w:ascii="Times New Roman" w:hAnsi="Times New Roman" w:eastAsia="宋体" w:cs="Times New Roman"/>
          <w:snapToGrid w:val="0"/>
          <w:color w:val="auto"/>
          <w:spacing w:val="-16"/>
          <w:kern w:val="21"/>
          <w:szCs w:val="21"/>
          <w:highlight w:val="none"/>
          <w:u w:val="none" w:color="auto"/>
        </w:rPr>
        <w:fldChar w:fldCharType="separate"/>
      </w:r>
      <w:r>
        <w:rPr>
          <w:rFonts w:hint="default" w:ascii="Times New Roman" w:hAnsi="Times New Roman" w:eastAsia="宋体" w:cs="Times New Roman"/>
          <w:color w:val="auto"/>
          <w:szCs w:val="21"/>
          <w:highlight w:val="none"/>
          <w:u w:val="none" w:color="auto"/>
        </w:rPr>
        <w:t>⑥</w:t>
      </w:r>
      <w:r>
        <w:rPr>
          <w:rFonts w:hint="default" w:ascii="Times New Roman" w:hAnsi="Times New Roman" w:eastAsia="宋体" w:cs="Times New Roman"/>
          <w:snapToGrid w:val="0"/>
          <w:color w:val="auto"/>
          <w:spacing w:val="-16"/>
          <w:kern w:val="21"/>
          <w:szCs w:val="21"/>
          <w:highlight w:val="none"/>
          <w:u w:val="none" w:color="auto"/>
        </w:rPr>
        <w:fldChar w:fldCharType="end"/>
      </w:r>
      <w:r>
        <w:rPr>
          <w:rFonts w:hint="default" w:ascii="Times New Roman" w:hAnsi="Times New Roman" w:eastAsia="宋体" w:cs="Times New Roman"/>
          <w:snapToGrid w:val="0"/>
          <w:color w:val="auto"/>
          <w:spacing w:val="-16"/>
          <w:kern w:val="21"/>
          <w:szCs w:val="21"/>
          <w:highlight w:val="none"/>
          <w:u w:val="none" w:color="auto"/>
        </w:rPr>
        <w:t>=</w:t>
      </w:r>
      <w:r>
        <w:rPr>
          <w:rFonts w:hint="default" w:ascii="Times New Roman" w:hAnsi="Times New Roman" w:eastAsia="宋体" w:cs="Times New Roman"/>
          <w:snapToGrid w:val="0"/>
          <w:color w:val="auto"/>
          <w:spacing w:val="-6"/>
          <w:kern w:val="21"/>
          <w:szCs w:val="21"/>
          <w:highlight w:val="none"/>
          <w:u w:val="none" w:color="auto"/>
        </w:rPr>
        <w:fldChar w:fldCharType="begin"/>
      </w:r>
      <w:r>
        <w:rPr>
          <w:rFonts w:hint="default" w:ascii="Times New Roman" w:hAnsi="Times New Roman" w:eastAsia="宋体" w:cs="Times New Roman"/>
          <w:snapToGrid w:val="0"/>
          <w:color w:val="auto"/>
          <w:spacing w:val="-6"/>
          <w:kern w:val="21"/>
          <w:szCs w:val="21"/>
          <w:highlight w:val="none"/>
          <w:u w:val="none" w:color="auto"/>
        </w:rPr>
        <w:instrText xml:space="preserve"> = 1 \* GB3 \* MERGEFORMAT </w:instrText>
      </w:r>
      <w:r>
        <w:rPr>
          <w:rFonts w:hint="default" w:ascii="Times New Roman" w:hAnsi="Times New Roman" w:eastAsia="宋体" w:cs="Times New Roman"/>
          <w:snapToGrid w:val="0"/>
          <w:color w:val="auto"/>
          <w:spacing w:val="-6"/>
          <w:kern w:val="21"/>
          <w:szCs w:val="21"/>
          <w:highlight w:val="none"/>
          <w:u w:val="none" w:color="auto"/>
        </w:rPr>
        <w:fldChar w:fldCharType="separate"/>
      </w:r>
      <w:r>
        <w:rPr>
          <w:rFonts w:hint="default" w:ascii="Times New Roman" w:hAnsi="Times New Roman" w:eastAsia="宋体" w:cs="Times New Roman"/>
          <w:color w:val="auto"/>
          <w:szCs w:val="21"/>
          <w:highlight w:val="none"/>
          <w:u w:val="none" w:color="auto"/>
        </w:rPr>
        <w:t>①</w:t>
      </w:r>
      <w:r>
        <w:rPr>
          <w:rFonts w:hint="default" w:ascii="Times New Roman" w:hAnsi="Times New Roman" w:eastAsia="宋体" w:cs="Times New Roman"/>
          <w:snapToGrid w:val="0"/>
          <w:color w:val="auto"/>
          <w:spacing w:val="-6"/>
          <w:kern w:val="21"/>
          <w:szCs w:val="21"/>
          <w:highlight w:val="none"/>
          <w:u w:val="none" w:color="auto"/>
        </w:rPr>
        <w:fldChar w:fldCharType="end"/>
      </w:r>
      <w:r>
        <w:rPr>
          <w:rFonts w:hint="default" w:ascii="Times New Roman" w:hAnsi="Times New Roman" w:eastAsia="宋体" w:cs="Times New Roman"/>
          <w:snapToGrid w:val="0"/>
          <w:color w:val="auto"/>
          <w:spacing w:val="-6"/>
          <w:kern w:val="21"/>
          <w:szCs w:val="21"/>
          <w:highlight w:val="none"/>
          <w:u w:val="none" w:color="auto"/>
        </w:rPr>
        <w:t>+</w:t>
      </w:r>
      <w:r>
        <w:rPr>
          <w:rFonts w:hint="default" w:ascii="Times New Roman" w:hAnsi="Times New Roman" w:eastAsia="宋体" w:cs="Times New Roman"/>
          <w:snapToGrid w:val="0"/>
          <w:color w:val="auto"/>
          <w:spacing w:val="-6"/>
          <w:kern w:val="21"/>
          <w:szCs w:val="21"/>
          <w:highlight w:val="none"/>
          <w:u w:val="none" w:color="auto"/>
        </w:rPr>
        <w:fldChar w:fldCharType="begin"/>
      </w:r>
      <w:r>
        <w:rPr>
          <w:rFonts w:hint="default" w:ascii="Times New Roman" w:hAnsi="Times New Roman" w:eastAsia="宋体" w:cs="Times New Roman"/>
          <w:snapToGrid w:val="0"/>
          <w:color w:val="auto"/>
          <w:spacing w:val="-6"/>
          <w:kern w:val="21"/>
          <w:szCs w:val="21"/>
          <w:highlight w:val="none"/>
          <w:u w:val="none" w:color="auto"/>
        </w:rPr>
        <w:instrText xml:space="preserve"> = 3 \* GB3 \* MERGEFORMAT </w:instrText>
      </w:r>
      <w:r>
        <w:rPr>
          <w:rFonts w:hint="default" w:ascii="Times New Roman" w:hAnsi="Times New Roman" w:eastAsia="宋体" w:cs="Times New Roman"/>
          <w:snapToGrid w:val="0"/>
          <w:color w:val="auto"/>
          <w:spacing w:val="-6"/>
          <w:kern w:val="21"/>
          <w:szCs w:val="21"/>
          <w:highlight w:val="none"/>
          <w:u w:val="none" w:color="auto"/>
        </w:rPr>
        <w:fldChar w:fldCharType="separate"/>
      </w:r>
      <w:r>
        <w:rPr>
          <w:rFonts w:hint="default" w:ascii="Times New Roman" w:hAnsi="Times New Roman" w:eastAsia="宋体" w:cs="Times New Roman"/>
          <w:color w:val="auto"/>
          <w:szCs w:val="21"/>
          <w:highlight w:val="none"/>
          <w:u w:val="none" w:color="auto"/>
        </w:rPr>
        <w:t>③</w:t>
      </w:r>
      <w:r>
        <w:rPr>
          <w:rFonts w:hint="default" w:ascii="Times New Roman" w:hAnsi="Times New Roman" w:eastAsia="宋体" w:cs="Times New Roman"/>
          <w:snapToGrid w:val="0"/>
          <w:color w:val="auto"/>
          <w:spacing w:val="-6"/>
          <w:kern w:val="21"/>
          <w:szCs w:val="21"/>
          <w:highlight w:val="none"/>
          <w:u w:val="none" w:color="auto"/>
        </w:rPr>
        <w:fldChar w:fldCharType="end"/>
      </w:r>
      <w:r>
        <w:rPr>
          <w:rFonts w:hint="default" w:ascii="Times New Roman" w:hAnsi="Times New Roman" w:eastAsia="宋体" w:cs="Times New Roman"/>
          <w:snapToGrid w:val="0"/>
          <w:color w:val="auto"/>
          <w:spacing w:val="-6"/>
          <w:kern w:val="21"/>
          <w:szCs w:val="21"/>
          <w:highlight w:val="none"/>
          <w:u w:val="none" w:color="auto"/>
        </w:rPr>
        <w:t>+</w:t>
      </w:r>
      <w:r>
        <w:rPr>
          <w:rFonts w:hint="default" w:ascii="Times New Roman" w:hAnsi="Times New Roman" w:eastAsia="宋体" w:cs="Times New Roman"/>
          <w:snapToGrid w:val="0"/>
          <w:color w:val="auto"/>
          <w:spacing w:val="-6"/>
          <w:kern w:val="21"/>
          <w:szCs w:val="21"/>
          <w:highlight w:val="none"/>
          <w:u w:val="none" w:color="auto"/>
        </w:rPr>
        <w:fldChar w:fldCharType="begin"/>
      </w:r>
      <w:r>
        <w:rPr>
          <w:rFonts w:hint="default" w:ascii="Times New Roman" w:hAnsi="Times New Roman" w:eastAsia="宋体" w:cs="Times New Roman"/>
          <w:snapToGrid w:val="0"/>
          <w:color w:val="auto"/>
          <w:spacing w:val="-6"/>
          <w:kern w:val="21"/>
          <w:szCs w:val="21"/>
          <w:highlight w:val="none"/>
          <w:u w:val="none" w:color="auto"/>
        </w:rPr>
        <w:instrText xml:space="preserve"> = 4 \* GB3 \* MERGEFORMAT </w:instrText>
      </w:r>
      <w:r>
        <w:rPr>
          <w:rFonts w:hint="default" w:ascii="Times New Roman" w:hAnsi="Times New Roman" w:eastAsia="宋体" w:cs="Times New Roman"/>
          <w:snapToGrid w:val="0"/>
          <w:color w:val="auto"/>
          <w:spacing w:val="-6"/>
          <w:kern w:val="21"/>
          <w:szCs w:val="21"/>
          <w:highlight w:val="none"/>
          <w:u w:val="none" w:color="auto"/>
        </w:rPr>
        <w:fldChar w:fldCharType="separate"/>
      </w:r>
      <w:r>
        <w:rPr>
          <w:rFonts w:hint="default" w:ascii="Times New Roman" w:hAnsi="Times New Roman" w:eastAsia="宋体" w:cs="Times New Roman"/>
          <w:color w:val="auto"/>
          <w:szCs w:val="21"/>
          <w:highlight w:val="none"/>
          <w:u w:val="none" w:color="auto"/>
        </w:rPr>
        <w:t>④</w:t>
      </w:r>
      <w:r>
        <w:rPr>
          <w:rFonts w:hint="default" w:ascii="Times New Roman" w:hAnsi="Times New Roman" w:eastAsia="宋体" w:cs="Times New Roman"/>
          <w:snapToGrid w:val="0"/>
          <w:color w:val="auto"/>
          <w:spacing w:val="-6"/>
          <w:kern w:val="21"/>
          <w:szCs w:val="21"/>
          <w:highlight w:val="none"/>
          <w:u w:val="none" w:color="auto"/>
        </w:rPr>
        <w:fldChar w:fldCharType="end"/>
      </w:r>
      <w:r>
        <w:rPr>
          <w:rFonts w:hint="default" w:ascii="Times New Roman" w:hAnsi="Times New Roman" w:eastAsia="宋体" w:cs="Times New Roman"/>
          <w:snapToGrid w:val="0"/>
          <w:color w:val="auto"/>
          <w:spacing w:val="-6"/>
          <w:kern w:val="21"/>
          <w:szCs w:val="21"/>
          <w:highlight w:val="none"/>
          <w:u w:val="none" w:color="auto"/>
        </w:rPr>
        <w:t>-</w:t>
      </w:r>
      <w:r>
        <w:rPr>
          <w:rFonts w:hint="default" w:ascii="Times New Roman" w:hAnsi="Times New Roman" w:eastAsia="宋体" w:cs="Times New Roman"/>
          <w:snapToGrid w:val="0"/>
          <w:color w:val="auto"/>
          <w:spacing w:val="-16"/>
          <w:kern w:val="21"/>
          <w:szCs w:val="21"/>
          <w:highlight w:val="none"/>
          <w:u w:val="none" w:color="auto"/>
        </w:rPr>
        <w:fldChar w:fldCharType="begin"/>
      </w:r>
      <w:r>
        <w:rPr>
          <w:rFonts w:hint="default" w:ascii="Times New Roman" w:hAnsi="Times New Roman" w:eastAsia="宋体" w:cs="Times New Roman"/>
          <w:snapToGrid w:val="0"/>
          <w:color w:val="auto"/>
          <w:spacing w:val="-16"/>
          <w:kern w:val="21"/>
          <w:szCs w:val="21"/>
          <w:highlight w:val="none"/>
          <w:u w:val="none" w:color="auto"/>
        </w:rPr>
        <w:instrText xml:space="preserve"> = 5 \* GB3 \* MERGEFORMAT </w:instrText>
      </w:r>
      <w:r>
        <w:rPr>
          <w:rFonts w:hint="default" w:ascii="Times New Roman" w:hAnsi="Times New Roman" w:eastAsia="宋体" w:cs="Times New Roman"/>
          <w:snapToGrid w:val="0"/>
          <w:color w:val="auto"/>
          <w:spacing w:val="-16"/>
          <w:kern w:val="21"/>
          <w:szCs w:val="21"/>
          <w:highlight w:val="none"/>
          <w:u w:val="none" w:color="auto"/>
        </w:rPr>
        <w:fldChar w:fldCharType="separate"/>
      </w:r>
      <w:r>
        <w:rPr>
          <w:rFonts w:hint="default" w:ascii="Times New Roman" w:hAnsi="Times New Roman" w:eastAsia="宋体" w:cs="Times New Roman"/>
          <w:color w:val="auto"/>
          <w:szCs w:val="21"/>
          <w:highlight w:val="none"/>
          <w:u w:val="none" w:color="auto"/>
        </w:rPr>
        <w:t>⑤</w:t>
      </w:r>
      <w:r>
        <w:rPr>
          <w:rFonts w:hint="default" w:ascii="Times New Roman" w:hAnsi="Times New Roman" w:eastAsia="宋体" w:cs="Times New Roman"/>
          <w:snapToGrid w:val="0"/>
          <w:color w:val="auto"/>
          <w:spacing w:val="-16"/>
          <w:kern w:val="21"/>
          <w:szCs w:val="21"/>
          <w:highlight w:val="none"/>
          <w:u w:val="none" w:color="auto"/>
        </w:rPr>
        <w:fldChar w:fldCharType="end"/>
      </w:r>
      <w:r>
        <w:rPr>
          <w:rFonts w:hint="default" w:ascii="Times New Roman" w:hAnsi="Times New Roman" w:eastAsia="宋体" w:cs="Times New Roman"/>
          <w:snapToGrid w:val="0"/>
          <w:color w:val="auto"/>
          <w:spacing w:val="-16"/>
          <w:kern w:val="21"/>
          <w:szCs w:val="21"/>
          <w:highlight w:val="none"/>
          <w:u w:val="none" w:color="auto"/>
        </w:rPr>
        <w:t>；</w:t>
      </w:r>
      <w:r>
        <w:rPr>
          <w:rFonts w:hint="default" w:ascii="Times New Roman" w:hAnsi="Times New Roman" w:eastAsia="宋体" w:cs="Times New Roman"/>
          <w:snapToGrid w:val="0"/>
          <w:color w:val="auto"/>
          <w:spacing w:val="-6"/>
          <w:kern w:val="21"/>
          <w:szCs w:val="21"/>
          <w:highlight w:val="none"/>
          <w:u w:val="none" w:color="auto"/>
        </w:rPr>
        <w:fldChar w:fldCharType="begin"/>
      </w:r>
      <w:r>
        <w:rPr>
          <w:rFonts w:hint="default" w:ascii="Times New Roman" w:hAnsi="Times New Roman" w:eastAsia="宋体" w:cs="Times New Roman"/>
          <w:snapToGrid w:val="0"/>
          <w:color w:val="auto"/>
          <w:spacing w:val="-6"/>
          <w:kern w:val="21"/>
          <w:szCs w:val="21"/>
          <w:highlight w:val="none"/>
          <w:u w:val="none" w:color="auto"/>
        </w:rPr>
        <w:instrText xml:space="preserve"> = 7 \* GB3 \* MERGEFORMAT </w:instrText>
      </w:r>
      <w:r>
        <w:rPr>
          <w:rFonts w:hint="default" w:ascii="Times New Roman" w:hAnsi="Times New Roman" w:eastAsia="宋体" w:cs="Times New Roman"/>
          <w:snapToGrid w:val="0"/>
          <w:color w:val="auto"/>
          <w:spacing w:val="-6"/>
          <w:kern w:val="21"/>
          <w:szCs w:val="21"/>
          <w:highlight w:val="none"/>
          <w:u w:val="none" w:color="auto"/>
        </w:rPr>
        <w:fldChar w:fldCharType="separate"/>
      </w:r>
      <w:r>
        <w:rPr>
          <w:rFonts w:hint="default" w:ascii="Times New Roman" w:hAnsi="Times New Roman" w:eastAsia="宋体" w:cs="Times New Roman"/>
          <w:color w:val="auto"/>
          <w:szCs w:val="21"/>
          <w:highlight w:val="none"/>
          <w:u w:val="none" w:color="auto"/>
        </w:rPr>
        <w:t>⑦</w:t>
      </w:r>
      <w:r>
        <w:rPr>
          <w:rFonts w:hint="default" w:ascii="Times New Roman" w:hAnsi="Times New Roman" w:eastAsia="宋体" w:cs="Times New Roman"/>
          <w:snapToGrid w:val="0"/>
          <w:color w:val="auto"/>
          <w:spacing w:val="-6"/>
          <w:kern w:val="21"/>
          <w:szCs w:val="21"/>
          <w:highlight w:val="none"/>
          <w:u w:val="none" w:color="auto"/>
        </w:rPr>
        <w:fldChar w:fldCharType="end"/>
      </w:r>
      <w:r>
        <w:rPr>
          <w:rFonts w:hint="default" w:ascii="Times New Roman" w:hAnsi="Times New Roman" w:eastAsia="宋体" w:cs="Times New Roman"/>
          <w:snapToGrid w:val="0"/>
          <w:color w:val="auto"/>
          <w:spacing w:val="-6"/>
          <w:kern w:val="21"/>
          <w:szCs w:val="21"/>
          <w:highlight w:val="none"/>
          <w:u w:val="none" w:color="auto"/>
        </w:rPr>
        <w:t>=</w:t>
      </w:r>
      <w:r>
        <w:rPr>
          <w:rFonts w:hint="default" w:ascii="Times New Roman" w:hAnsi="Times New Roman" w:eastAsia="宋体" w:cs="Times New Roman"/>
          <w:snapToGrid w:val="0"/>
          <w:color w:val="auto"/>
          <w:spacing w:val="-16"/>
          <w:kern w:val="21"/>
          <w:szCs w:val="21"/>
          <w:highlight w:val="none"/>
          <w:u w:val="none" w:color="auto"/>
        </w:rPr>
        <w:fldChar w:fldCharType="begin"/>
      </w:r>
      <w:r>
        <w:rPr>
          <w:rFonts w:hint="default" w:ascii="Times New Roman" w:hAnsi="Times New Roman" w:eastAsia="宋体" w:cs="Times New Roman"/>
          <w:snapToGrid w:val="0"/>
          <w:color w:val="auto"/>
          <w:spacing w:val="-16"/>
          <w:kern w:val="21"/>
          <w:szCs w:val="21"/>
          <w:highlight w:val="none"/>
          <w:u w:val="none" w:color="auto"/>
        </w:rPr>
        <w:instrText xml:space="preserve"> = 6 \* GB3 \* MERGEFORMAT </w:instrText>
      </w:r>
      <w:r>
        <w:rPr>
          <w:rFonts w:hint="default" w:ascii="Times New Roman" w:hAnsi="Times New Roman" w:eastAsia="宋体" w:cs="Times New Roman"/>
          <w:snapToGrid w:val="0"/>
          <w:color w:val="auto"/>
          <w:spacing w:val="-16"/>
          <w:kern w:val="21"/>
          <w:szCs w:val="21"/>
          <w:highlight w:val="none"/>
          <w:u w:val="none" w:color="auto"/>
        </w:rPr>
        <w:fldChar w:fldCharType="separate"/>
      </w:r>
      <w:r>
        <w:rPr>
          <w:rFonts w:hint="default" w:ascii="Times New Roman" w:hAnsi="Times New Roman" w:eastAsia="宋体" w:cs="Times New Roman"/>
          <w:color w:val="auto"/>
          <w:szCs w:val="21"/>
          <w:highlight w:val="none"/>
          <w:u w:val="none" w:color="auto"/>
        </w:rPr>
        <w:t>⑥</w:t>
      </w:r>
      <w:r>
        <w:rPr>
          <w:rFonts w:hint="default" w:ascii="Times New Roman" w:hAnsi="Times New Roman" w:eastAsia="宋体" w:cs="Times New Roman"/>
          <w:snapToGrid w:val="0"/>
          <w:color w:val="auto"/>
          <w:spacing w:val="-16"/>
          <w:kern w:val="21"/>
          <w:szCs w:val="21"/>
          <w:highlight w:val="none"/>
          <w:u w:val="none" w:color="auto"/>
        </w:rPr>
        <w:fldChar w:fldCharType="end"/>
      </w:r>
      <w:r>
        <w:rPr>
          <w:rFonts w:hint="default" w:ascii="Times New Roman" w:hAnsi="Times New Roman" w:eastAsia="宋体" w:cs="Times New Roman"/>
          <w:snapToGrid w:val="0"/>
          <w:color w:val="auto"/>
          <w:spacing w:val="-16"/>
          <w:kern w:val="21"/>
          <w:szCs w:val="21"/>
          <w:highlight w:val="none"/>
          <w:u w:val="none" w:color="auto"/>
        </w:rPr>
        <w:t>-</w:t>
      </w:r>
      <w:r>
        <w:rPr>
          <w:rFonts w:hint="default" w:ascii="Times New Roman" w:hAnsi="Times New Roman" w:eastAsia="宋体" w:cs="Times New Roman"/>
          <w:snapToGrid w:val="0"/>
          <w:color w:val="auto"/>
          <w:spacing w:val="-6"/>
          <w:kern w:val="21"/>
          <w:szCs w:val="21"/>
          <w:highlight w:val="none"/>
          <w:u w:val="none" w:color="auto"/>
        </w:rPr>
        <w:fldChar w:fldCharType="begin"/>
      </w:r>
      <w:r>
        <w:rPr>
          <w:rFonts w:hint="default" w:ascii="Times New Roman" w:hAnsi="Times New Roman" w:eastAsia="宋体" w:cs="Times New Roman"/>
          <w:snapToGrid w:val="0"/>
          <w:color w:val="auto"/>
          <w:spacing w:val="-6"/>
          <w:kern w:val="21"/>
          <w:szCs w:val="21"/>
          <w:highlight w:val="none"/>
          <w:u w:val="none" w:color="auto"/>
        </w:rPr>
        <w:instrText xml:space="preserve"> = 1 \* GB3 \* MERGEFORMAT </w:instrText>
      </w:r>
      <w:r>
        <w:rPr>
          <w:rFonts w:hint="default" w:ascii="Times New Roman" w:hAnsi="Times New Roman" w:eastAsia="宋体" w:cs="Times New Roman"/>
          <w:snapToGrid w:val="0"/>
          <w:color w:val="auto"/>
          <w:spacing w:val="-6"/>
          <w:kern w:val="21"/>
          <w:szCs w:val="21"/>
          <w:highlight w:val="none"/>
          <w:u w:val="none" w:color="auto"/>
        </w:rPr>
        <w:fldChar w:fldCharType="separate"/>
      </w:r>
      <w:r>
        <w:rPr>
          <w:rFonts w:hint="default" w:ascii="Times New Roman" w:hAnsi="Times New Roman" w:eastAsia="宋体" w:cs="Times New Roman"/>
          <w:color w:val="auto"/>
          <w:szCs w:val="21"/>
          <w:highlight w:val="none"/>
          <w:u w:val="none" w:color="auto"/>
        </w:rPr>
        <w:t>①</w:t>
      </w:r>
      <w:r>
        <w:rPr>
          <w:rFonts w:hint="default" w:ascii="Times New Roman" w:hAnsi="Times New Roman" w:eastAsia="宋体" w:cs="Times New Roman"/>
          <w:snapToGrid w:val="0"/>
          <w:color w:val="auto"/>
          <w:spacing w:val="-6"/>
          <w:kern w:val="21"/>
          <w:szCs w:val="21"/>
          <w:highlight w:val="none"/>
          <w:u w:val="none" w:color="auto"/>
        </w:rPr>
        <w:fldChar w:fldCharType="end"/>
      </w:r>
    </w:p>
    <w:p w14:paraId="59FD55A9">
      <w:pPr>
        <w:pStyle w:val="40"/>
        <w:adjustRightInd w:val="0"/>
        <w:snapToGrid w:val="0"/>
        <w:spacing w:before="0" w:beforeAutospacing="0" w:after="0" w:afterAutospacing="0" w:line="500" w:lineRule="exact"/>
        <w:outlineLvl w:val="9"/>
        <w:rPr>
          <w:rFonts w:hint="default" w:ascii="Times New Roman" w:hAnsi="Times New Roman" w:eastAsia="宋体" w:cs="Times New Roman"/>
          <w:b/>
          <w:bCs/>
          <w:snapToGrid w:val="0"/>
          <w:color w:val="auto"/>
          <w:sz w:val="32"/>
          <w:szCs w:val="32"/>
          <w:highlight w:val="none"/>
          <w:u w:val="none" w:color="auto"/>
        </w:rPr>
        <w:sectPr>
          <w:footerReference r:id="rId7" w:type="default"/>
          <w:pgSz w:w="16838" w:h="11906" w:orient="landscape"/>
          <w:pgMar w:top="1531" w:right="1701" w:bottom="1531" w:left="1701" w:header="851" w:footer="851" w:gutter="0"/>
          <w:pgBorders>
            <w:top w:val="none" w:sz="0" w:space="0"/>
            <w:left w:val="none" w:sz="0" w:space="0"/>
            <w:bottom w:val="none" w:sz="0" w:space="0"/>
            <w:right w:val="none" w:sz="0" w:space="0"/>
          </w:pgBorders>
          <w:cols w:space="720" w:num="1"/>
          <w:docGrid w:linePitch="312" w:charSpace="0"/>
        </w:sectPr>
      </w:pPr>
    </w:p>
    <w:p w14:paraId="3A8281ED">
      <w:pPr>
        <w:bidi w:val="0"/>
        <w:rPr>
          <w:rFonts w:hint="default" w:ascii="Times New Roman" w:hAnsi="Times New Roman" w:eastAsia="宋体" w:cs="Times New Roman"/>
          <w:color w:val="auto"/>
          <w:highlight w:val="none"/>
          <w:u w:val="none" w:color="auto"/>
        </w:rPr>
      </w:pPr>
      <w:bookmarkStart w:id="21" w:name="_GoBack"/>
      <w:bookmarkEnd w:id="21"/>
    </w:p>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AFF" w:usb1="C0007841" w:usb2="00000009" w:usb3="00000000" w:csb0="400001FF" w:csb1="FFFF0000"/>
  </w:font>
  <w:font w:name="宋体">
    <w:panose1 w:val="02010600030101010101"/>
    <w:charset w:val="8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Light">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auto"/>
    <w:pitch w:val="default"/>
    <w:sig w:usb0="80000287" w:usb1="280F3C52" w:usb2="00000016" w:usb3="00000000" w:csb0="0004001F" w:csb1="00000000"/>
  </w:font>
  <w:font w:name="monospace">
    <w:altName w:val="宋体"/>
    <w:panose1 w:val="00000000000000000000"/>
    <w:charset w:val="00"/>
    <w:family w:val="auto"/>
    <w:pitch w:val="default"/>
    <w:sig w:usb0="00000000" w:usb1="00000000" w:usb2="00000000" w:usb3="00000000" w:csb0="00040001" w:csb1="00000000"/>
  </w:font>
  <w:font w:name="新宋体-18030">
    <w:altName w:val="宋体"/>
    <w:panose1 w:val="00000000000000000000"/>
    <w:charset w:val="00"/>
    <w:family w:val="auto"/>
    <w:pitch w:val="default"/>
    <w:sig w:usb0="00000000" w:usb1="00000000" w:usb2="00000000" w:usb3="00000000" w:csb0="0004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MingLiU">
    <w:panose1 w:val="02020509000000000000"/>
    <w:charset w:val="88"/>
    <w:family w:val="modern"/>
    <w:pitch w:val="default"/>
    <w:sig w:usb0="A00002FF" w:usb1="28CFFCFA" w:usb2="00000016" w:usb3="00000000" w:csb0="00100001" w:csb1="00000000"/>
  </w:font>
  <w:font w:name="Verdana">
    <w:panose1 w:val="020B0604030504040204"/>
    <w:charset w:val="00"/>
    <w:family w:val="swiss"/>
    <w:pitch w:val="default"/>
    <w:sig w:usb0="A10006FF" w:usb1="4000205B" w:usb2="00000010" w:usb3="00000000" w:csb0="2000019F" w:csb1="00000000"/>
  </w:font>
  <w:font w:name="Impact">
    <w:panose1 w:val="020B0806030902050204"/>
    <w:charset w:val="00"/>
    <w:family w:val="swiss"/>
    <w:pitch w:val="default"/>
    <w:sig w:usb0="00000287" w:usb1="00000000" w:usb2="00000000" w:usb3="00000000" w:csb0="2000009F" w:csb1="DFD70000"/>
  </w:font>
  <w:font w:name="仿宋体">
    <w:altName w:val="宋体"/>
    <w:panose1 w:val="00000000000000000000"/>
    <w:charset w:val="86"/>
    <w:family w:val="roman"/>
    <w:pitch w:val="default"/>
    <w:sig w:usb0="00000000" w:usb1="00000000" w:usb2="00000010" w:usb3="00000000" w:csb0="00040000" w:csb1="00000000"/>
  </w:font>
  <w:font w:name="Arial Unicode MS">
    <w:panose1 w:val="020B0604020202020204"/>
    <w:charset w:val="86"/>
    <w:family w:val="swiss"/>
    <w:pitch w:val="default"/>
    <w:sig w:usb0="FFFFFFFF" w:usb1="E9FFFFFF" w:usb2="0000003F" w:usb3="00000000" w:csb0="603F01FF" w:csb1="FFFF0000"/>
  </w:font>
  <w:font w:name="Tahoma">
    <w:panose1 w:val="020B0604030504040204"/>
    <w:charset w:val="00"/>
    <w:family w:val="swiss"/>
    <w:pitch w:val="default"/>
    <w:sig w:usb0="E1002EFF" w:usb1="C000605B" w:usb2="00000029" w:usb3="00000000" w:csb0="200101FF" w:csb1="20280000"/>
  </w:font>
  <w:font w:name="Wingdings 2">
    <w:panose1 w:val="05020102010507070707"/>
    <w:charset w:val="02"/>
    <w:family w:val="roman"/>
    <w:pitch w:val="default"/>
    <w:sig w:usb0="00000000" w:usb1="00000000" w:usb2="00000000" w:usb3="00000000" w:csb0="80000000" w:csb1="0000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2580A1">
    <w:pPr>
      <w:pStyle w:val="32"/>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0145A7">
    <w:pPr>
      <w:pStyle w:val="32"/>
      <w:framePr w:wrap="around" w:vAnchor="text" w:hAnchor="margin" w:xAlign="center" w:y="1"/>
      <w:rPr>
        <w:rStyle w:val="47"/>
      </w:rPr>
    </w:pPr>
    <w:r>
      <w:fldChar w:fldCharType="begin"/>
    </w:r>
    <w:r>
      <w:rPr>
        <w:rStyle w:val="47"/>
      </w:rPr>
      <w:instrText xml:space="preserve">PAGE  </w:instrText>
    </w:r>
    <w:r>
      <w:fldChar w:fldCharType="end"/>
    </w:r>
  </w:p>
  <w:p w14:paraId="0E8B9C2B">
    <w:pPr>
      <w:pStyle w:val="32"/>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578B64">
    <w:pPr>
      <w:pStyle w:val="32"/>
      <w:framePr w:wrap="around" w:vAnchor="text" w:hAnchor="margin" w:xAlign="outside" w:y="1"/>
      <w:rPr>
        <w:rStyle w:val="47"/>
        <w:rFonts w:ascii="宋体" w:hAnsi="宋体"/>
        <w:sz w:val="28"/>
        <w:szCs w:val="28"/>
      </w:rPr>
    </w:pPr>
    <w:r>
      <w:rPr>
        <w:rStyle w:val="47"/>
        <w:rFonts w:hint="eastAsia" w:ascii="宋体" w:hAnsi="宋体"/>
        <w:sz w:val="28"/>
        <w:szCs w:val="28"/>
      </w:rPr>
      <w:t>—</w:t>
    </w:r>
    <w:r>
      <w:rPr>
        <w:rStyle w:val="47"/>
        <w:rFonts w:hint="eastAsia" w:ascii="宋体" w:hAnsi="宋体"/>
        <w:sz w:val="20"/>
      </w:rPr>
      <w:t xml:space="preserve">  </w:t>
    </w:r>
    <w:r>
      <w:rPr>
        <w:rStyle w:val="47"/>
        <w:rFonts w:hint="default" w:ascii="Times New Roman" w:hAnsi="Times New Roman" w:cs="Times New Roman"/>
        <w:sz w:val="22"/>
        <w:szCs w:val="22"/>
      </w:rPr>
      <w:fldChar w:fldCharType="begin"/>
    </w:r>
    <w:r>
      <w:rPr>
        <w:rStyle w:val="47"/>
        <w:rFonts w:hint="default" w:ascii="Times New Roman" w:hAnsi="Times New Roman" w:cs="Times New Roman"/>
        <w:sz w:val="22"/>
        <w:szCs w:val="22"/>
      </w:rPr>
      <w:instrText xml:space="preserve">PAGE  </w:instrText>
    </w:r>
    <w:r>
      <w:rPr>
        <w:rStyle w:val="47"/>
        <w:rFonts w:hint="default" w:ascii="Times New Roman" w:hAnsi="Times New Roman" w:cs="Times New Roman"/>
        <w:sz w:val="22"/>
        <w:szCs w:val="22"/>
      </w:rPr>
      <w:fldChar w:fldCharType="separate"/>
    </w:r>
    <w:r>
      <w:rPr>
        <w:rStyle w:val="47"/>
        <w:rFonts w:hint="default" w:ascii="Times New Roman" w:hAnsi="Times New Roman" w:cs="Times New Roman"/>
        <w:sz w:val="22"/>
        <w:szCs w:val="22"/>
      </w:rPr>
      <w:t>58</w:t>
    </w:r>
    <w:r>
      <w:rPr>
        <w:rStyle w:val="47"/>
        <w:rFonts w:hint="default" w:ascii="Times New Roman" w:hAnsi="Times New Roman" w:cs="Times New Roman"/>
        <w:sz w:val="22"/>
        <w:szCs w:val="22"/>
      </w:rPr>
      <w:fldChar w:fldCharType="end"/>
    </w:r>
    <w:r>
      <w:rPr>
        <w:rStyle w:val="47"/>
        <w:rFonts w:hint="eastAsia" w:ascii="宋体" w:hAnsi="宋体"/>
        <w:sz w:val="20"/>
      </w:rPr>
      <w:t xml:space="preserve">  </w:t>
    </w:r>
    <w:r>
      <w:rPr>
        <w:rStyle w:val="47"/>
        <w:rFonts w:hint="eastAsia" w:ascii="宋体" w:hAnsi="宋体"/>
        <w:sz w:val="28"/>
        <w:szCs w:val="28"/>
      </w:rPr>
      <w:t>—</w:t>
    </w:r>
  </w:p>
  <w:p w14:paraId="652FD572">
    <w:pPr>
      <w:pStyle w:val="32"/>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522B81">
    <w:pPr>
      <w:pStyle w:val="32"/>
      <w:framePr w:wrap="around" w:vAnchor="text" w:hAnchor="margin" w:xAlign="outside" w:y="1"/>
      <w:rPr>
        <w:rStyle w:val="47"/>
        <w:rFonts w:ascii="宋体" w:hAnsi="宋体"/>
        <w:sz w:val="28"/>
        <w:szCs w:val="28"/>
      </w:rPr>
    </w:pPr>
    <w:r>
      <w:rPr>
        <w:rStyle w:val="47"/>
        <w:rFonts w:hint="eastAsia" w:ascii="宋体" w:hAnsi="宋体"/>
        <w:sz w:val="28"/>
        <w:szCs w:val="28"/>
      </w:rPr>
      <w:t>—</w:t>
    </w:r>
    <w:r>
      <w:rPr>
        <w:rStyle w:val="47"/>
        <w:rFonts w:hint="default" w:ascii="Times New Roman" w:hAnsi="Times New Roman" w:cs="Times New Roman"/>
        <w:sz w:val="20"/>
      </w:rPr>
      <w:t xml:space="preserve">  </w:t>
    </w:r>
    <w:r>
      <w:rPr>
        <w:rStyle w:val="47"/>
        <w:rFonts w:hint="default" w:ascii="Times New Roman" w:hAnsi="Times New Roman" w:cs="Times New Roman"/>
        <w:sz w:val="26"/>
        <w:szCs w:val="26"/>
      </w:rPr>
      <w:fldChar w:fldCharType="begin"/>
    </w:r>
    <w:r>
      <w:rPr>
        <w:rStyle w:val="47"/>
        <w:rFonts w:hint="default" w:ascii="Times New Roman" w:hAnsi="Times New Roman" w:cs="Times New Roman"/>
        <w:sz w:val="26"/>
        <w:szCs w:val="26"/>
      </w:rPr>
      <w:instrText xml:space="preserve">PAGE  </w:instrText>
    </w:r>
    <w:r>
      <w:rPr>
        <w:rStyle w:val="47"/>
        <w:rFonts w:hint="default" w:ascii="Times New Roman" w:hAnsi="Times New Roman" w:cs="Times New Roman"/>
        <w:sz w:val="26"/>
        <w:szCs w:val="26"/>
      </w:rPr>
      <w:fldChar w:fldCharType="separate"/>
    </w:r>
    <w:r>
      <w:rPr>
        <w:rStyle w:val="47"/>
        <w:rFonts w:hint="default" w:ascii="Times New Roman" w:hAnsi="Times New Roman" w:cs="Times New Roman"/>
        <w:sz w:val="26"/>
        <w:szCs w:val="26"/>
      </w:rPr>
      <w:t>58</w:t>
    </w:r>
    <w:r>
      <w:rPr>
        <w:rStyle w:val="47"/>
        <w:rFonts w:hint="default" w:ascii="Times New Roman" w:hAnsi="Times New Roman" w:cs="Times New Roman"/>
        <w:sz w:val="26"/>
        <w:szCs w:val="26"/>
      </w:rPr>
      <w:fldChar w:fldCharType="end"/>
    </w:r>
    <w:r>
      <w:rPr>
        <w:rStyle w:val="47"/>
        <w:rFonts w:hint="default" w:ascii="Times New Roman" w:hAnsi="Times New Roman" w:cs="Times New Roman"/>
        <w:sz w:val="20"/>
      </w:rPr>
      <w:t xml:space="preserve"> </w:t>
    </w:r>
    <w:r>
      <w:rPr>
        <w:rStyle w:val="47"/>
        <w:rFonts w:hint="eastAsia" w:ascii="宋体" w:hAnsi="宋体"/>
        <w:sz w:val="20"/>
      </w:rPr>
      <w:t xml:space="preserve"> </w:t>
    </w:r>
    <w:r>
      <w:rPr>
        <w:rStyle w:val="47"/>
        <w:rFonts w:hint="eastAsia" w:ascii="宋体" w:hAnsi="宋体"/>
        <w:sz w:val="28"/>
        <w:szCs w:val="28"/>
      </w:rPr>
      <w:t>—</w:t>
    </w:r>
  </w:p>
  <w:p w14:paraId="1F4D99F5">
    <w:pPr>
      <w:pStyle w:val="32"/>
      <w:ind w:right="360"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C5ED65">
    <w:pPr>
      <w:pStyle w:val="32"/>
      <w:framePr w:wrap="around" w:vAnchor="text" w:hAnchor="margin" w:xAlign="outside" w:y="1"/>
      <w:rPr>
        <w:rStyle w:val="47"/>
        <w:rFonts w:ascii="宋体" w:hAnsi="宋体"/>
        <w:sz w:val="28"/>
        <w:szCs w:val="28"/>
      </w:rPr>
    </w:pPr>
    <w:r>
      <w:rPr>
        <w:rStyle w:val="47"/>
        <w:rFonts w:hint="eastAsia" w:ascii="宋体" w:hAnsi="宋体"/>
        <w:sz w:val="28"/>
        <w:szCs w:val="28"/>
      </w:rPr>
      <w:t>—</w:t>
    </w:r>
    <w:r>
      <w:rPr>
        <w:rStyle w:val="47"/>
        <w:rFonts w:hint="eastAsia" w:ascii="宋体" w:hAnsi="宋体"/>
        <w:sz w:val="20"/>
      </w:rPr>
      <w:t xml:space="preserve"> </w:t>
    </w:r>
    <w:r>
      <w:rPr>
        <w:rStyle w:val="47"/>
        <w:rFonts w:hint="default" w:ascii="Times New Roman" w:hAnsi="Times New Roman" w:cs="Times New Roman"/>
        <w:sz w:val="20"/>
      </w:rPr>
      <w:t xml:space="preserve"> </w:t>
    </w:r>
    <w:r>
      <w:rPr>
        <w:rStyle w:val="47"/>
        <w:rFonts w:hint="default" w:ascii="Times New Roman" w:hAnsi="Times New Roman" w:cs="Times New Roman"/>
        <w:sz w:val="26"/>
        <w:szCs w:val="26"/>
      </w:rPr>
      <w:fldChar w:fldCharType="begin"/>
    </w:r>
    <w:r>
      <w:rPr>
        <w:rStyle w:val="47"/>
        <w:rFonts w:hint="default" w:ascii="Times New Roman" w:hAnsi="Times New Roman" w:cs="Times New Roman"/>
        <w:sz w:val="26"/>
        <w:szCs w:val="26"/>
      </w:rPr>
      <w:instrText xml:space="preserve">PAGE  </w:instrText>
    </w:r>
    <w:r>
      <w:rPr>
        <w:rStyle w:val="47"/>
        <w:rFonts w:hint="default" w:ascii="Times New Roman" w:hAnsi="Times New Roman" w:cs="Times New Roman"/>
        <w:sz w:val="26"/>
        <w:szCs w:val="26"/>
      </w:rPr>
      <w:fldChar w:fldCharType="separate"/>
    </w:r>
    <w:r>
      <w:rPr>
        <w:rStyle w:val="47"/>
        <w:rFonts w:hint="default" w:ascii="Times New Roman" w:hAnsi="Times New Roman" w:cs="Times New Roman"/>
        <w:sz w:val="26"/>
        <w:szCs w:val="26"/>
      </w:rPr>
      <w:t>69</w:t>
    </w:r>
    <w:r>
      <w:rPr>
        <w:rStyle w:val="47"/>
        <w:rFonts w:hint="default" w:ascii="Times New Roman" w:hAnsi="Times New Roman" w:cs="Times New Roman"/>
        <w:sz w:val="26"/>
        <w:szCs w:val="26"/>
      </w:rPr>
      <w:fldChar w:fldCharType="end"/>
    </w:r>
    <w:r>
      <w:rPr>
        <w:rStyle w:val="47"/>
        <w:rFonts w:hint="default" w:ascii="Times New Roman" w:hAnsi="Times New Roman" w:cs="Times New Roman"/>
        <w:sz w:val="20"/>
      </w:rPr>
      <w:t xml:space="preserve"> </w:t>
    </w:r>
    <w:r>
      <w:rPr>
        <w:rStyle w:val="47"/>
        <w:rFonts w:hint="eastAsia" w:ascii="宋体" w:hAnsi="宋体"/>
        <w:sz w:val="20"/>
      </w:rPr>
      <w:t xml:space="preserve"> </w:t>
    </w:r>
    <w:r>
      <w:rPr>
        <w:rStyle w:val="47"/>
        <w:rFonts w:hint="eastAsia" w:ascii="宋体" w:hAnsi="宋体"/>
        <w:sz w:val="28"/>
        <w:szCs w:val="28"/>
      </w:rPr>
      <w:t>—</w:t>
    </w:r>
  </w:p>
  <w:p w14:paraId="263A5AB4">
    <w:pPr>
      <w:pStyle w:val="32"/>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88F4C7"/>
    <w:multiLevelType w:val="singleLevel"/>
    <w:tmpl w:val="8588F4C7"/>
    <w:lvl w:ilvl="0" w:tentative="0">
      <w:start w:val="1"/>
      <w:numFmt w:val="decimal"/>
      <w:suff w:val="nothing"/>
      <w:lvlText w:val="%1）"/>
      <w:lvlJc w:val="left"/>
    </w:lvl>
  </w:abstractNum>
  <w:abstractNum w:abstractNumId="1">
    <w:nsid w:val="972F51CA"/>
    <w:multiLevelType w:val="singleLevel"/>
    <w:tmpl w:val="972F51CA"/>
    <w:lvl w:ilvl="0" w:tentative="0">
      <w:start w:val="1"/>
      <w:numFmt w:val="decimal"/>
      <w:suff w:val="nothing"/>
      <w:lvlText w:val="%1、"/>
      <w:lvlJc w:val="left"/>
    </w:lvl>
  </w:abstractNum>
  <w:abstractNum w:abstractNumId="2">
    <w:nsid w:val="D5F075B1"/>
    <w:multiLevelType w:val="singleLevel"/>
    <w:tmpl w:val="D5F075B1"/>
    <w:lvl w:ilvl="0" w:tentative="0">
      <w:start w:val="10"/>
      <w:numFmt w:val="chineseCounting"/>
      <w:suff w:val="nothing"/>
      <w:lvlText w:val="%1、"/>
      <w:lvlJc w:val="left"/>
      <w:rPr>
        <w:rFonts w:hint="eastAsia"/>
      </w:rPr>
    </w:lvl>
  </w:abstractNum>
  <w:abstractNum w:abstractNumId="3">
    <w:nsid w:val="00000001"/>
    <w:multiLevelType w:val="multilevel"/>
    <w:tmpl w:val="00000001"/>
    <w:lvl w:ilvl="0" w:tentative="0">
      <w:start w:val="1"/>
      <w:numFmt w:val="decimal"/>
      <w:pStyle w:val="264"/>
      <w:lvlText w:val="%1."/>
      <w:lvlJc w:val="left"/>
      <w:pPr>
        <w:tabs>
          <w:tab w:val="left" w:pos="840"/>
        </w:tabs>
        <w:ind w:left="840" w:hanging="360"/>
      </w:pPr>
      <w:rPr>
        <w:rFonts w:hint="default"/>
      </w:rPr>
    </w:lvl>
    <w:lvl w:ilvl="1" w:tentative="0">
      <w:start w:val="1"/>
      <w:numFmt w:val="lowerLetter"/>
      <w:lvlText w:val="%2)"/>
      <w:lvlJc w:val="left"/>
      <w:pPr>
        <w:tabs>
          <w:tab w:val="left" w:pos="1320"/>
        </w:tabs>
        <w:ind w:left="1320" w:hanging="420"/>
      </w:pPr>
    </w:lvl>
    <w:lvl w:ilvl="2" w:tentative="0">
      <w:start w:val="1"/>
      <w:numFmt w:val="lowerRoman"/>
      <w:lvlText w:val="%3."/>
      <w:lvlJc w:val="right"/>
      <w:pPr>
        <w:tabs>
          <w:tab w:val="left" w:pos="1740"/>
        </w:tabs>
        <w:ind w:left="1740" w:hanging="420"/>
      </w:pPr>
    </w:lvl>
    <w:lvl w:ilvl="3" w:tentative="0">
      <w:start w:val="1"/>
      <w:numFmt w:val="decimal"/>
      <w:lvlText w:val="%4."/>
      <w:lvlJc w:val="left"/>
      <w:pPr>
        <w:tabs>
          <w:tab w:val="left" w:pos="2160"/>
        </w:tabs>
        <w:ind w:left="2160" w:hanging="420"/>
      </w:pPr>
    </w:lvl>
    <w:lvl w:ilvl="4" w:tentative="0">
      <w:start w:val="1"/>
      <w:numFmt w:val="lowerLetter"/>
      <w:lvlText w:val="%5)"/>
      <w:lvlJc w:val="left"/>
      <w:pPr>
        <w:tabs>
          <w:tab w:val="left" w:pos="2580"/>
        </w:tabs>
        <w:ind w:left="2580" w:hanging="420"/>
      </w:pPr>
    </w:lvl>
    <w:lvl w:ilvl="5" w:tentative="0">
      <w:start w:val="1"/>
      <w:numFmt w:val="lowerRoman"/>
      <w:lvlText w:val="%6."/>
      <w:lvlJc w:val="right"/>
      <w:pPr>
        <w:tabs>
          <w:tab w:val="left" w:pos="3000"/>
        </w:tabs>
        <w:ind w:left="3000" w:hanging="420"/>
      </w:pPr>
    </w:lvl>
    <w:lvl w:ilvl="6" w:tentative="0">
      <w:start w:val="1"/>
      <w:numFmt w:val="decimal"/>
      <w:lvlText w:val="%7."/>
      <w:lvlJc w:val="left"/>
      <w:pPr>
        <w:tabs>
          <w:tab w:val="left" w:pos="3420"/>
        </w:tabs>
        <w:ind w:left="3420" w:hanging="420"/>
      </w:pPr>
    </w:lvl>
    <w:lvl w:ilvl="7" w:tentative="0">
      <w:start w:val="1"/>
      <w:numFmt w:val="lowerLetter"/>
      <w:lvlText w:val="%8)"/>
      <w:lvlJc w:val="left"/>
      <w:pPr>
        <w:tabs>
          <w:tab w:val="left" w:pos="3840"/>
        </w:tabs>
        <w:ind w:left="3840" w:hanging="420"/>
      </w:pPr>
    </w:lvl>
    <w:lvl w:ilvl="8" w:tentative="0">
      <w:start w:val="1"/>
      <w:numFmt w:val="lowerRoman"/>
      <w:lvlText w:val="%9."/>
      <w:lvlJc w:val="right"/>
      <w:pPr>
        <w:tabs>
          <w:tab w:val="left" w:pos="4260"/>
        </w:tabs>
        <w:ind w:left="4260" w:hanging="420"/>
      </w:pPr>
    </w:lvl>
  </w:abstractNum>
  <w:abstractNum w:abstractNumId="4">
    <w:nsid w:val="2EE44F55"/>
    <w:multiLevelType w:val="singleLevel"/>
    <w:tmpl w:val="2EE44F55"/>
    <w:lvl w:ilvl="0" w:tentative="0">
      <w:start w:val="1"/>
      <w:numFmt w:val="decimal"/>
      <w:suff w:val="nothing"/>
      <w:lvlText w:val="%1）"/>
      <w:lvlJc w:val="left"/>
    </w:lvl>
  </w:abstractNum>
  <w:abstractNum w:abstractNumId="5">
    <w:nsid w:val="5390D855"/>
    <w:multiLevelType w:val="singleLevel"/>
    <w:tmpl w:val="5390D855"/>
    <w:lvl w:ilvl="0" w:tentative="0">
      <w:start w:val="1"/>
      <w:numFmt w:val="bullet"/>
      <w:pStyle w:val="27"/>
      <w:lvlText w:val=""/>
      <w:lvlJc w:val="left"/>
      <w:pPr>
        <w:tabs>
          <w:tab w:val="left" w:pos="2040"/>
        </w:tabs>
        <w:ind w:left="2040" w:hanging="360"/>
      </w:pPr>
      <w:rPr>
        <w:rFonts w:hint="default" w:ascii="Wingdings" w:hAnsi="Wingdings"/>
      </w:rPr>
    </w:lvl>
  </w:abstractNum>
  <w:abstractNum w:abstractNumId="6">
    <w:nsid w:val="7418112E"/>
    <w:multiLevelType w:val="multilevel"/>
    <w:tmpl w:val="7418112E"/>
    <w:lvl w:ilvl="0" w:tentative="0">
      <w:start w:val="1"/>
      <w:numFmt w:val="decimal"/>
      <w:pStyle w:val="206"/>
      <w:lvlText w:val="%1、"/>
      <w:lvlJc w:val="left"/>
      <w:pPr>
        <w:ind w:left="720" w:hanging="720"/>
      </w:pPr>
      <w:rPr>
        <w:rFonts w:hint="default"/>
      </w:rPr>
    </w:lvl>
    <w:lvl w:ilvl="1" w:tentative="0">
      <w:start w:val="1"/>
      <w:numFmt w:val="decimalEnclosedCircle"/>
      <w:lvlText w:val="%2"/>
      <w:lvlJc w:val="left"/>
      <w:pPr>
        <w:ind w:left="780" w:hanging="360"/>
      </w:pPr>
      <w:rPr>
        <w:rFonts w:hint="default" w:ascii="宋体" w:hAnsi="宋体" w:cs="宋体"/>
      </w:rPr>
    </w:lvl>
    <w:lvl w:ilvl="2" w:tentative="0">
      <w:start w:val="1"/>
      <w:numFmt w:val="lowerRoman"/>
      <w:pStyle w:val="5"/>
      <w:lvlText w:val="%3."/>
      <w:lvlJc w:val="right"/>
      <w:pPr>
        <w:ind w:left="1260" w:hanging="420"/>
      </w:pPr>
    </w:lvl>
    <w:lvl w:ilvl="3" w:tentative="0">
      <w:start w:val="1"/>
      <w:numFmt w:val="decimal"/>
      <w:pStyle w:val="4"/>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6"/>
  </w:num>
  <w:num w:numId="2">
    <w:abstractNumId w:val="5"/>
  </w:num>
  <w:num w:numId="3">
    <w:abstractNumId w:val="3"/>
  </w:num>
  <w:num w:numId="4">
    <w:abstractNumId w:val="2"/>
  </w:num>
  <w:num w:numId="5">
    <w:abstractNumId w:val="1"/>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DM5NTFkZmY1NTZjZmNiODg1MGFlYjU1Y2M1MmY3MjMifQ=="/>
    <w:docVar w:name="KSO_WPS_MARK_KEY" w:val="2b1c6de7-cba6-4238-87c4-96edd3ea90d4"/>
  </w:docVars>
  <w:rsids>
    <w:rsidRoot w:val="00172A27"/>
    <w:rsid w:val="00003842"/>
    <w:rsid w:val="000050B2"/>
    <w:rsid w:val="00005714"/>
    <w:rsid w:val="000060B3"/>
    <w:rsid w:val="00007828"/>
    <w:rsid w:val="000113A6"/>
    <w:rsid w:val="000129E0"/>
    <w:rsid w:val="00020A05"/>
    <w:rsid w:val="00021272"/>
    <w:rsid w:val="00026DFA"/>
    <w:rsid w:val="000406BD"/>
    <w:rsid w:val="00040774"/>
    <w:rsid w:val="00041C90"/>
    <w:rsid w:val="00041FBE"/>
    <w:rsid w:val="0004364B"/>
    <w:rsid w:val="000469BD"/>
    <w:rsid w:val="00057ED5"/>
    <w:rsid w:val="00060511"/>
    <w:rsid w:val="00061B1F"/>
    <w:rsid w:val="0006254D"/>
    <w:rsid w:val="00063699"/>
    <w:rsid w:val="00072D24"/>
    <w:rsid w:val="000733C4"/>
    <w:rsid w:val="00074783"/>
    <w:rsid w:val="0007520C"/>
    <w:rsid w:val="00077B4B"/>
    <w:rsid w:val="000805B1"/>
    <w:rsid w:val="0008070B"/>
    <w:rsid w:val="000810AC"/>
    <w:rsid w:val="00081A02"/>
    <w:rsid w:val="00082231"/>
    <w:rsid w:val="00083A80"/>
    <w:rsid w:val="0009069C"/>
    <w:rsid w:val="00092B11"/>
    <w:rsid w:val="00092D38"/>
    <w:rsid w:val="0009377B"/>
    <w:rsid w:val="000A20C9"/>
    <w:rsid w:val="000A25A0"/>
    <w:rsid w:val="000A7451"/>
    <w:rsid w:val="000B048C"/>
    <w:rsid w:val="000B058F"/>
    <w:rsid w:val="000B4467"/>
    <w:rsid w:val="000B4DB9"/>
    <w:rsid w:val="000B5DBF"/>
    <w:rsid w:val="000C09AC"/>
    <w:rsid w:val="000C1898"/>
    <w:rsid w:val="000C3949"/>
    <w:rsid w:val="000C7122"/>
    <w:rsid w:val="000C767F"/>
    <w:rsid w:val="000D141C"/>
    <w:rsid w:val="000D5A44"/>
    <w:rsid w:val="000D6EE1"/>
    <w:rsid w:val="000E3ED2"/>
    <w:rsid w:val="00102221"/>
    <w:rsid w:val="00104CBE"/>
    <w:rsid w:val="00105E90"/>
    <w:rsid w:val="001078EE"/>
    <w:rsid w:val="0011020A"/>
    <w:rsid w:val="00111830"/>
    <w:rsid w:val="00114846"/>
    <w:rsid w:val="00130B2E"/>
    <w:rsid w:val="00131F42"/>
    <w:rsid w:val="001357D4"/>
    <w:rsid w:val="001357F1"/>
    <w:rsid w:val="00135FA9"/>
    <w:rsid w:val="0013764D"/>
    <w:rsid w:val="00140A8F"/>
    <w:rsid w:val="00140FA8"/>
    <w:rsid w:val="00141989"/>
    <w:rsid w:val="00142FEB"/>
    <w:rsid w:val="00143A2D"/>
    <w:rsid w:val="00143F40"/>
    <w:rsid w:val="00145A41"/>
    <w:rsid w:val="00146A81"/>
    <w:rsid w:val="00151215"/>
    <w:rsid w:val="00151675"/>
    <w:rsid w:val="00153233"/>
    <w:rsid w:val="00157435"/>
    <w:rsid w:val="00160506"/>
    <w:rsid w:val="001652B5"/>
    <w:rsid w:val="00170EC5"/>
    <w:rsid w:val="00172A27"/>
    <w:rsid w:val="00174703"/>
    <w:rsid w:val="0017504D"/>
    <w:rsid w:val="0017671A"/>
    <w:rsid w:val="00177422"/>
    <w:rsid w:val="001820FC"/>
    <w:rsid w:val="00184590"/>
    <w:rsid w:val="001870D1"/>
    <w:rsid w:val="0018781E"/>
    <w:rsid w:val="0019262D"/>
    <w:rsid w:val="00192D11"/>
    <w:rsid w:val="001937C4"/>
    <w:rsid w:val="00193A39"/>
    <w:rsid w:val="0019615C"/>
    <w:rsid w:val="001967D0"/>
    <w:rsid w:val="00197250"/>
    <w:rsid w:val="001972F8"/>
    <w:rsid w:val="00197BFE"/>
    <w:rsid w:val="001A1B35"/>
    <w:rsid w:val="001A48A2"/>
    <w:rsid w:val="001A556D"/>
    <w:rsid w:val="001A6F61"/>
    <w:rsid w:val="001B67DA"/>
    <w:rsid w:val="001B72B8"/>
    <w:rsid w:val="001C3925"/>
    <w:rsid w:val="001C41E1"/>
    <w:rsid w:val="001C69B3"/>
    <w:rsid w:val="001D1CFF"/>
    <w:rsid w:val="001D290D"/>
    <w:rsid w:val="001D4963"/>
    <w:rsid w:val="001D5595"/>
    <w:rsid w:val="001D7874"/>
    <w:rsid w:val="001D7F22"/>
    <w:rsid w:val="001E017C"/>
    <w:rsid w:val="001E0946"/>
    <w:rsid w:val="001E3965"/>
    <w:rsid w:val="001E543D"/>
    <w:rsid w:val="001E6EBE"/>
    <w:rsid w:val="001E75F5"/>
    <w:rsid w:val="001F0F17"/>
    <w:rsid w:val="001F14C6"/>
    <w:rsid w:val="001F3347"/>
    <w:rsid w:val="001F5360"/>
    <w:rsid w:val="001F69E4"/>
    <w:rsid w:val="001F7761"/>
    <w:rsid w:val="00201923"/>
    <w:rsid w:val="00202339"/>
    <w:rsid w:val="00204202"/>
    <w:rsid w:val="00211A63"/>
    <w:rsid w:val="002125B4"/>
    <w:rsid w:val="002155B8"/>
    <w:rsid w:val="0021663A"/>
    <w:rsid w:val="002223F6"/>
    <w:rsid w:val="00224815"/>
    <w:rsid w:val="00224839"/>
    <w:rsid w:val="002249B2"/>
    <w:rsid w:val="002257D4"/>
    <w:rsid w:val="00226574"/>
    <w:rsid w:val="002278EC"/>
    <w:rsid w:val="0023280E"/>
    <w:rsid w:val="002377D1"/>
    <w:rsid w:val="00244E32"/>
    <w:rsid w:val="002504D0"/>
    <w:rsid w:val="002506BC"/>
    <w:rsid w:val="00254345"/>
    <w:rsid w:val="00255217"/>
    <w:rsid w:val="0026253A"/>
    <w:rsid w:val="00264557"/>
    <w:rsid w:val="00264EF0"/>
    <w:rsid w:val="002769A0"/>
    <w:rsid w:val="00277635"/>
    <w:rsid w:val="00277D40"/>
    <w:rsid w:val="00277E15"/>
    <w:rsid w:val="002805AB"/>
    <w:rsid w:val="002809B6"/>
    <w:rsid w:val="00284204"/>
    <w:rsid w:val="00284BD1"/>
    <w:rsid w:val="00286A76"/>
    <w:rsid w:val="00290197"/>
    <w:rsid w:val="00291773"/>
    <w:rsid w:val="00291D97"/>
    <w:rsid w:val="00293A3E"/>
    <w:rsid w:val="002A042D"/>
    <w:rsid w:val="002A168C"/>
    <w:rsid w:val="002A172F"/>
    <w:rsid w:val="002A247E"/>
    <w:rsid w:val="002A2A0F"/>
    <w:rsid w:val="002A3DC7"/>
    <w:rsid w:val="002A56BD"/>
    <w:rsid w:val="002A779A"/>
    <w:rsid w:val="002B49E2"/>
    <w:rsid w:val="002B4AE3"/>
    <w:rsid w:val="002B68D9"/>
    <w:rsid w:val="002B7B00"/>
    <w:rsid w:val="002B7C44"/>
    <w:rsid w:val="002C06A4"/>
    <w:rsid w:val="002C2B17"/>
    <w:rsid w:val="002C75A7"/>
    <w:rsid w:val="002D3DD0"/>
    <w:rsid w:val="002E0B6B"/>
    <w:rsid w:val="002E0D44"/>
    <w:rsid w:val="002E1F3A"/>
    <w:rsid w:val="002E298A"/>
    <w:rsid w:val="002F5E64"/>
    <w:rsid w:val="002F6DD0"/>
    <w:rsid w:val="00301978"/>
    <w:rsid w:val="00302C8F"/>
    <w:rsid w:val="0030332C"/>
    <w:rsid w:val="003051C2"/>
    <w:rsid w:val="00311773"/>
    <w:rsid w:val="00312296"/>
    <w:rsid w:val="00314F0E"/>
    <w:rsid w:val="00315BA1"/>
    <w:rsid w:val="00317B3F"/>
    <w:rsid w:val="00321AC3"/>
    <w:rsid w:val="00321D8E"/>
    <w:rsid w:val="0032394F"/>
    <w:rsid w:val="00325928"/>
    <w:rsid w:val="00326AE4"/>
    <w:rsid w:val="00327F29"/>
    <w:rsid w:val="00330938"/>
    <w:rsid w:val="00332863"/>
    <w:rsid w:val="0033684D"/>
    <w:rsid w:val="00337876"/>
    <w:rsid w:val="00337B42"/>
    <w:rsid w:val="0034135F"/>
    <w:rsid w:val="00341B42"/>
    <w:rsid w:val="0034348F"/>
    <w:rsid w:val="00343ACA"/>
    <w:rsid w:val="00356653"/>
    <w:rsid w:val="0035743F"/>
    <w:rsid w:val="00357BE2"/>
    <w:rsid w:val="0036082B"/>
    <w:rsid w:val="0036170C"/>
    <w:rsid w:val="0036178D"/>
    <w:rsid w:val="00365064"/>
    <w:rsid w:val="00365963"/>
    <w:rsid w:val="00366D49"/>
    <w:rsid w:val="00366E0F"/>
    <w:rsid w:val="00374964"/>
    <w:rsid w:val="0038095B"/>
    <w:rsid w:val="00381A72"/>
    <w:rsid w:val="0038359C"/>
    <w:rsid w:val="00384676"/>
    <w:rsid w:val="00390857"/>
    <w:rsid w:val="00391BAD"/>
    <w:rsid w:val="003A1337"/>
    <w:rsid w:val="003A375A"/>
    <w:rsid w:val="003A4BF3"/>
    <w:rsid w:val="003B2B26"/>
    <w:rsid w:val="003B2E54"/>
    <w:rsid w:val="003B420D"/>
    <w:rsid w:val="003B6DE3"/>
    <w:rsid w:val="003C255A"/>
    <w:rsid w:val="003C2C63"/>
    <w:rsid w:val="003C2FC4"/>
    <w:rsid w:val="003C5CD0"/>
    <w:rsid w:val="003C6C16"/>
    <w:rsid w:val="003D0AFC"/>
    <w:rsid w:val="003D2716"/>
    <w:rsid w:val="003D42A9"/>
    <w:rsid w:val="003D5AF9"/>
    <w:rsid w:val="003D5D45"/>
    <w:rsid w:val="003D6DC5"/>
    <w:rsid w:val="003D77F3"/>
    <w:rsid w:val="003D794D"/>
    <w:rsid w:val="003E3058"/>
    <w:rsid w:val="003E3F17"/>
    <w:rsid w:val="003E6006"/>
    <w:rsid w:val="003E663B"/>
    <w:rsid w:val="003E6E72"/>
    <w:rsid w:val="003E76A9"/>
    <w:rsid w:val="003F0809"/>
    <w:rsid w:val="003F0E79"/>
    <w:rsid w:val="003F30A8"/>
    <w:rsid w:val="003F42AA"/>
    <w:rsid w:val="003F6A8C"/>
    <w:rsid w:val="003F755C"/>
    <w:rsid w:val="0040064F"/>
    <w:rsid w:val="00400FD8"/>
    <w:rsid w:val="00406F01"/>
    <w:rsid w:val="00410E4C"/>
    <w:rsid w:val="004118CC"/>
    <w:rsid w:val="00412EFC"/>
    <w:rsid w:val="00413FE6"/>
    <w:rsid w:val="00414339"/>
    <w:rsid w:val="00414944"/>
    <w:rsid w:val="00416D50"/>
    <w:rsid w:val="00416FD5"/>
    <w:rsid w:val="00417772"/>
    <w:rsid w:val="00420E6A"/>
    <w:rsid w:val="00423D34"/>
    <w:rsid w:val="004251F5"/>
    <w:rsid w:val="00425A9E"/>
    <w:rsid w:val="00426D6B"/>
    <w:rsid w:val="00426DB2"/>
    <w:rsid w:val="00427261"/>
    <w:rsid w:val="0043182C"/>
    <w:rsid w:val="00431E6C"/>
    <w:rsid w:val="00432AAF"/>
    <w:rsid w:val="00433CE7"/>
    <w:rsid w:val="004349ED"/>
    <w:rsid w:val="0043584E"/>
    <w:rsid w:val="00441540"/>
    <w:rsid w:val="00445719"/>
    <w:rsid w:val="00452738"/>
    <w:rsid w:val="0045555E"/>
    <w:rsid w:val="00456091"/>
    <w:rsid w:val="004610C4"/>
    <w:rsid w:val="00466321"/>
    <w:rsid w:val="00470504"/>
    <w:rsid w:val="004710F2"/>
    <w:rsid w:val="00475757"/>
    <w:rsid w:val="0047589B"/>
    <w:rsid w:val="00484B9B"/>
    <w:rsid w:val="004855F6"/>
    <w:rsid w:val="004863FC"/>
    <w:rsid w:val="0048661E"/>
    <w:rsid w:val="004866B0"/>
    <w:rsid w:val="00487131"/>
    <w:rsid w:val="00491FD6"/>
    <w:rsid w:val="00494670"/>
    <w:rsid w:val="004963F3"/>
    <w:rsid w:val="004A0F17"/>
    <w:rsid w:val="004A1621"/>
    <w:rsid w:val="004A3444"/>
    <w:rsid w:val="004A37AE"/>
    <w:rsid w:val="004A3823"/>
    <w:rsid w:val="004B524C"/>
    <w:rsid w:val="004C0C4F"/>
    <w:rsid w:val="004C2D1C"/>
    <w:rsid w:val="004C6BB7"/>
    <w:rsid w:val="004C7533"/>
    <w:rsid w:val="004C764A"/>
    <w:rsid w:val="004D612F"/>
    <w:rsid w:val="004E0CD2"/>
    <w:rsid w:val="004E2274"/>
    <w:rsid w:val="004E340F"/>
    <w:rsid w:val="004E44BB"/>
    <w:rsid w:val="004E50EC"/>
    <w:rsid w:val="004E5652"/>
    <w:rsid w:val="004E6946"/>
    <w:rsid w:val="004F0B43"/>
    <w:rsid w:val="004F1AD8"/>
    <w:rsid w:val="004F5D17"/>
    <w:rsid w:val="005019A7"/>
    <w:rsid w:val="005039CB"/>
    <w:rsid w:val="00504C9C"/>
    <w:rsid w:val="0050558F"/>
    <w:rsid w:val="00505593"/>
    <w:rsid w:val="00506286"/>
    <w:rsid w:val="00506F80"/>
    <w:rsid w:val="00510813"/>
    <w:rsid w:val="00511990"/>
    <w:rsid w:val="00511DE0"/>
    <w:rsid w:val="00514870"/>
    <w:rsid w:val="00514B04"/>
    <w:rsid w:val="00514B9B"/>
    <w:rsid w:val="00517F02"/>
    <w:rsid w:val="00520C01"/>
    <w:rsid w:val="0052288D"/>
    <w:rsid w:val="00523DE9"/>
    <w:rsid w:val="00524303"/>
    <w:rsid w:val="00524E00"/>
    <w:rsid w:val="005254F9"/>
    <w:rsid w:val="005258A2"/>
    <w:rsid w:val="005274B8"/>
    <w:rsid w:val="00534DC6"/>
    <w:rsid w:val="005401AE"/>
    <w:rsid w:val="00540F85"/>
    <w:rsid w:val="00542E07"/>
    <w:rsid w:val="00542E63"/>
    <w:rsid w:val="00545424"/>
    <w:rsid w:val="005529F9"/>
    <w:rsid w:val="0055355E"/>
    <w:rsid w:val="00554738"/>
    <w:rsid w:val="00554A7B"/>
    <w:rsid w:val="0055572C"/>
    <w:rsid w:val="0055679D"/>
    <w:rsid w:val="00556B5C"/>
    <w:rsid w:val="00560F6A"/>
    <w:rsid w:val="0056106A"/>
    <w:rsid w:val="00570B79"/>
    <w:rsid w:val="005720AE"/>
    <w:rsid w:val="005720B8"/>
    <w:rsid w:val="005929AC"/>
    <w:rsid w:val="0059389C"/>
    <w:rsid w:val="005942F4"/>
    <w:rsid w:val="00594D77"/>
    <w:rsid w:val="005969E4"/>
    <w:rsid w:val="005A06B7"/>
    <w:rsid w:val="005A1759"/>
    <w:rsid w:val="005A68A7"/>
    <w:rsid w:val="005A6958"/>
    <w:rsid w:val="005A725F"/>
    <w:rsid w:val="005C032F"/>
    <w:rsid w:val="005C036D"/>
    <w:rsid w:val="005C298E"/>
    <w:rsid w:val="005C39C0"/>
    <w:rsid w:val="005C4FBB"/>
    <w:rsid w:val="005D1E8B"/>
    <w:rsid w:val="005D36AB"/>
    <w:rsid w:val="005E0B0E"/>
    <w:rsid w:val="005E6919"/>
    <w:rsid w:val="005E6A83"/>
    <w:rsid w:val="005F05AB"/>
    <w:rsid w:val="006140F3"/>
    <w:rsid w:val="006162BA"/>
    <w:rsid w:val="00617CC3"/>
    <w:rsid w:val="0062446C"/>
    <w:rsid w:val="006259D2"/>
    <w:rsid w:val="00627F2E"/>
    <w:rsid w:val="00630235"/>
    <w:rsid w:val="00635AD0"/>
    <w:rsid w:val="00636F5E"/>
    <w:rsid w:val="006377A6"/>
    <w:rsid w:val="00637A3D"/>
    <w:rsid w:val="006411EF"/>
    <w:rsid w:val="00646C4B"/>
    <w:rsid w:val="00647619"/>
    <w:rsid w:val="006542A0"/>
    <w:rsid w:val="006561BE"/>
    <w:rsid w:val="00656386"/>
    <w:rsid w:val="00657250"/>
    <w:rsid w:val="00660523"/>
    <w:rsid w:val="00661AE8"/>
    <w:rsid w:val="0066240A"/>
    <w:rsid w:val="006706BB"/>
    <w:rsid w:val="006748B8"/>
    <w:rsid w:val="0067571B"/>
    <w:rsid w:val="006775C3"/>
    <w:rsid w:val="00681B73"/>
    <w:rsid w:val="00681EF1"/>
    <w:rsid w:val="006861A5"/>
    <w:rsid w:val="00687BE9"/>
    <w:rsid w:val="0069254D"/>
    <w:rsid w:val="0069290A"/>
    <w:rsid w:val="00692DD1"/>
    <w:rsid w:val="0069775A"/>
    <w:rsid w:val="00697813"/>
    <w:rsid w:val="006A38E6"/>
    <w:rsid w:val="006A3EE8"/>
    <w:rsid w:val="006A72BF"/>
    <w:rsid w:val="006B03F2"/>
    <w:rsid w:val="006B064B"/>
    <w:rsid w:val="006B2246"/>
    <w:rsid w:val="006B228F"/>
    <w:rsid w:val="006B2CD6"/>
    <w:rsid w:val="006B37DC"/>
    <w:rsid w:val="006B4F68"/>
    <w:rsid w:val="006C0592"/>
    <w:rsid w:val="006C0B3A"/>
    <w:rsid w:val="006C2132"/>
    <w:rsid w:val="006C272E"/>
    <w:rsid w:val="006C2A3A"/>
    <w:rsid w:val="006C5479"/>
    <w:rsid w:val="006D13B5"/>
    <w:rsid w:val="006D1748"/>
    <w:rsid w:val="006D64A8"/>
    <w:rsid w:val="006E12FF"/>
    <w:rsid w:val="006E484C"/>
    <w:rsid w:val="006E607E"/>
    <w:rsid w:val="006F7A99"/>
    <w:rsid w:val="00703026"/>
    <w:rsid w:val="00703202"/>
    <w:rsid w:val="007039C9"/>
    <w:rsid w:val="007059D3"/>
    <w:rsid w:val="00706C5D"/>
    <w:rsid w:val="00711A33"/>
    <w:rsid w:val="007145AA"/>
    <w:rsid w:val="007176E9"/>
    <w:rsid w:val="00722DC1"/>
    <w:rsid w:val="007241BB"/>
    <w:rsid w:val="0073236A"/>
    <w:rsid w:val="00732922"/>
    <w:rsid w:val="00736EE4"/>
    <w:rsid w:val="00740BCC"/>
    <w:rsid w:val="00740D7D"/>
    <w:rsid w:val="00744F5C"/>
    <w:rsid w:val="00745FAB"/>
    <w:rsid w:val="007472F3"/>
    <w:rsid w:val="0075162E"/>
    <w:rsid w:val="00751718"/>
    <w:rsid w:val="00751AD0"/>
    <w:rsid w:val="00752C96"/>
    <w:rsid w:val="00754034"/>
    <w:rsid w:val="00756556"/>
    <w:rsid w:val="00757045"/>
    <w:rsid w:val="00760A97"/>
    <w:rsid w:val="007618C4"/>
    <w:rsid w:val="007619FE"/>
    <w:rsid w:val="00762306"/>
    <w:rsid w:val="00767980"/>
    <w:rsid w:val="00770B19"/>
    <w:rsid w:val="007715F2"/>
    <w:rsid w:val="00771E67"/>
    <w:rsid w:val="0077463F"/>
    <w:rsid w:val="00774D19"/>
    <w:rsid w:val="007836EA"/>
    <w:rsid w:val="00784CB7"/>
    <w:rsid w:val="00784CDA"/>
    <w:rsid w:val="007865B0"/>
    <w:rsid w:val="007906C4"/>
    <w:rsid w:val="007940EA"/>
    <w:rsid w:val="007967E8"/>
    <w:rsid w:val="007A0666"/>
    <w:rsid w:val="007A2170"/>
    <w:rsid w:val="007A22BF"/>
    <w:rsid w:val="007A3323"/>
    <w:rsid w:val="007A34F4"/>
    <w:rsid w:val="007A3E2C"/>
    <w:rsid w:val="007A4880"/>
    <w:rsid w:val="007A61E5"/>
    <w:rsid w:val="007B72B8"/>
    <w:rsid w:val="007B7A58"/>
    <w:rsid w:val="007C0EA8"/>
    <w:rsid w:val="007C21B5"/>
    <w:rsid w:val="007C3BDC"/>
    <w:rsid w:val="007C5FC6"/>
    <w:rsid w:val="007C7BE0"/>
    <w:rsid w:val="007D0B8A"/>
    <w:rsid w:val="007D3D9D"/>
    <w:rsid w:val="007D480A"/>
    <w:rsid w:val="007E1BA3"/>
    <w:rsid w:val="007E28DB"/>
    <w:rsid w:val="007E4BD2"/>
    <w:rsid w:val="007E6521"/>
    <w:rsid w:val="00801393"/>
    <w:rsid w:val="00802F88"/>
    <w:rsid w:val="00804579"/>
    <w:rsid w:val="0081293E"/>
    <w:rsid w:val="00815465"/>
    <w:rsid w:val="00815ACC"/>
    <w:rsid w:val="00817E9A"/>
    <w:rsid w:val="00826B1C"/>
    <w:rsid w:val="008306BD"/>
    <w:rsid w:val="008315F0"/>
    <w:rsid w:val="00831A80"/>
    <w:rsid w:val="00833743"/>
    <w:rsid w:val="008340A4"/>
    <w:rsid w:val="00853AD0"/>
    <w:rsid w:val="00854C51"/>
    <w:rsid w:val="0085581F"/>
    <w:rsid w:val="00856422"/>
    <w:rsid w:val="00857D18"/>
    <w:rsid w:val="00863617"/>
    <w:rsid w:val="0087135F"/>
    <w:rsid w:val="00872D94"/>
    <w:rsid w:val="00874D9C"/>
    <w:rsid w:val="008771A0"/>
    <w:rsid w:val="00880364"/>
    <w:rsid w:val="00880BC2"/>
    <w:rsid w:val="008827F1"/>
    <w:rsid w:val="00882FD2"/>
    <w:rsid w:val="0088338E"/>
    <w:rsid w:val="00887AC9"/>
    <w:rsid w:val="00891592"/>
    <w:rsid w:val="00891E9E"/>
    <w:rsid w:val="00892C8B"/>
    <w:rsid w:val="00897E63"/>
    <w:rsid w:val="008A2F68"/>
    <w:rsid w:val="008A33DD"/>
    <w:rsid w:val="008A60E1"/>
    <w:rsid w:val="008A7F75"/>
    <w:rsid w:val="008B0335"/>
    <w:rsid w:val="008B07DC"/>
    <w:rsid w:val="008B4FA6"/>
    <w:rsid w:val="008B5282"/>
    <w:rsid w:val="008B7C17"/>
    <w:rsid w:val="008B7F2D"/>
    <w:rsid w:val="008C2D01"/>
    <w:rsid w:val="008C40E6"/>
    <w:rsid w:val="008C43D1"/>
    <w:rsid w:val="008C59F3"/>
    <w:rsid w:val="008C738A"/>
    <w:rsid w:val="008D01A7"/>
    <w:rsid w:val="008D0640"/>
    <w:rsid w:val="008D0F7A"/>
    <w:rsid w:val="008D11E6"/>
    <w:rsid w:val="008D1AC9"/>
    <w:rsid w:val="008D68E4"/>
    <w:rsid w:val="008D798D"/>
    <w:rsid w:val="008E02EA"/>
    <w:rsid w:val="008E0506"/>
    <w:rsid w:val="008E0606"/>
    <w:rsid w:val="008E0CFF"/>
    <w:rsid w:val="008E5D6B"/>
    <w:rsid w:val="008E73B6"/>
    <w:rsid w:val="008E76F0"/>
    <w:rsid w:val="008F15FE"/>
    <w:rsid w:val="008F254A"/>
    <w:rsid w:val="008F2D29"/>
    <w:rsid w:val="008F3D27"/>
    <w:rsid w:val="008F5187"/>
    <w:rsid w:val="008F60D8"/>
    <w:rsid w:val="008F6541"/>
    <w:rsid w:val="008F7889"/>
    <w:rsid w:val="00900FBB"/>
    <w:rsid w:val="009016E7"/>
    <w:rsid w:val="00902727"/>
    <w:rsid w:val="0090312B"/>
    <w:rsid w:val="00903CE0"/>
    <w:rsid w:val="00905345"/>
    <w:rsid w:val="0090665D"/>
    <w:rsid w:val="00910133"/>
    <w:rsid w:val="009147E7"/>
    <w:rsid w:val="0091736D"/>
    <w:rsid w:val="00920002"/>
    <w:rsid w:val="00925F49"/>
    <w:rsid w:val="009302BE"/>
    <w:rsid w:val="0093037A"/>
    <w:rsid w:val="009313E3"/>
    <w:rsid w:val="00933B9A"/>
    <w:rsid w:val="0093554A"/>
    <w:rsid w:val="0094154D"/>
    <w:rsid w:val="00943364"/>
    <w:rsid w:val="0095155F"/>
    <w:rsid w:val="00952B27"/>
    <w:rsid w:val="00954429"/>
    <w:rsid w:val="009550F2"/>
    <w:rsid w:val="009563CE"/>
    <w:rsid w:val="009635F6"/>
    <w:rsid w:val="0096660A"/>
    <w:rsid w:val="009670EF"/>
    <w:rsid w:val="00972487"/>
    <w:rsid w:val="00976328"/>
    <w:rsid w:val="0097680D"/>
    <w:rsid w:val="00982438"/>
    <w:rsid w:val="0098404C"/>
    <w:rsid w:val="00985283"/>
    <w:rsid w:val="009853AC"/>
    <w:rsid w:val="00987C68"/>
    <w:rsid w:val="0099483B"/>
    <w:rsid w:val="00995992"/>
    <w:rsid w:val="00997C44"/>
    <w:rsid w:val="009A03E5"/>
    <w:rsid w:val="009A0F3B"/>
    <w:rsid w:val="009A1BB4"/>
    <w:rsid w:val="009A2628"/>
    <w:rsid w:val="009A3200"/>
    <w:rsid w:val="009A4B9E"/>
    <w:rsid w:val="009B01AA"/>
    <w:rsid w:val="009B0897"/>
    <w:rsid w:val="009B2F4A"/>
    <w:rsid w:val="009B7BD9"/>
    <w:rsid w:val="009C2F16"/>
    <w:rsid w:val="009C3871"/>
    <w:rsid w:val="009C7DD5"/>
    <w:rsid w:val="009D12AF"/>
    <w:rsid w:val="009D2C0E"/>
    <w:rsid w:val="009D4712"/>
    <w:rsid w:val="009D7D84"/>
    <w:rsid w:val="009D7F35"/>
    <w:rsid w:val="009E0F4D"/>
    <w:rsid w:val="009E227D"/>
    <w:rsid w:val="009E5019"/>
    <w:rsid w:val="009E5DDF"/>
    <w:rsid w:val="009F5E43"/>
    <w:rsid w:val="009F7787"/>
    <w:rsid w:val="00A032A0"/>
    <w:rsid w:val="00A03999"/>
    <w:rsid w:val="00A04F1B"/>
    <w:rsid w:val="00A0501B"/>
    <w:rsid w:val="00A066DF"/>
    <w:rsid w:val="00A067C1"/>
    <w:rsid w:val="00A11FD6"/>
    <w:rsid w:val="00A14947"/>
    <w:rsid w:val="00A2013D"/>
    <w:rsid w:val="00A21D28"/>
    <w:rsid w:val="00A224C4"/>
    <w:rsid w:val="00A32506"/>
    <w:rsid w:val="00A32A83"/>
    <w:rsid w:val="00A368DB"/>
    <w:rsid w:val="00A40DF1"/>
    <w:rsid w:val="00A423AA"/>
    <w:rsid w:val="00A523CB"/>
    <w:rsid w:val="00A53089"/>
    <w:rsid w:val="00A53EC6"/>
    <w:rsid w:val="00A55B12"/>
    <w:rsid w:val="00A55C0F"/>
    <w:rsid w:val="00A55C6C"/>
    <w:rsid w:val="00A602BD"/>
    <w:rsid w:val="00A65B04"/>
    <w:rsid w:val="00A75F80"/>
    <w:rsid w:val="00A768A3"/>
    <w:rsid w:val="00A8033F"/>
    <w:rsid w:val="00A86A3F"/>
    <w:rsid w:val="00A8713F"/>
    <w:rsid w:val="00A90BA1"/>
    <w:rsid w:val="00A9311A"/>
    <w:rsid w:val="00A97A9A"/>
    <w:rsid w:val="00AA0671"/>
    <w:rsid w:val="00AA09CA"/>
    <w:rsid w:val="00AA1371"/>
    <w:rsid w:val="00AA2531"/>
    <w:rsid w:val="00AA3DAB"/>
    <w:rsid w:val="00AA745A"/>
    <w:rsid w:val="00AB1E09"/>
    <w:rsid w:val="00AB5330"/>
    <w:rsid w:val="00AB69B0"/>
    <w:rsid w:val="00AB7747"/>
    <w:rsid w:val="00AB7B82"/>
    <w:rsid w:val="00AC055C"/>
    <w:rsid w:val="00AC0D19"/>
    <w:rsid w:val="00AC14CE"/>
    <w:rsid w:val="00AC2A56"/>
    <w:rsid w:val="00AC5B69"/>
    <w:rsid w:val="00AD055E"/>
    <w:rsid w:val="00AD47A7"/>
    <w:rsid w:val="00AD700E"/>
    <w:rsid w:val="00AE5EF5"/>
    <w:rsid w:val="00AE66BD"/>
    <w:rsid w:val="00AE6B99"/>
    <w:rsid w:val="00AE739E"/>
    <w:rsid w:val="00AF0CBF"/>
    <w:rsid w:val="00AF257F"/>
    <w:rsid w:val="00AF33CF"/>
    <w:rsid w:val="00AF375E"/>
    <w:rsid w:val="00AF4D50"/>
    <w:rsid w:val="00AF6179"/>
    <w:rsid w:val="00B00082"/>
    <w:rsid w:val="00B0046C"/>
    <w:rsid w:val="00B03C0E"/>
    <w:rsid w:val="00B0409C"/>
    <w:rsid w:val="00B1295A"/>
    <w:rsid w:val="00B20A45"/>
    <w:rsid w:val="00B22C5C"/>
    <w:rsid w:val="00B23AF5"/>
    <w:rsid w:val="00B24F30"/>
    <w:rsid w:val="00B24FCD"/>
    <w:rsid w:val="00B27838"/>
    <w:rsid w:val="00B30681"/>
    <w:rsid w:val="00B31ABF"/>
    <w:rsid w:val="00B33BE3"/>
    <w:rsid w:val="00B414F3"/>
    <w:rsid w:val="00B42D01"/>
    <w:rsid w:val="00B4583B"/>
    <w:rsid w:val="00B522C8"/>
    <w:rsid w:val="00B52C40"/>
    <w:rsid w:val="00B53B5D"/>
    <w:rsid w:val="00B57638"/>
    <w:rsid w:val="00B6055E"/>
    <w:rsid w:val="00B60A72"/>
    <w:rsid w:val="00B61F41"/>
    <w:rsid w:val="00B6317D"/>
    <w:rsid w:val="00B6577D"/>
    <w:rsid w:val="00B71601"/>
    <w:rsid w:val="00B76C4F"/>
    <w:rsid w:val="00B7723F"/>
    <w:rsid w:val="00B80534"/>
    <w:rsid w:val="00B8123B"/>
    <w:rsid w:val="00B8433C"/>
    <w:rsid w:val="00B87491"/>
    <w:rsid w:val="00B91DDA"/>
    <w:rsid w:val="00BA00B7"/>
    <w:rsid w:val="00BA14BD"/>
    <w:rsid w:val="00BA29E9"/>
    <w:rsid w:val="00BA359D"/>
    <w:rsid w:val="00BA5E64"/>
    <w:rsid w:val="00BA67F5"/>
    <w:rsid w:val="00BA68B1"/>
    <w:rsid w:val="00BA7142"/>
    <w:rsid w:val="00BB237C"/>
    <w:rsid w:val="00BB41A3"/>
    <w:rsid w:val="00BB426E"/>
    <w:rsid w:val="00BB5740"/>
    <w:rsid w:val="00BC087D"/>
    <w:rsid w:val="00BC0A02"/>
    <w:rsid w:val="00BC2418"/>
    <w:rsid w:val="00BC2D1A"/>
    <w:rsid w:val="00BC32DC"/>
    <w:rsid w:val="00BC35B6"/>
    <w:rsid w:val="00BC4820"/>
    <w:rsid w:val="00BD198D"/>
    <w:rsid w:val="00BD1B51"/>
    <w:rsid w:val="00BD2A91"/>
    <w:rsid w:val="00BD3989"/>
    <w:rsid w:val="00BD4596"/>
    <w:rsid w:val="00BD4FC3"/>
    <w:rsid w:val="00BD79CE"/>
    <w:rsid w:val="00BD7D6D"/>
    <w:rsid w:val="00BE0575"/>
    <w:rsid w:val="00BE1405"/>
    <w:rsid w:val="00BE312D"/>
    <w:rsid w:val="00BE527F"/>
    <w:rsid w:val="00BE67A0"/>
    <w:rsid w:val="00BF0F83"/>
    <w:rsid w:val="00BF1C20"/>
    <w:rsid w:val="00C003AD"/>
    <w:rsid w:val="00C0282B"/>
    <w:rsid w:val="00C06351"/>
    <w:rsid w:val="00C074C2"/>
    <w:rsid w:val="00C10578"/>
    <w:rsid w:val="00C1306C"/>
    <w:rsid w:val="00C135BC"/>
    <w:rsid w:val="00C15C95"/>
    <w:rsid w:val="00C2243E"/>
    <w:rsid w:val="00C2596A"/>
    <w:rsid w:val="00C2738E"/>
    <w:rsid w:val="00C27537"/>
    <w:rsid w:val="00C328FE"/>
    <w:rsid w:val="00C33507"/>
    <w:rsid w:val="00C348E3"/>
    <w:rsid w:val="00C40162"/>
    <w:rsid w:val="00C411E5"/>
    <w:rsid w:val="00C4409D"/>
    <w:rsid w:val="00C44569"/>
    <w:rsid w:val="00C44DFB"/>
    <w:rsid w:val="00C44E72"/>
    <w:rsid w:val="00C45A06"/>
    <w:rsid w:val="00C469E8"/>
    <w:rsid w:val="00C46A77"/>
    <w:rsid w:val="00C46C61"/>
    <w:rsid w:val="00C47E5B"/>
    <w:rsid w:val="00C554A3"/>
    <w:rsid w:val="00C61E4B"/>
    <w:rsid w:val="00C62BC8"/>
    <w:rsid w:val="00C63C19"/>
    <w:rsid w:val="00C64BFF"/>
    <w:rsid w:val="00C704E9"/>
    <w:rsid w:val="00C74FDE"/>
    <w:rsid w:val="00C75A35"/>
    <w:rsid w:val="00C763C9"/>
    <w:rsid w:val="00C80057"/>
    <w:rsid w:val="00C82232"/>
    <w:rsid w:val="00C82913"/>
    <w:rsid w:val="00C84299"/>
    <w:rsid w:val="00C84301"/>
    <w:rsid w:val="00C85F7B"/>
    <w:rsid w:val="00C86CCB"/>
    <w:rsid w:val="00C972B1"/>
    <w:rsid w:val="00CA2CCE"/>
    <w:rsid w:val="00CA2DA9"/>
    <w:rsid w:val="00CA43FD"/>
    <w:rsid w:val="00CA6FB4"/>
    <w:rsid w:val="00CA6FE7"/>
    <w:rsid w:val="00CA7EF8"/>
    <w:rsid w:val="00CB1372"/>
    <w:rsid w:val="00CC489B"/>
    <w:rsid w:val="00CC4F66"/>
    <w:rsid w:val="00CD11FD"/>
    <w:rsid w:val="00CD12F8"/>
    <w:rsid w:val="00CD1F18"/>
    <w:rsid w:val="00CD2BCD"/>
    <w:rsid w:val="00CD3A4C"/>
    <w:rsid w:val="00CD6D25"/>
    <w:rsid w:val="00CD6FD7"/>
    <w:rsid w:val="00CD797D"/>
    <w:rsid w:val="00CD7F14"/>
    <w:rsid w:val="00CE1003"/>
    <w:rsid w:val="00CE10E9"/>
    <w:rsid w:val="00CE2910"/>
    <w:rsid w:val="00CE3245"/>
    <w:rsid w:val="00CE34AD"/>
    <w:rsid w:val="00CE5128"/>
    <w:rsid w:val="00CE5393"/>
    <w:rsid w:val="00CE5FF8"/>
    <w:rsid w:val="00CF06EB"/>
    <w:rsid w:val="00CF08D0"/>
    <w:rsid w:val="00CF36BE"/>
    <w:rsid w:val="00CF5DA2"/>
    <w:rsid w:val="00CF6000"/>
    <w:rsid w:val="00CF6771"/>
    <w:rsid w:val="00D003F3"/>
    <w:rsid w:val="00D0364F"/>
    <w:rsid w:val="00D04EDC"/>
    <w:rsid w:val="00D06834"/>
    <w:rsid w:val="00D14596"/>
    <w:rsid w:val="00D242D8"/>
    <w:rsid w:val="00D27746"/>
    <w:rsid w:val="00D308ED"/>
    <w:rsid w:val="00D32A74"/>
    <w:rsid w:val="00D32FF2"/>
    <w:rsid w:val="00D344BF"/>
    <w:rsid w:val="00D347BC"/>
    <w:rsid w:val="00D35A21"/>
    <w:rsid w:val="00D36D86"/>
    <w:rsid w:val="00D40FC2"/>
    <w:rsid w:val="00D428AA"/>
    <w:rsid w:val="00D4374C"/>
    <w:rsid w:val="00D43CBA"/>
    <w:rsid w:val="00D47717"/>
    <w:rsid w:val="00D50A34"/>
    <w:rsid w:val="00D5116C"/>
    <w:rsid w:val="00D51B41"/>
    <w:rsid w:val="00D53316"/>
    <w:rsid w:val="00D5338A"/>
    <w:rsid w:val="00D53EFA"/>
    <w:rsid w:val="00D62BCE"/>
    <w:rsid w:val="00D63C15"/>
    <w:rsid w:val="00D66908"/>
    <w:rsid w:val="00D7304B"/>
    <w:rsid w:val="00D771E4"/>
    <w:rsid w:val="00D77329"/>
    <w:rsid w:val="00D83141"/>
    <w:rsid w:val="00D83232"/>
    <w:rsid w:val="00D8402D"/>
    <w:rsid w:val="00D8459D"/>
    <w:rsid w:val="00D91C96"/>
    <w:rsid w:val="00D92909"/>
    <w:rsid w:val="00D93EC8"/>
    <w:rsid w:val="00D94A7C"/>
    <w:rsid w:val="00D95896"/>
    <w:rsid w:val="00DA2DAB"/>
    <w:rsid w:val="00DA40A2"/>
    <w:rsid w:val="00DA6918"/>
    <w:rsid w:val="00DB0C5E"/>
    <w:rsid w:val="00DB2983"/>
    <w:rsid w:val="00DB7455"/>
    <w:rsid w:val="00DB76F5"/>
    <w:rsid w:val="00DC1257"/>
    <w:rsid w:val="00DC17EE"/>
    <w:rsid w:val="00DC3DC0"/>
    <w:rsid w:val="00DC3DE2"/>
    <w:rsid w:val="00DC4734"/>
    <w:rsid w:val="00DC4A87"/>
    <w:rsid w:val="00DC4B37"/>
    <w:rsid w:val="00DC5B2B"/>
    <w:rsid w:val="00DC65BD"/>
    <w:rsid w:val="00DD318D"/>
    <w:rsid w:val="00DD441F"/>
    <w:rsid w:val="00DE2AD1"/>
    <w:rsid w:val="00DE2B7D"/>
    <w:rsid w:val="00DF2E12"/>
    <w:rsid w:val="00DF514A"/>
    <w:rsid w:val="00DF6690"/>
    <w:rsid w:val="00DF6804"/>
    <w:rsid w:val="00E005E0"/>
    <w:rsid w:val="00E0358D"/>
    <w:rsid w:val="00E04323"/>
    <w:rsid w:val="00E070A2"/>
    <w:rsid w:val="00E20A6C"/>
    <w:rsid w:val="00E23A28"/>
    <w:rsid w:val="00E2596E"/>
    <w:rsid w:val="00E2656A"/>
    <w:rsid w:val="00E33E0D"/>
    <w:rsid w:val="00E4044A"/>
    <w:rsid w:val="00E40B76"/>
    <w:rsid w:val="00E410D5"/>
    <w:rsid w:val="00E412D0"/>
    <w:rsid w:val="00E55123"/>
    <w:rsid w:val="00E56322"/>
    <w:rsid w:val="00E57D38"/>
    <w:rsid w:val="00E60982"/>
    <w:rsid w:val="00E62BDF"/>
    <w:rsid w:val="00E62C62"/>
    <w:rsid w:val="00E6477E"/>
    <w:rsid w:val="00E654C1"/>
    <w:rsid w:val="00E65D97"/>
    <w:rsid w:val="00E65E47"/>
    <w:rsid w:val="00E72A5A"/>
    <w:rsid w:val="00E73354"/>
    <w:rsid w:val="00E77F0F"/>
    <w:rsid w:val="00E837FC"/>
    <w:rsid w:val="00E85672"/>
    <w:rsid w:val="00E86D6E"/>
    <w:rsid w:val="00E8789D"/>
    <w:rsid w:val="00E9242D"/>
    <w:rsid w:val="00E96644"/>
    <w:rsid w:val="00EA3019"/>
    <w:rsid w:val="00EA40F5"/>
    <w:rsid w:val="00EA4329"/>
    <w:rsid w:val="00EA4879"/>
    <w:rsid w:val="00EA5349"/>
    <w:rsid w:val="00EB1E4C"/>
    <w:rsid w:val="00EB5255"/>
    <w:rsid w:val="00EB5C47"/>
    <w:rsid w:val="00EC1FC2"/>
    <w:rsid w:val="00EC30D6"/>
    <w:rsid w:val="00EC5B60"/>
    <w:rsid w:val="00EC6618"/>
    <w:rsid w:val="00ED01F9"/>
    <w:rsid w:val="00ED0639"/>
    <w:rsid w:val="00ED0845"/>
    <w:rsid w:val="00ED1471"/>
    <w:rsid w:val="00ED3774"/>
    <w:rsid w:val="00ED607D"/>
    <w:rsid w:val="00ED7B44"/>
    <w:rsid w:val="00ED7C15"/>
    <w:rsid w:val="00EE2517"/>
    <w:rsid w:val="00EE2F62"/>
    <w:rsid w:val="00EE4F43"/>
    <w:rsid w:val="00EF2520"/>
    <w:rsid w:val="00EF4755"/>
    <w:rsid w:val="00EF569B"/>
    <w:rsid w:val="00EF6339"/>
    <w:rsid w:val="00EF7135"/>
    <w:rsid w:val="00F027DB"/>
    <w:rsid w:val="00F07875"/>
    <w:rsid w:val="00F07E08"/>
    <w:rsid w:val="00F14A7A"/>
    <w:rsid w:val="00F1709B"/>
    <w:rsid w:val="00F22985"/>
    <w:rsid w:val="00F27025"/>
    <w:rsid w:val="00F3383E"/>
    <w:rsid w:val="00F364B8"/>
    <w:rsid w:val="00F36661"/>
    <w:rsid w:val="00F368B9"/>
    <w:rsid w:val="00F40763"/>
    <w:rsid w:val="00F41300"/>
    <w:rsid w:val="00F41910"/>
    <w:rsid w:val="00F465A7"/>
    <w:rsid w:val="00F46933"/>
    <w:rsid w:val="00F50B7C"/>
    <w:rsid w:val="00F547A5"/>
    <w:rsid w:val="00F550E6"/>
    <w:rsid w:val="00F64AA5"/>
    <w:rsid w:val="00F65662"/>
    <w:rsid w:val="00F74345"/>
    <w:rsid w:val="00F77205"/>
    <w:rsid w:val="00F778DB"/>
    <w:rsid w:val="00F80A0A"/>
    <w:rsid w:val="00F80EA1"/>
    <w:rsid w:val="00F810CF"/>
    <w:rsid w:val="00F81639"/>
    <w:rsid w:val="00F82B19"/>
    <w:rsid w:val="00F84114"/>
    <w:rsid w:val="00F8482F"/>
    <w:rsid w:val="00F87E59"/>
    <w:rsid w:val="00F9212D"/>
    <w:rsid w:val="00F965DA"/>
    <w:rsid w:val="00FA09F3"/>
    <w:rsid w:val="00FA406A"/>
    <w:rsid w:val="00FA57FB"/>
    <w:rsid w:val="00FA7DD6"/>
    <w:rsid w:val="00FA7E49"/>
    <w:rsid w:val="00FB1642"/>
    <w:rsid w:val="00FB299E"/>
    <w:rsid w:val="00FB4E2D"/>
    <w:rsid w:val="00FB503A"/>
    <w:rsid w:val="00FB516C"/>
    <w:rsid w:val="00FB65FF"/>
    <w:rsid w:val="00FC0F56"/>
    <w:rsid w:val="00FC16D8"/>
    <w:rsid w:val="00FC2602"/>
    <w:rsid w:val="00FD0236"/>
    <w:rsid w:val="00FD18F4"/>
    <w:rsid w:val="00FD54DB"/>
    <w:rsid w:val="00FD5D5B"/>
    <w:rsid w:val="00FD619F"/>
    <w:rsid w:val="00FE40F9"/>
    <w:rsid w:val="00FE7496"/>
    <w:rsid w:val="00FE792A"/>
    <w:rsid w:val="00FF2101"/>
    <w:rsid w:val="00FF2459"/>
    <w:rsid w:val="00FF52B1"/>
    <w:rsid w:val="01290F7E"/>
    <w:rsid w:val="012A3A24"/>
    <w:rsid w:val="012C3F39"/>
    <w:rsid w:val="014C1553"/>
    <w:rsid w:val="015D1E09"/>
    <w:rsid w:val="017343FE"/>
    <w:rsid w:val="017F4072"/>
    <w:rsid w:val="01807705"/>
    <w:rsid w:val="01A455D3"/>
    <w:rsid w:val="01B56A31"/>
    <w:rsid w:val="01C23643"/>
    <w:rsid w:val="01E64855"/>
    <w:rsid w:val="021358C1"/>
    <w:rsid w:val="021C6552"/>
    <w:rsid w:val="02333C86"/>
    <w:rsid w:val="02697903"/>
    <w:rsid w:val="0270686F"/>
    <w:rsid w:val="027A4C1E"/>
    <w:rsid w:val="029F4914"/>
    <w:rsid w:val="02A4476B"/>
    <w:rsid w:val="02AF715A"/>
    <w:rsid w:val="02F96569"/>
    <w:rsid w:val="03091921"/>
    <w:rsid w:val="030B199A"/>
    <w:rsid w:val="03247464"/>
    <w:rsid w:val="037538FB"/>
    <w:rsid w:val="03AC29E3"/>
    <w:rsid w:val="03B90DC6"/>
    <w:rsid w:val="03C70711"/>
    <w:rsid w:val="03CA4F34"/>
    <w:rsid w:val="03D8291E"/>
    <w:rsid w:val="03EA7B21"/>
    <w:rsid w:val="03F47AE6"/>
    <w:rsid w:val="03FB072D"/>
    <w:rsid w:val="03FD15F2"/>
    <w:rsid w:val="041759F4"/>
    <w:rsid w:val="043438CC"/>
    <w:rsid w:val="04581CB1"/>
    <w:rsid w:val="047F0FEB"/>
    <w:rsid w:val="049D23FA"/>
    <w:rsid w:val="049F343C"/>
    <w:rsid w:val="04F67E1A"/>
    <w:rsid w:val="0504248A"/>
    <w:rsid w:val="05044D9E"/>
    <w:rsid w:val="050D65F7"/>
    <w:rsid w:val="051D3204"/>
    <w:rsid w:val="051F7740"/>
    <w:rsid w:val="05405741"/>
    <w:rsid w:val="054445C2"/>
    <w:rsid w:val="054C4809"/>
    <w:rsid w:val="05590693"/>
    <w:rsid w:val="055C2189"/>
    <w:rsid w:val="056C5A14"/>
    <w:rsid w:val="057758A8"/>
    <w:rsid w:val="059D5CB1"/>
    <w:rsid w:val="05B65FF0"/>
    <w:rsid w:val="05D84857"/>
    <w:rsid w:val="05E2613F"/>
    <w:rsid w:val="05F83EAE"/>
    <w:rsid w:val="06334845"/>
    <w:rsid w:val="063351E1"/>
    <w:rsid w:val="063E7D85"/>
    <w:rsid w:val="06457C0B"/>
    <w:rsid w:val="06585338"/>
    <w:rsid w:val="06612986"/>
    <w:rsid w:val="066E7451"/>
    <w:rsid w:val="06760283"/>
    <w:rsid w:val="069A7E4C"/>
    <w:rsid w:val="06A3134D"/>
    <w:rsid w:val="06D71136"/>
    <w:rsid w:val="06F82858"/>
    <w:rsid w:val="06FB0143"/>
    <w:rsid w:val="07046D5D"/>
    <w:rsid w:val="071B55A0"/>
    <w:rsid w:val="07293586"/>
    <w:rsid w:val="07295285"/>
    <w:rsid w:val="073D7247"/>
    <w:rsid w:val="07567C8B"/>
    <w:rsid w:val="07636392"/>
    <w:rsid w:val="07770C56"/>
    <w:rsid w:val="077A5587"/>
    <w:rsid w:val="07863AB3"/>
    <w:rsid w:val="079F6EA3"/>
    <w:rsid w:val="07B62F76"/>
    <w:rsid w:val="07D653C6"/>
    <w:rsid w:val="07E72274"/>
    <w:rsid w:val="07FC0BA5"/>
    <w:rsid w:val="07FE2B6F"/>
    <w:rsid w:val="082021FB"/>
    <w:rsid w:val="08327D56"/>
    <w:rsid w:val="086C1058"/>
    <w:rsid w:val="087A4A9E"/>
    <w:rsid w:val="087D7E19"/>
    <w:rsid w:val="08844497"/>
    <w:rsid w:val="088E7D3D"/>
    <w:rsid w:val="089824EA"/>
    <w:rsid w:val="08A94889"/>
    <w:rsid w:val="08B313AF"/>
    <w:rsid w:val="08B639B0"/>
    <w:rsid w:val="08C10040"/>
    <w:rsid w:val="08C47915"/>
    <w:rsid w:val="092217DD"/>
    <w:rsid w:val="092F7F7E"/>
    <w:rsid w:val="0935150D"/>
    <w:rsid w:val="09384CE0"/>
    <w:rsid w:val="093A7294"/>
    <w:rsid w:val="093E162E"/>
    <w:rsid w:val="095011A8"/>
    <w:rsid w:val="095F6061"/>
    <w:rsid w:val="09715245"/>
    <w:rsid w:val="09781F36"/>
    <w:rsid w:val="09A02DAD"/>
    <w:rsid w:val="09A3752A"/>
    <w:rsid w:val="09AB6350"/>
    <w:rsid w:val="09C85445"/>
    <w:rsid w:val="09CA0F5B"/>
    <w:rsid w:val="09CB12D0"/>
    <w:rsid w:val="09DF726C"/>
    <w:rsid w:val="09E366F4"/>
    <w:rsid w:val="09F60ABC"/>
    <w:rsid w:val="0A033BBB"/>
    <w:rsid w:val="0A1026E6"/>
    <w:rsid w:val="0A263993"/>
    <w:rsid w:val="0A2D3AC2"/>
    <w:rsid w:val="0A456E91"/>
    <w:rsid w:val="0A510A5E"/>
    <w:rsid w:val="0A5D3612"/>
    <w:rsid w:val="0A650C83"/>
    <w:rsid w:val="0A8C3F82"/>
    <w:rsid w:val="0A8D45C8"/>
    <w:rsid w:val="0A9F09AD"/>
    <w:rsid w:val="0AA755DF"/>
    <w:rsid w:val="0AB72AE6"/>
    <w:rsid w:val="0AB9270E"/>
    <w:rsid w:val="0AC05D4F"/>
    <w:rsid w:val="0ACA6512"/>
    <w:rsid w:val="0AD42FB4"/>
    <w:rsid w:val="0AD71674"/>
    <w:rsid w:val="0ADE50EA"/>
    <w:rsid w:val="0ADF3EB3"/>
    <w:rsid w:val="0AE61DC4"/>
    <w:rsid w:val="0B02391A"/>
    <w:rsid w:val="0B087D63"/>
    <w:rsid w:val="0B120D44"/>
    <w:rsid w:val="0B1F0FC2"/>
    <w:rsid w:val="0B3C6330"/>
    <w:rsid w:val="0B427C0C"/>
    <w:rsid w:val="0B4906CC"/>
    <w:rsid w:val="0B81389B"/>
    <w:rsid w:val="0B8922F5"/>
    <w:rsid w:val="0B896BF3"/>
    <w:rsid w:val="0B9D2337"/>
    <w:rsid w:val="0BBA0F6B"/>
    <w:rsid w:val="0BBA37A4"/>
    <w:rsid w:val="0BCB2D68"/>
    <w:rsid w:val="0BD27BF6"/>
    <w:rsid w:val="0BE15BE0"/>
    <w:rsid w:val="0BE20DB9"/>
    <w:rsid w:val="0BE57C1E"/>
    <w:rsid w:val="0BE8099C"/>
    <w:rsid w:val="0BE8391A"/>
    <w:rsid w:val="0C011543"/>
    <w:rsid w:val="0C062220"/>
    <w:rsid w:val="0C2C6E4C"/>
    <w:rsid w:val="0C2E746F"/>
    <w:rsid w:val="0C3B3C7D"/>
    <w:rsid w:val="0C3E353A"/>
    <w:rsid w:val="0C421F71"/>
    <w:rsid w:val="0C451B48"/>
    <w:rsid w:val="0C472E34"/>
    <w:rsid w:val="0C637E3B"/>
    <w:rsid w:val="0C76701F"/>
    <w:rsid w:val="0C7D0506"/>
    <w:rsid w:val="0C9C3EED"/>
    <w:rsid w:val="0C9E7A65"/>
    <w:rsid w:val="0CA228D6"/>
    <w:rsid w:val="0CAB2EAE"/>
    <w:rsid w:val="0CC73443"/>
    <w:rsid w:val="0CE23185"/>
    <w:rsid w:val="0CE31AF2"/>
    <w:rsid w:val="0CE82AC1"/>
    <w:rsid w:val="0CF92285"/>
    <w:rsid w:val="0D0227BA"/>
    <w:rsid w:val="0D106C4B"/>
    <w:rsid w:val="0D31309F"/>
    <w:rsid w:val="0D3F3251"/>
    <w:rsid w:val="0D4A3B40"/>
    <w:rsid w:val="0D621C7D"/>
    <w:rsid w:val="0D6842AC"/>
    <w:rsid w:val="0D727D88"/>
    <w:rsid w:val="0D783C19"/>
    <w:rsid w:val="0D955AC7"/>
    <w:rsid w:val="0DB312C2"/>
    <w:rsid w:val="0DB85EC5"/>
    <w:rsid w:val="0DC3059F"/>
    <w:rsid w:val="0DDD3B1A"/>
    <w:rsid w:val="0DF04D08"/>
    <w:rsid w:val="0E151265"/>
    <w:rsid w:val="0E16227B"/>
    <w:rsid w:val="0E275797"/>
    <w:rsid w:val="0E2D0504"/>
    <w:rsid w:val="0E360AD7"/>
    <w:rsid w:val="0E5034D9"/>
    <w:rsid w:val="0E5C30B0"/>
    <w:rsid w:val="0E6059EA"/>
    <w:rsid w:val="0E73034D"/>
    <w:rsid w:val="0E780FD3"/>
    <w:rsid w:val="0E7C1DD4"/>
    <w:rsid w:val="0EB75826"/>
    <w:rsid w:val="0EBF6A92"/>
    <w:rsid w:val="0ECA5736"/>
    <w:rsid w:val="0ECE11DD"/>
    <w:rsid w:val="0EE567A2"/>
    <w:rsid w:val="0EF1511D"/>
    <w:rsid w:val="0F094C4E"/>
    <w:rsid w:val="0F0D0C71"/>
    <w:rsid w:val="0F114A82"/>
    <w:rsid w:val="0F1322B7"/>
    <w:rsid w:val="0F13775A"/>
    <w:rsid w:val="0F1E557C"/>
    <w:rsid w:val="0F4B066E"/>
    <w:rsid w:val="0F545EB3"/>
    <w:rsid w:val="0F5A50BB"/>
    <w:rsid w:val="0F5F45FE"/>
    <w:rsid w:val="0F6038E0"/>
    <w:rsid w:val="0F711E78"/>
    <w:rsid w:val="0F7326CF"/>
    <w:rsid w:val="0F9A112B"/>
    <w:rsid w:val="0FA0275E"/>
    <w:rsid w:val="0FA52567"/>
    <w:rsid w:val="0FB81855"/>
    <w:rsid w:val="0FBE0E6B"/>
    <w:rsid w:val="0FD85EE4"/>
    <w:rsid w:val="0FFC5BE6"/>
    <w:rsid w:val="100770DE"/>
    <w:rsid w:val="10242FE9"/>
    <w:rsid w:val="1030200B"/>
    <w:rsid w:val="105A42D3"/>
    <w:rsid w:val="106106CB"/>
    <w:rsid w:val="106D2F64"/>
    <w:rsid w:val="10751D83"/>
    <w:rsid w:val="107E3917"/>
    <w:rsid w:val="108D0FB4"/>
    <w:rsid w:val="10981A67"/>
    <w:rsid w:val="10A36062"/>
    <w:rsid w:val="10B63710"/>
    <w:rsid w:val="10C00B1B"/>
    <w:rsid w:val="10C34956"/>
    <w:rsid w:val="10C97A7B"/>
    <w:rsid w:val="10F10820"/>
    <w:rsid w:val="10F60887"/>
    <w:rsid w:val="110E3A9D"/>
    <w:rsid w:val="111A3B04"/>
    <w:rsid w:val="111C2F7A"/>
    <w:rsid w:val="11307580"/>
    <w:rsid w:val="1131366D"/>
    <w:rsid w:val="11322D34"/>
    <w:rsid w:val="11405FA6"/>
    <w:rsid w:val="114209D6"/>
    <w:rsid w:val="1143100A"/>
    <w:rsid w:val="11452F8B"/>
    <w:rsid w:val="1145564C"/>
    <w:rsid w:val="115864E0"/>
    <w:rsid w:val="115B179A"/>
    <w:rsid w:val="115C5091"/>
    <w:rsid w:val="115D60D6"/>
    <w:rsid w:val="11665CA1"/>
    <w:rsid w:val="11780820"/>
    <w:rsid w:val="11883E53"/>
    <w:rsid w:val="11A41235"/>
    <w:rsid w:val="11B072F2"/>
    <w:rsid w:val="11E44B84"/>
    <w:rsid w:val="11E67536"/>
    <w:rsid w:val="11E9219A"/>
    <w:rsid w:val="12083B55"/>
    <w:rsid w:val="12093DB0"/>
    <w:rsid w:val="123642D2"/>
    <w:rsid w:val="12831C96"/>
    <w:rsid w:val="1284666A"/>
    <w:rsid w:val="1288550F"/>
    <w:rsid w:val="128911C6"/>
    <w:rsid w:val="128F5A7A"/>
    <w:rsid w:val="12942106"/>
    <w:rsid w:val="12971A5F"/>
    <w:rsid w:val="12B34E1A"/>
    <w:rsid w:val="12C37784"/>
    <w:rsid w:val="12CE3BF8"/>
    <w:rsid w:val="12CF4BAC"/>
    <w:rsid w:val="12D030A7"/>
    <w:rsid w:val="130D0ECD"/>
    <w:rsid w:val="131C13C7"/>
    <w:rsid w:val="132B413A"/>
    <w:rsid w:val="133B4CAF"/>
    <w:rsid w:val="135B05AC"/>
    <w:rsid w:val="135B70C7"/>
    <w:rsid w:val="1371517B"/>
    <w:rsid w:val="13843362"/>
    <w:rsid w:val="13881D4C"/>
    <w:rsid w:val="13951726"/>
    <w:rsid w:val="13A4001D"/>
    <w:rsid w:val="13B14FEB"/>
    <w:rsid w:val="13BD35E6"/>
    <w:rsid w:val="13D5487D"/>
    <w:rsid w:val="13DD2C13"/>
    <w:rsid w:val="13F85A1F"/>
    <w:rsid w:val="13FC4407"/>
    <w:rsid w:val="13FF3A16"/>
    <w:rsid w:val="14100FAF"/>
    <w:rsid w:val="14396509"/>
    <w:rsid w:val="143E52C6"/>
    <w:rsid w:val="14523203"/>
    <w:rsid w:val="14570B1E"/>
    <w:rsid w:val="145F3718"/>
    <w:rsid w:val="146E0DBE"/>
    <w:rsid w:val="146E5FD7"/>
    <w:rsid w:val="14880F2A"/>
    <w:rsid w:val="14AD0A80"/>
    <w:rsid w:val="14AF540F"/>
    <w:rsid w:val="14B32ABE"/>
    <w:rsid w:val="14B37DDC"/>
    <w:rsid w:val="14DD2C3C"/>
    <w:rsid w:val="14DE3AFB"/>
    <w:rsid w:val="152E43A1"/>
    <w:rsid w:val="15303384"/>
    <w:rsid w:val="1538745D"/>
    <w:rsid w:val="153D2B78"/>
    <w:rsid w:val="154E264E"/>
    <w:rsid w:val="15526D76"/>
    <w:rsid w:val="15597637"/>
    <w:rsid w:val="1562771C"/>
    <w:rsid w:val="15823581"/>
    <w:rsid w:val="15965838"/>
    <w:rsid w:val="15C44EEF"/>
    <w:rsid w:val="15C745A0"/>
    <w:rsid w:val="15E46F00"/>
    <w:rsid w:val="15E617BC"/>
    <w:rsid w:val="1604306F"/>
    <w:rsid w:val="16087E1D"/>
    <w:rsid w:val="160C46A9"/>
    <w:rsid w:val="16677B31"/>
    <w:rsid w:val="167015A7"/>
    <w:rsid w:val="16702183"/>
    <w:rsid w:val="16737ED1"/>
    <w:rsid w:val="16797F90"/>
    <w:rsid w:val="168C2A39"/>
    <w:rsid w:val="16944C75"/>
    <w:rsid w:val="169C247B"/>
    <w:rsid w:val="16AE5760"/>
    <w:rsid w:val="16AF3AFF"/>
    <w:rsid w:val="16BB7795"/>
    <w:rsid w:val="16F917D0"/>
    <w:rsid w:val="17092175"/>
    <w:rsid w:val="171D727E"/>
    <w:rsid w:val="174340FA"/>
    <w:rsid w:val="17487940"/>
    <w:rsid w:val="176715BA"/>
    <w:rsid w:val="176D5FFC"/>
    <w:rsid w:val="176E7D2F"/>
    <w:rsid w:val="17701D14"/>
    <w:rsid w:val="17735226"/>
    <w:rsid w:val="17921066"/>
    <w:rsid w:val="179F15B5"/>
    <w:rsid w:val="17BF7040"/>
    <w:rsid w:val="17D13644"/>
    <w:rsid w:val="17E858A7"/>
    <w:rsid w:val="17EA34DE"/>
    <w:rsid w:val="17EE22B8"/>
    <w:rsid w:val="18092470"/>
    <w:rsid w:val="180C6E5D"/>
    <w:rsid w:val="181673C6"/>
    <w:rsid w:val="182C1032"/>
    <w:rsid w:val="183D4FEE"/>
    <w:rsid w:val="187A0FA9"/>
    <w:rsid w:val="188B24C3"/>
    <w:rsid w:val="188F573E"/>
    <w:rsid w:val="189F624C"/>
    <w:rsid w:val="18AC0290"/>
    <w:rsid w:val="18AD237E"/>
    <w:rsid w:val="18C375EA"/>
    <w:rsid w:val="18C52297"/>
    <w:rsid w:val="18D84051"/>
    <w:rsid w:val="192F6BB4"/>
    <w:rsid w:val="194556FE"/>
    <w:rsid w:val="19516FA3"/>
    <w:rsid w:val="195B18C0"/>
    <w:rsid w:val="19604E24"/>
    <w:rsid w:val="19616ABA"/>
    <w:rsid w:val="1977008B"/>
    <w:rsid w:val="19894668"/>
    <w:rsid w:val="19966612"/>
    <w:rsid w:val="19DB2D10"/>
    <w:rsid w:val="19ED60A7"/>
    <w:rsid w:val="19F618F8"/>
    <w:rsid w:val="19F619B6"/>
    <w:rsid w:val="19FE50BD"/>
    <w:rsid w:val="1A0C2EC9"/>
    <w:rsid w:val="1A1C66C0"/>
    <w:rsid w:val="1A1D6BD3"/>
    <w:rsid w:val="1A3D13B7"/>
    <w:rsid w:val="1A42393B"/>
    <w:rsid w:val="1A4A636B"/>
    <w:rsid w:val="1A5140A5"/>
    <w:rsid w:val="1A5159F5"/>
    <w:rsid w:val="1A555BE5"/>
    <w:rsid w:val="1A56543D"/>
    <w:rsid w:val="1A7C6A88"/>
    <w:rsid w:val="1A807477"/>
    <w:rsid w:val="1A850185"/>
    <w:rsid w:val="1A8962C8"/>
    <w:rsid w:val="1A8B75D0"/>
    <w:rsid w:val="1A950399"/>
    <w:rsid w:val="1A952EBF"/>
    <w:rsid w:val="1A96448F"/>
    <w:rsid w:val="1AA160A8"/>
    <w:rsid w:val="1AAD45DE"/>
    <w:rsid w:val="1AB21997"/>
    <w:rsid w:val="1B010554"/>
    <w:rsid w:val="1B046F80"/>
    <w:rsid w:val="1B047DDA"/>
    <w:rsid w:val="1B285AE1"/>
    <w:rsid w:val="1B3267B5"/>
    <w:rsid w:val="1B32684A"/>
    <w:rsid w:val="1B40161D"/>
    <w:rsid w:val="1B441859"/>
    <w:rsid w:val="1B4712B4"/>
    <w:rsid w:val="1B4F41C2"/>
    <w:rsid w:val="1B566EC4"/>
    <w:rsid w:val="1B610FF3"/>
    <w:rsid w:val="1B620465"/>
    <w:rsid w:val="1B6606B1"/>
    <w:rsid w:val="1B666D00"/>
    <w:rsid w:val="1B682381"/>
    <w:rsid w:val="1B79347E"/>
    <w:rsid w:val="1B7C26DE"/>
    <w:rsid w:val="1B915DEE"/>
    <w:rsid w:val="1B976E23"/>
    <w:rsid w:val="1BA44110"/>
    <w:rsid w:val="1BB51091"/>
    <w:rsid w:val="1BB9498B"/>
    <w:rsid w:val="1BBE730D"/>
    <w:rsid w:val="1BD01CD5"/>
    <w:rsid w:val="1BE0460E"/>
    <w:rsid w:val="1BE90A4E"/>
    <w:rsid w:val="1C061BF2"/>
    <w:rsid w:val="1C200B97"/>
    <w:rsid w:val="1C2D7541"/>
    <w:rsid w:val="1C3919B9"/>
    <w:rsid w:val="1C452B8A"/>
    <w:rsid w:val="1C597E06"/>
    <w:rsid w:val="1C5E7925"/>
    <w:rsid w:val="1C69221E"/>
    <w:rsid w:val="1C79218F"/>
    <w:rsid w:val="1CA93793"/>
    <w:rsid w:val="1CAA3340"/>
    <w:rsid w:val="1CBE0ED0"/>
    <w:rsid w:val="1CC6466D"/>
    <w:rsid w:val="1CD9396A"/>
    <w:rsid w:val="1CE56A70"/>
    <w:rsid w:val="1CE77ABE"/>
    <w:rsid w:val="1CEB02ED"/>
    <w:rsid w:val="1CEC0D90"/>
    <w:rsid w:val="1CFD070F"/>
    <w:rsid w:val="1D0F1F99"/>
    <w:rsid w:val="1D16101A"/>
    <w:rsid w:val="1D161263"/>
    <w:rsid w:val="1D48246B"/>
    <w:rsid w:val="1D4B3D09"/>
    <w:rsid w:val="1D563CC1"/>
    <w:rsid w:val="1D5A1466"/>
    <w:rsid w:val="1D5F6196"/>
    <w:rsid w:val="1D6132A5"/>
    <w:rsid w:val="1D625152"/>
    <w:rsid w:val="1D7C2114"/>
    <w:rsid w:val="1D8D2573"/>
    <w:rsid w:val="1D8E56D5"/>
    <w:rsid w:val="1DB751D6"/>
    <w:rsid w:val="1DC53ABB"/>
    <w:rsid w:val="1DC65DCF"/>
    <w:rsid w:val="1DFF3C5F"/>
    <w:rsid w:val="1E0A22AE"/>
    <w:rsid w:val="1E1C5AB3"/>
    <w:rsid w:val="1E1C7453"/>
    <w:rsid w:val="1E323BD8"/>
    <w:rsid w:val="1E33193D"/>
    <w:rsid w:val="1E372021"/>
    <w:rsid w:val="1E474D49"/>
    <w:rsid w:val="1E5045F1"/>
    <w:rsid w:val="1E57048B"/>
    <w:rsid w:val="1E5B7F7C"/>
    <w:rsid w:val="1E6525E2"/>
    <w:rsid w:val="1E660498"/>
    <w:rsid w:val="1E6E2C69"/>
    <w:rsid w:val="1E7A43DA"/>
    <w:rsid w:val="1E834DB7"/>
    <w:rsid w:val="1E855059"/>
    <w:rsid w:val="1E8A424F"/>
    <w:rsid w:val="1E9224ED"/>
    <w:rsid w:val="1EA7346A"/>
    <w:rsid w:val="1EB011F4"/>
    <w:rsid w:val="1EC42DAB"/>
    <w:rsid w:val="1EC975DB"/>
    <w:rsid w:val="1ECF17CC"/>
    <w:rsid w:val="1F154E4C"/>
    <w:rsid w:val="1F2831B5"/>
    <w:rsid w:val="1F3735EF"/>
    <w:rsid w:val="1F5D53A5"/>
    <w:rsid w:val="1F63358C"/>
    <w:rsid w:val="1F636EEF"/>
    <w:rsid w:val="1F7D096C"/>
    <w:rsid w:val="1F8902AE"/>
    <w:rsid w:val="1F9A3D66"/>
    <w:rsid w:val="1FA871F0"/>
    <w:rsid w:val="1FAA498A"/>
    <w:rsid w:val="1FBD0D83"/>
    <w:rsid w:val="1FBE2C9F"/>
    <w:rsid w:val="1FC750D4"/>
    <w:rsid w:val="1FC80C7C"/>
    <w:rsid w:val="1FCC21B2"/>
    <w:rsid w:val="1FDA4D78"/>
    <w:rsid w:val="1FE13474"/>
    <w:rsid w:val="1FE52C0A"/>
    <w:rsid w:val="1FE7539E"/>
    <w:rsid w:val="1FF77327"/>
    <w:rsid w:val="200A5577"/>
    <w:rsid w:val="201605FE"/>
    <w:rsid w:val="20160645"/>
    <w:rsid w:val="203E2EC6"/>
    <w:rsid w:val="204A64FA"/>
    <w:rsid w:val="20623752"/>
    <w:rsid w:val="20671BE0"/>
    <w:rsid w:val="207C6CAC"/>
    <w:rsid w:val="208328D1"/>
    <w:rsid w:val="20855CFF"/>
    <w:rsid w:val="20931C4F"/>
    <w:rsid w:val="20963CB8"/>
    <w:rsid w:val="209C2479"/>
    <w:rsid w:val="20A81A1B"/>
    <w:rsid w:val="20B07FB6"/>
    <w:rsid w:val="20B646FB"/>
    <w:rsid w:val="20F8473F"/>
    <w:rsid w:val="20FC5590"/>
    <w:rsid w:val="2100305C"/>
    <w:rsid w:val="210743EB"/>
    <w:rsid w:val="210B11C0"/>
    <w:rsid w:val="210E7527"/>
    <w:rsid w:val="211A7CF3"/>
    <w:rsid w:val="213B74B1"/>
    <w:rsid w:val="21480913"/>
    <w:rsid w:val="214D451A"/>
    <w:rsid w:val="215A2310"/>
    <w:rsid w:val="2167743C"/>
    <w:rsid w:val="217A696B"/>
    <w:rsid w:val="219529E3"/>
    <w:rsid w:val="21997E9A"/>
    <w:rsid w:val="21AC36C0"/>
    <w:rsid w:val="21B05AF2"/>
    <w:rsid w:val="21C00AE6"/>
    <w:rsid w:val="21D7279D"/>
    <w:rsid w:val="21DB3B6D"/>
    <w:rsid w:val="21DC3A48"/>
    <w:rsid w:val="21DE318A"/>
    <w:rsid w:val="21E765B4"/>
    <w:rsid w:val="21EF5B80"/>
    <w:rsid w:val="22032E04"/>
    <w:rsid w:val="22075B60"/>
    <w:rsid w:val="22116A1C"/>
    <w:rsid w:val="2219004E"/>
    <w:rsid w:val="221C7370"/>
    <w:rsid w:val="223A2209"/>
    <w:rsid w:val="2245341D"/>
    <w:rsid w:val="22576990"/>
    <w:rsid w:val="226052EB"/>
    <w:rsid w:val="227E67C7"/>
    <w:rsid w:val="22880490"/>
    <w:rsid w:val="229E006F"/>
    <w:rsid w:val="229E77A8"/>
    <w:rsid w:val="22B31486"/>
    <w:rsid w:val="22BE4F7D"/>
    <w:rsid w:val="22C024B9"/>
    <w:rsid w:val="22C375D7"/>
    <w:rsid w:val="22F028ED"/>
    <w:rsid w:val="22F335A8"/>
    <w:rsid w:val="22F47480"/>
    <w:rsid w:val="22F64DD9"/>
    <w:rsid w:val="22F73859"/>
    <w:rsid w:val="231E70B3"/>
    <w:rsid w:val="23425BAE"/>
    <w:rsid w:val="235E45D7"/>
    <w:rsid w:val="2369138D"/>
    <w:rsid w:val="23780907"/>
    <w:rsid w:val="237C4EF2"/>
    <w:rsid w:val="23A727D8"/>
    <w:rsid w:val="23D32707"/>
    <w:rsid w:val="23DE1C48"/>
    <w:rsid w:val="23E3540A"/>
    <w:rsid w:val="23E67E18"/>
    <w:rsid w:val="23E71335"/>
    <w:rsid w:val="23F15230"/>
    <w:rsid w:val="23FC763B"/>
    <w:rsid w:val="240210CD"/>
    <w:rsid w:val="24183C32"/>
    <w:rsid w:val="242E1547"/>
    <w:rsid w:val="243E54C7"/>
    <w:rsid w:val="244337D9"/>
    <w:rsid w:val="245C5352"/>
    <w:rsid w:val="24657AFD"/>
    <w:rsid w:val="246A1C0D"/>
    <w:rsid w:val="24701494"/>
    <w:rsid w:val="24802B27"/>
    <w:rsid w:val="24AA3D01"/>
    <w:rsid w:val="24AA57B9"/>
    <w:rsid w:val="24BF09F7"/>
    <w:rsid w:val="24C207AE"/>
    <w:rsid w:val="24D62C63"/>
    <w:rsid w:val="24D942F0"/>
    <w:rsid w:val="24E03F4F"/>
    <w:rsid w:val="24EA6703"/>
    <w:rsid w:val="24EF159D"/>
    <w:rsid w:val="24F57E3A"/>
    <w:rsid w:val="25011468"/>
    <w:rsid w:val="25145328"/>
    <w:rsid w:val="252D53FE"/>
    <w:rsid w:val="252E4BD8"/>
    <w:rsid w:val="253F5BB9"/>
    <w:rsid w:val="254170C1"/>
    <w:rsid w:val="254A1B16"/>
    <w:rsid w:val="25505802"/>
    <w:rsid w:val="2563042A"/>
    <w:rsid w:val="256C0CC0"/>
    <w:rsid w:val="258C5B68"/>
    <w:rsid w:val="25B70BD7"/>
    <w:rsid w:val="25D95FE7"/>
    <w:rsid w:val="25EC2D81"/>
    <w:rsid w:val="26031625"/>
    <w:rsid w:val="260F1EFF"/>
    <w:rsid w:val="26347A30"/>
    <w:rsid w:val="263F62A3"/>
    <w:rsid w:val="26472DAE"/>
    <w:rsid w:val="26555BF8"/>
    <w:rsid w:val="26581D4F"/>
    <w:rsid w:val="26595C09"/>
    <w:rsid w:val="2686348F"/>
    <w:rsid w:val="26B57202"/>
    <w:rsid w:val="26CA3EF0"/>
    <w:rsid w:val="26D10D20"/>
    <w:rsid w:val="26E65401"/>
    <w:rsid w:val="26EA10A1"/>
    <w:rsid w:val="27076D96"/>
    <w:rsid w:val="27176FDB"/>
    <w:rsid w:val="273F1D26"/>
    <w:rsid w:val="2749248A"/>
    <w:rsid w:val="275E36AF"/>
    <w:rsid w:val="27661E14"/>
    <w:rsid w:val="27694E3C"/>
    <w:rsid w:val="277057A2"/>
    <w:rsid w:val="2771435D"/>
    <w:rsid w:val="27794D50"/>
    <w:rsid w:val="27857EF9"/>
    <w:rsid w:val="278A419A"/>
    <w:rsid w:val="27BD384B"/>
    <w:rsid w:val="27BF77CD"/>
    <w:rsid w:val="27C608B1"/>
    <w:rsid w:val="27D019DA"/>
    <w:rsid w:val="27E601D4"/>
    <w:rsid w:val="27EE3C0E"/>
    <w:rsid w:val="27FA6D7C"/>
    <w:rsid w:val="280642EA"/>
    <w:rsid w:val="28190F27"/>
    <w:rsid w:val="28204042"/>
    <w:rsid w:val="283066B9"/>
    <w:rsid w:val="28493D4A"/>
    <w:rsid w:val="28620159"/>
    <w:rsid w:val="28A56B14"/>
    <w:rsid w:val="28C070B3"/>
    <w:rsid w:val="28DA3CE9"/>
    <w:rsid w:val="28DD3578"/>
    <w:rsid w:val="28F33BD2"/>
    <w:rsid w:val="29031438"/>
    <w:rsid w:val="2912392D"/>
    <w:rsid w:val="29206EB8"/>
    <w:rsid w:val="29283CDA"/>
    <w:rsid w:val="29595666"/>
    <w:rsid w:val="296A5517"/>
    <w:rsid w:val="29874881"/>
    <w:rsid w:val="298C4357"/>
    <w:rsid w:val="29A7017C"/>
    <w:rsid w:val="29AE7AF9"/>
    <w:rsid w:val="29B469DF"/>
    <w:rsid w:val="29BF3A53"/>
    <w:rsid w:val="29DD3F78"/>
    <w:rsid w:val="29E325E0"/>
    <w:rsid w:val="29E33A91"/>
    <w:rsid w:val="29F961E2"/>
    <w:rsid w:val="2A1E4FBE"/>
    <w:rsid w:val="2A390B10"/>
    <w:rsid w:val="2A452503"/>
    <w:rsid w:val="2A4E06CB"/>
    <w:rsid w:val="2A5354E7"/>
    <w:rsid w:val="2AAB5DE7"/>
    <w:rsid w:val="2AAF185F"/>
    <w:rsid w:val="2ABE63DD"/>
    <w:rsid w:val="2AC13250"/>
    <w:rsid w:val="2AD333A5"/>
    <w:rsid w:val="2AE449EF"/>
    <w:rsid w:val="2AE954E2"/>
    <w:rsid w:val="2B061191"/>
    <w:rsid w:val="2B0D4CF3"/>
    <w:rsid w:val="2B2143CC"/>
    <w:rsid w:val="2B2428DF"/>
    <w:rsid w:val="2B2D0EF2"/>
    <w:rsid w:val="2B4E59CB"/>
    <w:rsid w:val="2B580DB1"/>
    <w:rsid w:val="2B8C3D63"/>
    <w:rsid w:val="2B957702"/>
    <w:rsid w:val="2BA936A8"/>
    <w:rsid w:val="2BBB3C0D"/>
    <w:rsid w:val="2BF37A45"/>
    <w:rsid w:val="2C286DB9"/>
    <w:rsid w:val="2C315A5A"/>
    <w:rsid w:val="2C3C216F"/>
    <w:rsid w:val="2C441B1F"/>
    <w:rsid w:val="2C4B1C25"/>
    <w:rsid w:val="2C6C0817"/>
    <w:rsid w:val="2C7D265B"/>
    <w:rsid w:val="2C7E0799"/>
    <w:rsid w:val="2C837526"/>
    <w:rsid w:val="2CA13945"/>
    <w:rsid w:val="2CA95B0F"/>
    <w:rsid w:val="2CD1105A"/>
    <w:rsid w:val="2CDC6A3E"/>
    <w:rsid w:val="2D0127D6"/>
    <w:rsid w:val="2D05309B"/>
    <w:rsid w:val="2D160014"/>
    <w:rsid w:val="2D1F6EE7"/>
    <w:rsid w:val="2D3C2DC7"/>
    <w:rsid w:val="2D3C5506"/>
    <w:rsid w:val="2D484BAE"/>
    <w:rsid w:val="2D4B4E8A"/>
    <w:rsid w:val="2D4D14E3"/>
    <w:rsid w:val="2D602436"/>
    <w:rsid w:val="2D6C6407"/>
    <w:rsid w:val="2D7B7CF2"/>
    <w:rsid w:val="2D80608D"/>
    <w:rsid w:val="2D875411"/>
    <w:rsid w:val="2D9D410D"/>
    <w:rsid w:val="2D9E56F5"/>
    <w:rsid w:val="2DA078AA"/>
    <w:rsid w:val="2DE64427"/>
    <w:rsid w:val="2DE725C3"/>
    <w:rsid w:val="2DEA143E"/>
    <w:rsid w:val="2DF92660"/>
    <w:rsid w:val="2DFF6AC7"/>
    <w:rsid w:val="2E0103B1"/>
    <w:rsid w:val="2E0E500A"/>
    <w:rsid w:val="2E1875DA"/>
    <w:rsid w:val="2E3600BD"/>
    <w:rsid w:val="2E5B2D5F"/>
    <w:rsid w:val="2E647DF6"/>
    <w:rsid w:val="2E667F96"/>
    <w:rsid w:val="2E7110F5"/>
    <w:rsid w:val="2E8226AB"/>
    <w:rsid w:val="2E921798"/>
    <w:rsid w:val="2E940D6B"/>
    <w:rsid w:val="2EBD1DB4"/>
    <w:rsid w:val="2EC9272A"/>
    <w:rsid w:val="2EC96C78"/>
    <w:rsid w:val="2EE01078"/>
    <w:rsid w:val="2EE25018"/>
    <w:rsid w:val="2EE60456"/>
    <w:rsid w:val="2F234AE5"/>
    <w:rsid w:val="2F24223B"/>
    <w:rsid w:val="2F3300A1"/>
    <w:rsid w:val="2F436F36"/>
    <w:rsid w:val="2F676673"/>
    <w:rsid w:val="2F78793A"/>
    <w:rsid w:val="2F7B140D"/>
    <w:rsid w:val="2F7B4868"/>
    <w:rsid w:val="2F803CE6"/>
    <w:rsid w:val="2F804BED"/>
    <w:rsid w:val="2F812718"/>
    <w:rsid w:val="2F8F6298"/>
    <w:rsid w:val="2F913518"/>
    <w:rsid w:val="2F9E3BD4"/>
    <w:rsid w:val="2FB73743"/>
    <w:rsid w:val="2FC365A8"/>
    <w:rsid w:val="2FCD3CA3"/>
    <w:rsid w:val="2FD065E6"/>
    <w:rsid w:val="2FD96870"/>
    <w:rsid w:val="2FE85162"/>
    <w:rsid w:val="2FE9065F"/>
    <w:rsid w:val="2FF013E3"/>
    <w:rsid w:val="2FF63A6C"/>
    <w:rsid w:val="2FF65D56"/>
    <w:rsid w:val="2FF67B04"/>
    <w:rsid w:val="2FFA3775"/>
    <w:rsid w:val="300761D7"/>
    <w:rsid w:val="301F4F58"/>
    <w:rsid w:val="304C1E1A"/>
    <w:rsid w:val="30580BC9"/>
    <w:rsid w:val="3061252D"/>
    <w:rsid w:val="30656A38"/>
    <w:rsid w:val="30677CC3"/>
    <w:rsid w:val="30A11223"/>
    <w:rsid w:val="30B359F5"/>
    <w:rsid w:val="30B63E5D"/>
    <w:rsid w:val="30CB32B1"/>
    <w:rsid w:val="30D42723"/>
    <w:rsid w:val="30E57AD2"/>
    <w:rsid w:val="30F054BB"/>
    <w:rsid w:val="30F13062"/>
    <w:rsid w:val="31050D9E"/>
    <w:rsid w:val="31171910"/>
    <w:rsid w:val="311E2ED7"/>
    <w:rsid w:val="312468F3"/>
    <w:rsid w:val="314B6E77"/>
    <w:rsid w:val="315619EE"/>
    <w:rsid w:val="315B4856"/>
    <w:rsid w:val="315C449C"/>
    <w:rsid w:val="31647841"/>
    <w:rsid w:val="316A69FC"/>
    <w:rsid w:val="317474AF"/>
    <w:rsid w:val="31773B89"/>
    <w:rsid w:val="31A725A3"/>
    <w:rsid w:val="31A90C46"/>
    <w:rsid w:val="31B82709"/>
    <w:rsid w:val="31D05482"/>
    <w:rsid w:val="31D434BE"/>
    <w:rsid w:val="31DE7709"/>
    <w:rsid w:val="32193F7E"/>
    <w:rsid w:val="32392D0A"/>
    <w:rsid w:val="32400B34"/>
    <w:rsid w:val="324E0B0C"/>
    <w:rsid w:val="325359F5"/>
    <w:rsid w:val="325A767C"/>
    <w:rsid w:val="327D1CF3"/>
    <w:rsid w:val="328B6761"/>
    <w:rsid w:val="329E6876"/>
    <w:rsid w:val="32A058A2"/>
    <w:rsid w:val="32AA5162"/>
    <w:rsid w:val="32BC3287"/>
    <w:rsid w:val="32EB34DA"/>
    <w:rsid w:val="32EC6BD3"/>
    <w:rsid w:val="330000C4"/>
    <w:rsid w:val="331C1F78"/>
    <w:rsid w:val="333015F2"/>
    <w:rsid w:val="33373378"/>
    <w:rsid w:val="333911FD"/>
    <w:rsid w:val="33422219"/>
    <w:rsid w:val="334B6320"/>
    <w:rsid w:val="334D4FDC"/>
    <w:rsid w:val="334E610E"/>
    <w:rsid w:val="33731A8F"/>
    <w:rsid w:val="33A9254B"/>
    <w:rsid w:val="33C0648F"/>
    <w:rsid w:val="33C624BC"/>
    <w:rsid w:val="33D51B3A"/>
    <w:rsid w:val="33D934D4"/>
    <w:rsid w:val="33E02FA5"/>
    <w:rsid w:val="33EE06B6"/>
    <w:rsid w:val="33FB7DDF"/>
    <w:rsid w:val="33FE2F6A"/>
    <w:rsid w:val="340E07E5"/>
    <w:rsid w:val="34147DBB"/>
    <w:rsid w:val="341D5FA7"/>
    <w:rsid w:val="34235BF7"/>
    <w:rsid w:val="342F7A89"/>
    <w:rsid w:val="343B7960"/>
    <w:rsid w:val="34437053"/>
    <w:rsid w:val="34506237"/>
    <w:rsid w:val="346D7ABA"/>
    <w:rsid w:val="346F60D7"/>
    <w:rsid w:val="347C51CB"/>
    <w:rsid w:val="348F22D5"/>
    <w:rsid w:val="348F28FB"/>
    <w:rsid w:val="34A07D8C"/>
    <w:rsid w:val="34BE4E35"/>
    <w:rsid w:val="34C22A4C"/>
    <w:rsid w:val="34C77CC1"/>
    <w:rsid w:val="34D66156"/>
    <w:rsid w:val="34F53CFE"/>
    <w:rsid w:val="34FC7EAB"/>
    <w:rsid w:val="352769B2"/>
    <w:rsid w:val="352A5647"/>
    <w:rsid w:val="352F721E"/>
    <w:rsid w:val="35301938"/>
    <w:rsid w:val="3533798B"/>
    <w:rsid w:val="353951D6"/>
    <w:rsid w:val="3541342C"/>
    <w:rsid w:val="35415975"/>
    <w:rsid w:val="35477800"/>
    <w:rsid w:val="35551771"/>
    <w:rsid w:val="35581707"/>
    <w:rsid w:val="35750404"/>
    <w:rsid w:val="3578062C"/>
    <w:rsid w:val="357A08E1"/>
    <w:rsid w:val="358C5FA8"/>
    <w:rsid w:val="35A63E3D"/>
    <w:rsid w:val="35C15DF1"/>
    <w:rsid w:val="35C3492C"/>
    <w:rsid w:val="35CC77A3"/>
    <w:rsid w:val="35CE773E"/>
    <w:rsid w:val="36021275"/>
    <w:rsid w:val="36074A7F"/>
    <w:rsid w:val="360E243B"/>
    <w:rsid w:val="361C5DEB"/>
    <w:rsid w:val="36295FA8"/>
    <w:rsid w:val="36644ED3"/>
    <w:rsid w:val="36690512"/>
    <w:rsid w:val="366E5778"/>
    <w:rsid w:val="36714388"/>
    <w:rsid w:val="367E1350"/>
    <w:rsid w:val="368F3E94"/>
    <w:rsid w:val="36923549"/>
    <w:rsid w:val="36B2214A"/>
    <w:rsid w:val="36B75FBF"/>
    <w:rsid w:val="36BD0C45"/>
    <w:rsid w:val="36CA47E7"/>
    <w:rsid w:val="36F40B16"/>
    <w:rsid w:val="37023FEC"/>
    <w:rsid w:val="37354259"/>
    <w:rsid w:val="373C4996"/>
    <w:rsid w:val="374D5657"/>
    <w:rsid w:val="3754697A"/>
    <w:rsid w:val="376509B4"/>
    <w:rsid w:val="377910BF"/>
    <w:rsid w:val="377A0694"/>
    <w:rsid w:val="37864F82"/>
    <w:rsid w:val="37BC7885"/>
    <w:rsid w:val="37C0234C"/>
    <w:rsid w:val="37D64646"/>
    <w:rsid w:val="37DD0002"/>
    <w:rsid w:val="37E00298"/>
    <w:rsid w:val="380D42E3"/>
    <w:rsid w:val="381256F7"/>
    <w:rsid w:val="38137A7F"/>
    <w:rsid w:val="382B580E"/>
    <w:rsid w:val="384354E2"/>
    <w:rsid w:val="384D6EE1"/>
    <w:rsid w:val="385F23EF"/>
    <w:rsid w:val="38622611"/>
    <w:rsid w:val="386A108F"/>
    <w:rsid w:val="386F199C"/>
    <w:rsid w:val="38737ACB"/>
    <w:rsid w:val="38A07E13"/>
    <w:rsid w:val="38B302F9"/>
    <w:rsid w:val="38C86807"/>
    <w:rsid w:val="38CB1241"/>
    <w:rsid w:val="38F05D40"/>
    <w:rsid w:val="38F12CD3"/>
    <w:rsid w:val="38F94775"/>
    <w:rsid w:val="390037A2"/>
    <w:rsid w:val="39033292"/>
    <w:rsid w:val="392564F9"/>
    <w:rsid w:val="392971ED"/>
    <w:rsid w:val="392F4087"/>
    <w:rsid w:val="393126B9"/>
    <w:rsid w:val="39325651"/>
    <w:rsid w:val="393D6773"/>
    <w:rsid w:val="395974E0"/>
    <w:rsid w:val="397228F1"/>
    <w:rsid w:val="397302A9"/>
    <w:rsid w:val="39754F74"/>
    <w:rsid w:val="39921550"/>
    <w:rsid w:val="39BA4569"/>
    <w:rsid w:val="39BD104E"/>
    <w:rsid w:val="39C8220B"/>
    <w:rsid w:val="39D84516"/>
    <w:rsid w:val="3A2B1550"/>
    <w:rsid w:val="3A4B6D87"/>
    <w:rsid w:val="3A571AE7"/>
    <w:rsid w:val="3A6366DE"/>
    <w:rsid w:val="3A682D68"/>
    <w:rsid w:val="3A7E7E4B"/>
    <w:rsid w:val="3A872856"/>
    <w:rsid w:val="3A9566BA"/>
    <w:rsid w:val="3A973157"/>
    <w:rsid w:val="3A9A304E"/>
    <w:rsid w:val="3A9E24F5"/>
    <w:rsid w:val="3ABC0DBD"/>
    <w:rsid w:val="3AC57FB1"/>
    <w:rsid w:val="3ADE11ED"/>
    <w:rsid w:val="3AE31593"/>
    <w:rsid w:val="3AEE4F40"/>
    <w:rsid w:val="3B1A4AC2"/>
    <w:rsid w:val="3B367F5D"/>
    <w:rsid w:val="3B3763D1"/>
    <w:rsid w:val="3B3914E2"/>
    <w:rsid w:val="3B3A5F6E"/>
    <w:rsid w:val="3B72269E"/>
    <w:rsid w:val="3B8A37F6"/>
    <w:rsid w:val="3BAB3070"/>
    <w:rsid w:val="3BB11FC2"/>
    <w:rsid w:val="3BBA03AE"/>
    <w:rsid w:val="3BC14B05"/>
    <w:rsid w:val="3BD04B1C"/>
    <w:rsid w:val="3BD10F7B"/>
    <w:rsid w:val="3BF77A70"/>
    <w:rsid w:val="3BFC0563"/>
    <w:rsid w:val="3C067321"/>
    <w:rsid w:val="3C261975"/>
    <w:rsid w:val="3C2F6E1E"/>
    <w:rsid w:val="3C4F64BA"/>
    <w:rsid w:val="3C5203FE"/>
    <w:rsid w:val="3C5354A4"/>
    <w:rsid w:val="3C656DF6"/>
    <w:rsid w:val="3C660400"/>
    <w:rsid w:val="3C7F7B5E"/>
    <w:rsid w:val="3CB44FCF"/>
    <w:rsid w:val="3CB46192"/>
    <w:rsid w:val="3CC1149A"/>
    <w:rsid w:val="3CDA245A"/>
    <w:rsid w:val="3CDD3F3F"/>
    <w:rsid w:val="3CDF339A"/>
    <w:rsid w:val="3CF4186F"/>
    <w:rsid w:val="3CF75A47"/>
    <w:rsid w:val="3CFC24D2"/>
    <w:rsid w:val="3CFC4F3A"/>
    <w:rsid w:val="3D194193"/>
    <w:rsid w:val="3D1E06B7"/>
    <w:rsid w:val="3D4F1909"/>
    <w:rsid w:val="3D6838B5"/>
    <w:rsid w:val="3D750B00"/>
    <w:rsid w:val="3D8C4AA4"/>
    <w:rsid w:val="3D91738A"/>
    <w:rsid w:val="3DB14752"/>
    <w:rsid w:val="3DB159B2"/>
    <w:rsid w:val="3DB225E0"/>
    <w:rsid w:val="3DC56C3B"/>
    <w:rsid w:val="3DD82F3F"/>
    <w:rsid w:val="3DE15B3D"/>
    <w:rsid w:val="3DE315EA"/>
    <w:rsid w:val="3DE40521"/>
    <w:rsid w:val="3DF22560"/>
    <w:rsid w:val="3DF91B49"/>
    <w:rsid w:val="3E00131F"/>
    <w:rsid w:val="3E0D2837"/>
    <w:rsid w:val="3E281B9E"/>
    <w:rsid w:val="3E3772B6"/>
    <w:rsid w:val="3E407FDD"/>
    <w:rsid w:val="3E594080"/>
    <w:rsid w:val="3E601CD7"/>
    <w:rsid w:val="3E7964D0"/>
    <w:rsid w:val="3E8679F3"/>
    <w:rsid w:val="3E8A2015"/>
    <w:rsid w:val="3E9E6078"/>
    <w:rsid w:val="3ED552A6"/>
    <w:rsid w:val="3EDA0523"/>
    <w:rsid w:val="3F26393A"/>
    <w:rsid w:val="3F593C0C"/>
    <w:rsid w:val="3F5B58EC"/>
    <w:rsid w:val="3F5F0F5A"/>
    <w:rsid w:val="3F6820A1"/>
    <w:rsid w:val="3F7B5539"/>
    <w:rsid w:val="3F806FF1"/>
    <w:rsid w:val="3F8D39D6"/>
    <w:rsid w:val="3F97666F"/>
    <w:rsid w:val="3F982986"/>
    <w:rsid w:val="3FAF1A7E"/>
    <w:rsid w:val="3FBC159C"/>
    <w:rsid w:val="40071479"/>
    <w:rsid w:val="40144BB8"/>
    <w:rsid w:val="401B14F5"/>
    <w:rsid w:val="4024126F"/>
    <w:rsid w:val="40254394"/>
    <w:rsid w:val="403F5290"/>
    <w:rsid w:val="4041639E"/>
    <w:rsid w:val="40503261"/>
    <w:rsid w:val="405F3EC6"/>
    <w:rsid w:val="406F5077"/>
    <w:rsid w:val="407A6407"/>
    <w:rsid w:val="40847825"/>
    <w:rsid w:val="40A90325"/>
    <w:rsid w:val="40AB69C0"/>
    <w:rsid w:val="40B60622"/>
    <w:rsid w:val="40C172D0"/>
    <w:rsid w:val="40D15360"/>
    <w:rsid w:val="40DE36BE"/>
    <w:rsid w:val="41117D93"/>
    <w:rsid w:val="4123602F"/>
    <w:rsid w:val="41265D6F"/>
    <w:rsid w:val="41281AE7"/>
    <w:rsid w:val="41540FF9"/>
    <w:rsid w:val="415B1EBD"/>
    <w:rsid w:val="418256BE"/>
    <w:rsid w:val="418951F8"/>
    <w:rsid w:val="41915924"/>
    <w:rsid w:val="419950AB"/>
    <w:rsid w:val="41AF7A35"/>
    <w:rsid w:val="41B30D8B"/>
    <w:rsid w:val="41BD0482"/>
    <w:rsid w:val="41C363F2"/>
    <w:rsid w:val="41E33240"/>
    <w:rsid w:val="4200449D"/>
    <w:rsid w:val="421E0066"/>
    <w:rsid w:val="422619BB"/>
    <w:rsid w:val="423A3BCC"/>
    <w:rsid w:val="4243290F"/>
    <w:rsid w:val="424461ED"/>
    <w:rsid w:val="424E57D2"/>
    <w:rsid w:val="426C1851"/>
    <w:rsid w:val="42713FE4"/>
    <w:rsid w:val="42770F78"/>
    <w:rsid w:val="42786A9F"/>
    <w:rsid w:val="42862001"/>
    <w:rsid w:val="42862E14"/>
    <w:rsid w:val="429D542D"/>
    <w:rsid w:val="42A96C58"/>
    <w:rsid w:val="42B20202"/>
    <w:rsid w:val="42B26C49"/>
    <w:rsid w:val="42B42519"/>
    <w:rsid w:val="42BC3DFA"/>
    <w:rsid w:val="42C800F6"/>
    <w:rsid w:val="42E218BF"/>
    <w:rsid w:val="433721AB"/>
    <w:rsid w:val="43375723"/>
    <w:rsid w:val="433A6FE6"/>
    <w:rsid w:val="433F11B1"/>
    <w:rsid w:val="43480868"/>
    <w:rsid w:val="4350713C"/>
    <w:rsid w:val="435E0940"/>
    <w:rsid w:val="435E171F"/>
    <w:rsid w:val="43664087"/>
    <w:rsid w:val="436653E0"/>
    <w:rsid w:val="43766B7E"/>
    <w:rsid w:val="43870B09"/>
    <w:rsid w:val="43C4431A"/>
    <w:rsid w:val="43CE3397"/>
    <w:rsid w:val="43E94C99"/>
    <w:rsid w:val="43EB1049"/>
    <w:rsid w:val="43F14D5A"/>
    <w:rsid w:val="440A0971"/>
    <w:rsid w:val="440E76BA"/>
    <w:rsid w:val="44493B0A"/>
    <w:rsid w:val="446160C9"/>
    <w:rsid w:val="446212D5"/>
    <w:rsid w:val="44742D87"/>
    <w:rsid w:val="447B63F0"/>
    <w:rsid w:val="44864C94"/>
    <w:rsid w:val="449F5834"/>
    <w:rsid w:val="44A654FA"/>
    <w:rsid w:val="44B705B0"/>
    <w:rsid w:val="44B951CC"/>
    <w:rsid w:val="44CD14E0"/>
    <w:rsid w:val="44D21FEA"/>
    <w:rsid w:val="44D770A2"/>
    <w:rsid w:val="44E8077D"/>
    <w:rsid w:val="44EB1422"/>
    <w:rsid w:val="44EB34FE"/>
    <w:rsid w:val="44F20B0B"/>
    <w:rsid w:val="44F20D8A"/>
    <w:rsid w:val="44FF5255"/>
    <w:rsid w:val="452C3F67"/>
    <w:rsid w:val="452E5F4C"/>
    <w:rsid w:val="45592BB7"/>
    <w:rsid w:val="45612018"/>
    <w:rsid w:val="45853A2A"/>
    <w:rsid w:val="458946E9"/>
    <w:rsid w:val="458B41ED"/>
    <w:rsid w:val="458C1DF2"/>
    <w:rsid w:val="45955582"/>
    <w:rsid w:val="459973A9"/>
    <w:rsid w:val="459D5389"/>
    <w:rsid w:val="45A47C0E"/>
    <w:rsid w:val="45BB5620"/>
    <w:rsid w:val="45BD1873"/>
    <w:rsid w:val="45E054F9"/>
    <w:rsid w:val="45FD57FD"/>
    <w:rsid w:val="46001285"/>
    <w:rsid w:val="460A50CD"/>
    <w:rsid w:val="461E3332"/>
    <w:rsid w:val="463D4FAA"/>
    <w:rsid w:val="464E144C"/>
    <w:rsid w:val="46577FD6"/>
    <w:rsid w:val="46762775"/>
    <w:rsid w:val="467F19EB"/>
    <w:rsid w:val="46B440DA"/>
    <w:rsid w:val="46C100BD"/>
    <w:rsid w:val="46C501F3"/>
    <w:rsid w:val="46D955A7"/>
    <w:rsid w:val="46DE57F4"/>
    <w:rsid w:val="46E309FD"/>
    <w:rsid w:val="47133957"/>
    <w:rsid w:val="471B5E18"/>
    <w:rsid w:val="472E3D5D"/>
    <w:rsid w:val="47347547"/>
    <w:rsid w:val="47404518"/>
    <w:rsid w:val="47445AE5"/>
    <w:rsid w:val="47466FB1"/>
    <w:rsid w:val="474C694C"/>
    <w:rsid w:val="475E2707"/>
    <w:rsid w:val="47684254"/>
    <w:rsid w:val="47721D0E"/>
    <w:rsid w:val="477520D0"/>
    <w:rsid w:val="4787624B"/>
    <w:rsid w:val="478B6E25"/>
    <w:rsid w:val="479C75B4"/>
    <w:rsid w:val="47A07E0C"/>
    <w:rsid w:val="47A21F33"/>
    <w:rsid w:val="47E04ECA"/>
    <w:rsid w:val="47F00E85"/>
    <w:rsid w:val="48074EB2"/>
    <w:rsid w:val="480E6E02"/>
    <w:rsid w:val="4814142D"/>
    <w:rsid w:val="4819407D"/>
    <w:rsid w:val="4821321B"/>
    <w:rsid w:val="482A7203"/>
    <w:rsid w:val="482F7BFF"/>
    <w:rsid w:val="4835780C"/>
    <w:rsid w:val="4870272E"/>
    <w:rsid w:val="48B1059D"/>
    <w:rsid w:val="48D4396A"/>
    <w:rsid w:val="48D57076"/>
    <w:rsid w:val="48DD765B"/>
    <w:rsid w:val="48E1539E"/>
    <w:rsid w:val="48E416AF"/>
    <w:rsid w:val="49134BDC"/>
    <w:rsid w:val="49257E67"/>
    <w:rsid w:val="493D32DA"/>
    <w:rsid w:val="494F53A8"/>
    <w:rsid w:val="497D5CBA"/>
    <w:rsid w:val="498623B2"/>
    <w:rsid w:val="49AF22D3"/>
    <w:rsid w:val="49DC7715"/>
    <w:rsid w:val="49F44EB3"/>
    <w:rsid w:val="49FE133F"/>
    <w:rsid w:val="49FE521F"/>
    <w:rsid w:val="4A023139"/>
    <w:rsid w:val="4A02381D"/>
    <w:rsid w:val="4A430365"/>
    <w:rsid w:val="4A4C0CA0"/>
    <w:rsid w:val="4A4E3324"/>
    <w:rsid w:val="4A5E366B"/>
    <w:rsid w:val="4A631581"/>
    <w:rsid w:val="4A6B730C"/>
    <w:rsid w:val="4A7B576F"/>
    <w:rsid w:val="4A7F541D"/>
    <w:rsid w:val="4A943842"/>
    <w:rsid w:val="4A9C08D1"/>
    <w:rsid w:val="4AAC432F"/>
    <w:rsid w:val="4AB95AF4"/>
    <w:rsid w:val="4ABF5941"/>
    <w:rsid w:val="4ACC50D2"/>
    <w:rsid w:val="4AED592A"/>
    <w:rsid w:val="4AF561A9"/>
    <w:rsid w:val="4AFB085C"/>
    <w:rsid w:val="4AFC5CC7"/>
    <w:rsid w:val="4B0452B2"/>
    <w:rsid w:val="4B06733D"/>
    <w:rsid w:val="4B170EE8"/>
    <w:rsid w:val="4B234F54"/>
    <w:rsid w:val="4B2E419E"/>
    <w:rsid w:val="4B3E19A5"/>
    <w:rsid w:val="4B4F2FAB"/>
    <w:rsid w:val="4B6A3C3C"/>
    <w:rsid w:val="4B7C0C17"/>
    <w:rsid w:val="4B840EE1"/>
    <w:rsid w:val="4B9401F2"/>
    <w:rsid w:val="4BA243B0"/>
    <w:rsid w:val="4BAB7AF2"/>
    <w:rsid w:val="4BAE2559"/>
    <w:rsid w:val="4BB97642"/>
    <w:rsid w:val="4BC92119"/>
    <w:rsid w:val="4BD972DA"/>
    <w:rsid w:val="4BE255EA"/>
    <w:rsid w:val="4BE447B1"/>
    <w:rsid w:val="4C1C066D"/>
    <w:rsid w:val="4C2061DD"/>
    <w:rsid w:val="4C41227B"/>
    <w:rsid w:val="4C445A74"/>
    <w:rsid w:val="4C45078D"/>
    <w:rsid w:val="4C4A0649"/>
    <w:rsid w:val="4C5C2F8D"/>
    <w:rsid w:val="4C7E5ECA"/>
    <w:rsid w:val="4C876AA5"/>
    <w:rsid w:val="4CB11873"/>
    <w:rsid w:val="4CC707D7"/>
    <w:rsid w:val="4CD32456"/>
    <w:rsid w:val="4CF93CC0"/>
    <w:rsid w:val="4D0A2E03"/>
    <w:rsid w:val="4D0E00FB"/>
    <w:rsid w:val="4D0E14C4"/>
    <w:rsid w:val="4D153868"/>
    <w:rsid w:val="4D176606"/>
    <w:rsid w:val="4D4D4D9D"/>
    <w:rsid w:val="4D4F66DD"/>
    <w:rsid w:val="4D571638"/>
    <w:rsid w:val="4D6460D5"/>
    <w:rsid w:val="4D650848"/>
    <w:rsid w:val="4D795A49"/>
    <w:rsid w:val="4DA24159"/>
    <w:rsid w:val="4DA50A8C"/>
    <w:rsid w:val="4DB0198F"/>
    <w:rsid w:val="4DD9099E"/>
    <w:rsid w:val="4DDA0A50"/>
    <w:rsid w:val="4DDA685F"/>
    <w:rsid w:val="4DEC4FB0"/>
    <w:rsid w:val="4E075D8A"/>
    <w:rsid w:val="4E0A17D6"/>
    <w:rsid w:val="4E0B67F1"/>
    <w:rsid w:val="4E1E3E25"/>
    <w:rsid w:val="4E1F00B1"/>
    <w:rsid w:val="4E352F2A"/>
    <w:rsid w:val="4E44262F"/>
    <w:rsid w:val="4E5C5DB9"/>
    <w:rsid w:val="4E716A05"/>
    <w:rsid w:val="4E8C7E1D"/>
    <w:rsid w:val="4E9F145A"/>
    <w:rsid w:val="4EBE161A"/>
    <w:rsid w:val="4EBF642F"/>
    <w:rsid w:val="4EC00FAD"/>
    <w:rsid w:val="4EC372F3"/>
    <w:rsid w:val="4ECE0172"/>
    <w:rsid w:val="4ED60155"/>
    <w:rsid w:val="4ED83DBE"/>
    <w:rsid w:val="4EED3732"/>
    <w:rsid w:val="4EF462BB"/>
    <w:rsid w:val="4F106358"/>
    <w:rsid w:val="4F1F19BE"/>
    <w:rsid w:val="4F2002A7"/>
    <w:rsid w:val="4F24728D"/>
    <w:rsid w:val="4F615A23"/>
    <w:rsid w:val="4F6F0EAB"/>
    <w:rsid w:val="4F790FC4"/>
    <w:rsid w:val="4F9071D6"/>
    <w:rsid w:val="4F9843DC"/>
    <w:rsid w:val="4FAB1741"/>
    <w:rsid w:val="4FC62A8C"/>
    <w:rsid w:val="4FE0236B"/>
    <w:rsid w:val="4FE20F0D"/>
    <w:rsid w:val="4FE51552"/>
    <w:rsid w:val="50043A2C"/>
    <w:rsid w:val="5006396D"/>
    <w:rsid w:val="500D0826"/>
    <w:rsid w:val="50137E07"/>
    <w:rsid w:val="50154E1A"/>
    <w:rsid w:val="501635CE"/>
    <w:rsid w:val="501E3167"/>
    <w:rsid w:val="503A57CF"/>
    <w:rsid w:val="504050F1"/>
    <w:rsid w:val="50504C4B"/>
    <w:rsid w:val="5059153A"/>
    <w:rsid w:val="506A312A"/>
    <w:rsid w:val="506D5769"/>
    <w:rsid w:val="50722D7F"/>
    <w:rsid w:val="50925E15"/>
    <w:rsid w:val="509C6E7C"/>
    <w:rsid w:val="50B93ABC"/>
    <w:rsid w:val="50C730CB"/>
    <w:rsid w:val="50EC48E0"/>
    <w:rsid w:val="50F34DB2"/>
    <w:rsid w:val="51253514"/>
    <w:rsid w:val="512A403C"/>
    <w:rsid w:val="512D1B31"/>
    <w:rsid w:val="51347BD0"/>
    <w:rsid w:val="51391D0A"/>
    <w:rsid w:val="51512803"/>
    <w:rsid w:val="51600E2A"/>
    <w:rsid w:val="5162104E"/>
    <w:rsid w:val="5165013A"/>
    <w:rsid w:val="51757F46"/>
    <w:rsid w:val="51885CFD"/>
    <w:rsid w:val="518D7E9E"/>
    <w:rsid w:val="51AD2D4C"/>
    <w:rsid w:val="51C4760A"/>
    <w:rsid w:val="521F7FC8"/>
    <w:rsid w:val="52300371"/>
    <w:rsid w:val="523F47F7"/>
    <w:rsid w:val="5249735F"/>
    <w:rsid w:val="5258496B"/>
    <w:rsid w:val="52660EF9"/>
    <w:rsid w:val="5276097E"/>
    <w:rsid w:val="528A0854"/>
    <w:rsid w:val="529576C8"/>
    <w:rsid w:val="52A64F62"/>
    <w:rsid w:val="52B01C6F"/>
    <w:rsid w:val="52B12362"/>
    <w:rsid w:val="52B2396F"/>
    <w:rsid w:val="52B76535"/>
    <w:rsid w:val="52BA3D3E"/>
    <w:rsid w:val="52C50E72"/>
    <w:rsid w:val="52FB4AA2"/>
    <w:rsid w:val="52FF5990"/>
    <w:rsid w:val="53254139"/>
    <w:rsid w:val="53430678"/>
    <w:rsid w:val="534C5B09"/>
    <w:rsid w:val="53733AAB"/>
    <w:rsid w:val="538232D9"/>
    <w:rsid w:val="53874AF5"/>
    <w:rsid w:val="53911318"/>
    <w:rsid w:val="53962D77"/>
    <w:rsid w:val="53A039CC"/>
    <w:rsid w:val="53A1505A"/>
    <w:rsid w:val="53A5604D"/>
    <w:rsid w:val="53A718DD"/>
    <w:rsid w:val="53AC0356"/>
    <w:rsid w:val="53B61BA3"/>
    <w:rsid w:val="53CA2CA3"/>
    <w:rsid w:val="53D36AD9"/>
    <w:rsid w:val="53E05237"/>
    <w:rsid w:val="53F6441A"/>
    <w:rsid w:val="53FC6507"/>
    <w:rsid w:val="540514E3"/>
    <w:rsid w:val="54063E08"/>
    <w:rsid w:val="540B770E"/>
    <w:rsid w:val="54106C22"/>
    <w:rsid w:val="5418672F"/>
    <w:rsid w:val="543437E8"/>
    <w:rsid w:val="545804DE"/>
    <w:rsid w:val="545953C0"/>
    <w:rsid w:val="547445E1"/>
    <w:rsid w:val="547D6452"/>
    <w:rsid w:val="548804A7"/>
    <w:rsid w:val="548C70E0"/>
    <w:rsid w:val="549B0127"/>
    <w:rsid w:val="54A66EE6"/>
    <w:rsid w:val="54C50F64"/>
    <w:rsid w:val="54C8231F"/>
    <w:rsid w:val="54D956C2"/>
    <w:rsid w:val="54E65AEA"/>
    <w:rsid w:val="54EA0E15"/>
    <w:rsid w:val="54F73313"/>
    <w:rsid w:val="54F80955"/>
    <w:rsid w:val="54FB0B1E"/>
    <w:rsid w:val="5510622D"/>
    <w:rsid w:val="55115317"/>
    <w:rsid w:val="552D1506"/>
    <w:rsid w:val="552E2C7E"/>
    <w:rsid w:val="55306D65"/>
    <w:rsid w:val="553C502E"/>
    <w:rsid w:val="553F1114"/>
    <w:rsid w:val="555170A7"/>
    <w:rsid w:val="55607569"/>
    <w:rsid w:val="55673A23"/>
    <w:rsid w:val="556E3FAD"/>
    <w:rsid w:val="557C581F"/>
    <w:rsid w:val="5587536D"/>
    <w:rsid w:val="55894DF3"/>
    <w:rsid w:val="558C6877"/>
    <w:rsid w:val="559629C8"/>
    <w:rsid w:val="559B174B"/>
    <w:rsid w:val="55A510A6"/>
    <w:rsid w:val="55AD1AB8"/>
    <w:rsid w:val="55B23C34"/>
    <w:rsid w:val="55B658D5"/>
    <w:rsid w:val="55C057B3"/>
    <w:rsid w:val="55C6741D"/>
    <w:rsid w:val="55CE0CF4"/>
    <w:rsid w:val="55D32512"/>
    <w:rsid w:val="55F6231F"/>
    <w:rsid w:val="561062BB"/>
    <w:rsid w:val="56225E2E"/>
    <w:rsid w:val="562A227E"/>
    <w:rsid w:val="56355AA5"/>
    <w:rsid w:val="564156CE"/>
    <w:rsid w:val="56582A17"/>
    <w:rsid w:val="56644F18"/>
    <w:rsid w:val="56692B6A"/>
    <w:rsid w:val="56755377"/>
    <w:rsid w:val="569002A5"/>
    <w:rsid w:val="569972B8"/>
    <w:rsid w:val="56A7794C"/>
    <w:rsid w:val="56B22A9C"/>
    <w:rsid w:val="56BC2FF6"/>
    <w:rsid w:val="56C429F1"/>
    <w:rsid w:val="56D17C53"/>
    <w:rsid w:val="56D70D3A"/>
    <w:rsid w:val="56E128B0"/>
    <w:rsid w:val="56F251A8"/>
    <w:rsid w:val="56F477DD"/>
    <w:rsid w:val="570A78A5"/>
    <w:rsid w:val="5711272B"/>
    <w:rsid w:val="571A6B81"/>
    <w:rsid w:val="57595B21"/>
    <w:rsid w:val="5788492C"/>
    <w:rsid w:val="579C02F7"/>
    <w:rsid w:val="57B72A76"/>
    <w:rsid w:val="57C2320F"/>
    <w:rsid w:val="57C3426C"/>
    <w:rsid w:val="57C41F3D"/>
    <w:rsid w:val="57C56338"/>
    <w:rsid w:val="57CB7F97"/>
    <w:rsid w:val="57CC6D07"/>
    <w:rsid w:val="57CE1F93"/>
    <w:rsid w:val="57CE2764"/>
    <w:rsid w:val="57D45CF1"/>
    <w:rsid w:val="57DE53EC"/>
    <w:rsid w:val="57F86DED"/>
    <w:rsid w:val="580138F2"/>
    <w:rsid w:val="58084309"/>
    <w:rsid w:val="580A65D5"/>
    <w:rsid w:val="580F056F"/>
    <w:rsid w:val="582700B4"/>
    <w:rsid w:val="583D3C73"/>
    <w:rsid w:val="584F6442"/>
    <w:rsid w:val="588509EA"/>
    <w:rsid w:val="588743D1"/>
    <w:rsid w:val="5887701A"/>
    <w:rsid w:val="58B8779D"/>
    <w:rsid w:val="58D2139F"/>
    <w:rsid w:val="58D520FD"/>
    <w:rsid w:val="58DF2F07"/>
    <w:rsid w:val="58EA0269"/>
    <w:rsid w:val="590151E0"/>
    <w:rsid w:val="591729B9"/>
    <w:rsid w:val="592A2449"/>
    <w:rsid w:val="593B4656"/>
    <w:rsid w:val="594810B1"/>
    <w:rsid w:val="595B5D5B"/>
    <w:rsid w:val="59633BAD"/>
    <w:rsid w:val="59B41811"/>
    <w:rsid w:val="59B56372"/>
    <w:rsid w:val="59BD5557"/>
    <w:rsid w:val="59C0439F"/>
    <w:rsid w:val="59C538A4"/>
    <w:rsid w:val="59C7193F"/>
    <w:rsid w:val="59C833CC"/>
    <w:rsid w:val="59CB7DC5"/>
    <w:rsid w:val="59E45E1F"/>
    <w:rsid w:val="59FB55E7"/>
    <w:rsid w:val="5A0140DB"/>
    <w:rsid w:val="5A18665D"/>
    <w:rsid w:val="5A1D5C3F"/>
    <w:rsid w:val="5A1F4B06"/>
    <w:rsid w:val="5A262157"/>
    <w:rsid w:val="5A3840F9"/>
    <w:rsid w:val="5A591153"/>
    <w:rsid w:val="5A8322FA"/>
    <w:rsid w:val="5A977801"/>
    <w:rsid w:val="5AA13F7D"/>
    <w:rsid w:val="5AAE3FB0"/>
    <w:rsid w:val="5AB01D89"/>
    <w:rsid w:val="5ABB4D56"/>
    <w:rsid w:val="5ABE2233"/>
    <w:rsid w:val="5AC468CD"/>
    <w:rsid w:val="5ACB1828"/>
    <w:rsid w:val="5AE007D4"/>
    <w:rsid w:val="5AE021FD"/>
    <w:rsid w:val="5AFA12F9"/>
    <w:rsid w:val="5B021870"/>
    <w:rsid w:val="5B073F02"/>
    <w:rsid w:val="5B146F24"/>
    <w:rsid w:val="5B384A25"/>
    <w:rsid w:val="5B3D396C"/>
    <w:rsid w:val="5B755846"/>
    <w:rsid w:val="5B787B17"/>
    <w:rsid w:val="5B7B1CE2"/>
    <w:rsid w:val="5B80444C"/>
    <w:rsid w:val="5B9064D9"/>
    <w:rsid w:val="5B930CF9"/>
    <w:rsid w:val="5BAE1CA4"/>
    <w:rsid w:val="5BC22F58"/>
    <w:rsid w:val="5BC65645"/>
    <w:rsid w:val="5BCF552A"/>
    <w:rsid w:val="5BDF5D95"/>
    <w:rsid w:val="5BE13282"/>
    <w:rsid w:val="5BF370CD"/>
    <w:rsid w:val="5BF64F85"/>
    <w:rsid w:val="5BFE7528"/>
    <w:rsid w:val="5C221340"/>
    <w:rsid w:val="5C231B04"/>
    <w:rsid w:val="5C451348"/>
    <w:rsid w:val="5C665BB7"/>
    <w:rsid w:val="5C7B72D3"/>
    <w:rsid w:val="5C8A31FF"/>
    <w:rsid w:val="5C8D7611"/>
    <w:rsid w:val="5C90224A"/>
    <w:rsid w:val="5CBE74F6"/>
    <w:rsid w:val="5CC22998"/>
    <w:rsid w:val="5CE74426"/>
    <w:rsid w:val="5CE96177"/>
    <w:rsid w:val="5CF2493B"/>
    <w:rsid w:val="5D027B4A"/>
    <w:rsid w:val="5D105DFA"/>
    <w:rsid w:val="5D3E7E08"/>
    <w:rsid w:val="5D6D45A5"/>
    <w:rsid w:val="5D744B4B"/>
    <w:rsid w:val="5DB01A1F"/>
    <w:rsid w:val="5DDE7148"/>
    <w:rsid w:val="5DE124FD"/>
    <w:rsid w:val="5DE43D51"/>
    <w:rsid w:val="5DE5472B"/>
    <w:rsid w:val="5DF536DD"/>
    <w:rsid w:val="5E2467F1"/>
    <w:rsid w:val="5E3E2C95"/>
    <w:rsid w:val="5E48502E"/>
    <w:rsid w:val="5E5764A3"/>
    <w:rsid w:val="5E5B30A5"/>
    <w:rsid w:val="5E630B2C"/>
    <w:rsid w:val="5E7B15AC"/>
    <w:rsid w:val="5E91796B"/>
    <w:rsid w:val="5EB73339"/>
    <w:rsid w:val="5EBB27B7"/>
    <w:rsid w:val="5EDD59F2"/>
    <w:rsid w:val="5EE011AA"/>
    <w:rsid w:val="5EEB381B"/>
    <w:rsid w:val="5F1A2B43"/>
    <w:rsid w:val="5F2546C3"/>
    <w:rsid w:val="5F3E6146"/>
    <w:rsid w:val="5F4C6776"/>
    <w:rsid w:val="5F4E2319"/>
    <w:rsid w:val="5F4F0E5B"/>
    <w:rsid w:val="5F511C71"/>
    <w:rsid w:val="5F555D46"/>
    <w:rsid w:val="5F7563E8"/>
    <w:rsid w:val="5F8A7ADF"/>
    <w:rsid w:val="5F8E3F6B"/>
    <w:rsid w:val="5F9B1356"/>
    <w:rsid w:val="5FB07420"/>
    <w:rsid w:val="5FB837BB"/>
    <w:rsid w:val="5FD9212E"/>
    <w:rsid w:val="5FDA201F"/>
    <w:rsid w:val="5FE27655"/>
    <w:rsid w:val="5FF52BB2"/>
    <w:rsid w:val="5FFF4436"/>
    <w:rsid w:val="601900EB"/>
    <w:rsid w:val="602C0C01"/>
    <w:rsid w:val="602F27F9"/>
    <w:rsid w:val="60301E67"/>
    <w:rsid w:val="603F1C2A"/>
    <w:rsid w:val="604D4480"/>
    <w:rsid w:val="605A3FDD"/>
    <w:rsid w:val="605A6577"/>
    <w:rsid w:val="60820FA5"/>
    <w:rsid w:val="60966616"/>
    <w:rsid w:val="60A377D8"/>
    <w:rsid w:val="60AD30F8"/>
    <w:rsid w:val="60B002F5"/>
    <w:rsid w:val="60C61B47"/>
    <w:rsid w:val="60CC405A"/>
    <w:rsid w:val="60D03445"/>
    <w:rsid w:val="60EF7443"/>
    <w:rsid w:val="61115809"/>
    <w:rsid w:val="612260FC"/>
    <w:rsid w:val="61272F7C"/>
    <w:rsid w:val="613416D7"/>
    <w:rsid w:val="613F699F"/>
    <w:rsid w:val="6141508A"/>
    <w:rsid w:val="61902E49"/>
    <w:rsid w:val="61AD68B9"/>
    <w:rsid w:val="61BB4F75"/>
    <w:rsid w:val="61DB3D07"/>
    <w:rsid w:val="61DD4483"/>
    <w:rsid w:val="61E215D8"/>
    <w:rsid w:val="61F335F4"/>
    <w:rsid w:val="620F4ED0"/>
    <w:rsid w:val="62165FD6"/>
    <w:rsid w:val="621B3775"/>
    <w:rsid w:val="62364782"/>
    <w:rsid w:val="624C28A6"/>
    <w:rsid w:val="625C2C9A"/>
    <w:rsid w:val="625E1BED"/>
    <w:rsid w:val="62870481"/>
    <w:rsid w:val="62941090"/>
    <w:rsid w:val="629F4BEA"/>
    <w:rsid w:val="62AA296C"/>
    <w:rsid w:val="62B3047B"/>
    <w:rsid w:val="62BB0009"/>
    <w:rsid w:val="62C730E9"/>
    <w:rsid w:val="62DD6A50"/>
    <w:rsid w:val="62E96ED1"/>
    <w:rsid w:val="62F14D56"/>
    <w:rsid w:val="62F17CFD"/>
    <w:rsid w:val="62F712DF"/>
    <w:rsid w:val="63310878"/>
    <w:rsid w:val="635725D8"/>
    <w:rsid w:val="6366451A"/>
    <w:rsid w:val="6394356A"/>
    <w:rsid w:val="63997D99"/>
    <w:rsid w:val="63B27105"/>
    <w:rsid w:val="63C46F05"/>
    <w:rsid w:val="63C61B2C"/>
    <w:rsid w:val="63C65464"/>
    <w:rsid w:val="63CE39A4"/>
    <w:rsid w:val="63D40BE9"/>
    <w:rsid w:val="63DA4470"/>
    <w:rsid w:val="63E52E21"/>
    <w:rsid w:val="63E64EDD"/>
    <w:rsid w:val="63E909F4"/>
    <w:rsid w:val="63F37152"/>
    <w:rsid w:val="64102431"/>
    <w:rsid w:val="64123B35"/>
    <w:rsid w:val="641E0DFC"/>
    <w:rsid w:val="64274133"/>
    <w:rsid w:val="64507DA3"/>
    <w:rsid w:val="645711AE"/>
    <w:rsid w:val="64713622"/>
    <w:rsid w:val="648979C2"/>
    <w:rsid w:val="64943FC2"/>
    <w:rsid w:val="64A5151D"/>
    <w:rsid w:val="64A5243A"/>
    <w:rsid w:val="64A743CE"/>
    <w:rsid w:val="64B82FFF"/>
    <w:rsid w:val="64C271C5"/>
    <w:rsid w:val="64D67929"/>
    <w:rsid w:val="64F531DE"/>
    <w:rsid w:val="64FB330E"/>
    <w:rsid w:val="6507593A"/>
    <w:rsid w:val="65312BAF"/>
    <w:rsid w:val="65373578"/>
    <w:rsid w:val="65382359"/>
    <w:rsid w:val="65637788"/>
    <w:rsid w:val="65741EAD"/>
    <w:rsid w:val="65982872"/>
    <w:rsid w:val="65A74E99"/>
    <w:rsid w:val="65B85280"/>
    <w:rsid w:val="65DB2380"/>
    <w:rsid w:val="65DD2C33"/>
    <w:rsid w:val="66317BAB"/>
    <w:rsid w:val="66371006"/>
    <w:rsid w:val="664529F4"/>
    <w:rsid w:val="665A4CC7"/>
    <w:rsid w:val="665E0D9E"/>
    <w:rsid w:val="66647114"/>
    <w:rsid w:val="66682803"/>
    <w:rsid w:val="66D541F9"/>
    <w:rsid w:val="66E842C7"/>
    <w:rsid w:val="66FA5727"/>
    <w:rsid w:val="66FD0E1D"/>
    <w:rsid w:val="670B5DC8"/>
    <w:rsid w:val="671F124A"/>
    <w:rsid w:val="67222D38"/>
    <w:rsid w:val="672A7AB8"/>
    <w:rsid w:val="67322224"/>
    <w:rsid w:val="673A2B56"/>
    <w:rsid w:val="674520EC"/>
    <w:rsid w:val="677A33C6"/>
    <w:rsid w:val="67845BD9"/>
    <w:rsid w:val="678C687D"/>
    <w:rsid w:val="6791512A"/>
    <w:rsid w:val="67953F5D"/>
    <w:rsid w:val="67A81AC1"/>
    <w:rsid w:val="67BA123F"/>
    <w:rsid w:val="67E27590"/>
    <w:rsid w:val="67EB4DFC"/>
    <w:rsid w:val="67F55F6E"/>
    <w:rsid w:val="68050BAD"/>
    <w:rsid w:val="680B1433"/>
    <w:rsid w:val="681F6961"/>
    <w:rsid w:val="68277B62"/>
    <w:rsid w:val="682B7B48"/>
    <w:rsid w:val="683926A8"/>
    <w:rsid w:val="6854061F"/>
    <w:rsid w:val="68610A2F"/>
    <w:rsid w:val="686B6516"/>
    <w:rsid w:val="687402F6"/>
    <w:rsid w:val="6878482D"/>
    <w:rsid w:val="68805514"/>
    <w:rsid w:val="688C6B16"/>
    <w:rsid w:val="6892146F"/>
    <w:rsid w:val="68A67612"/>
    <w:rsid w:val="68BF6993"/>
    <w:rsid w:val="68C71B3A"/>
    <w:rsid w:val="68CC52CB"/>
    <w:rsid w:val="68D04DC4"/>
    <w:rsid w:val="68DB6590"/>
    <w:rsid w:val="68E1689C"/>
    <w:rsid w:val="68E742AA"/>
    <w:rsid w:val="68EF114B"/>
    <w:rsid w:val="690141A5"/>
    <w:rsid w:val="69117181"/>
    <w:rsid w:val="69131AB9"/>
    <w:rsid w:val="69316E2F"/>
    <w:rsid w:val="69366BE8"/>
    <w:rsid w:val="694B3350"/>
    <w:rsid w:val="694D335D"/>
    <w:rsid w:val="694E2071"/>
    <w:rsid w:val="69766163"/>
    <w:rsid w:val="697A3B33"/>
    <w:rsid w:val="697E5441"/>
    <w:rsid w:val="698E2580"/>
    <w:rsid w:val="699566D7"/>
    <w:rsid w:val="69AE1F1B"/>
    <w:rsid w:val="69B010B0"/>
    <w:rsid w:val="69D44760"/>
    <w:rsid w:val="69DB153D"/>
    <w:rsid w:val="69E53555"/>
    <w:rsid w:val="69EE4AD9"/>
    <w:rsid w:val="69F973F7"/>
    <w:rsid w:val="6A1C5DDE"/>
    <w:rsid w:val="6A2055D5"/>
    <w:rsid w:val="6A520EC7"/>
    <w:rsid w:val="6A835E5D"/>
    <w:rsid w:val="6A8917B4"/>
    <w:rsid w:val="6AB419D3"/>
    <w:rsid w:val="6AE53503"/>
    <w:rsid w:val="6AF05745"/>
    <w:rsid w:val="6AF87E20"/>
    <w:rsid w:val="6AFE7291"/>
    <w:rsid w:val="6AFF13B3"/>
    <w:rsid w:val="6B072E17"/>
    <w:rsid w:val="6B0F2131"/>
    <w:rsid w:val="6B115B35"/>
    <w:rsid w:val="6B123FA4"/>
    <w:rsid w:val="6B31445C"/>
    <w:rsid w:val="6B322639"/>
    <w:rsid w:val="6B3748A9"/>
    <w:rsid w:val="6B397FFE"/>
    <w:rsid w:val="6B567508"/>
    <w:rsid w:val="6B5F7225"/>
    <w:rsid w:val="6BAE5CDD"/>
    <w:rsid w:val="6BB107A8"/>
    <w:rsid w:val="6BB22A33"/>
    <w:rsid w:val="6BC3430E"/>
    <w:rsid w:val="6BC8789F"/>
    <w:rsid w:val="6BD41445"/>
    <w:rsid w:val="6BD83C07"/>
    <w:rsid w:val="6BEF61C7"/>
    <w:rsid w:val="6C0C3C30"/>
    <w:rsid w:val="6C0E6DDC"/>
    <w:rsid w:val="6C40610C"/>
    <w:rsid w:val="6C636C38"/>
    <w:rsid w:val="6C6B380E"/>
    <w:rsid w:val="6C6C609E"/>
    <w:rsid w:val="6C6D0FB3"/>
    <w:rsid w:val="6C804C50"/>
    <w:rsid w:val="6C8D4C02"/>
    <w:rsid w:val="6C9F2875"/>
    <w:rsid w:val="6CAB6B8B"/>
    <w:rsid w:val="6CB00FEE"/>
    <w:rsid w:val="6CB253A2"/>
    <w:rsid w:val="6CD13852"/>
    <w:rsid w:val="6CDC000F"/>
    <w:rsid w:val="6CEB01C2"/>
    <w:rsid w:val="6CEC7064"/>
    <w:rsid w:val="6D012439"/>
    <w:rsid w:val="6D130272"/>
    <w:rsid w:val="6D425008"/>
    <w:rsid w:val="6D4E1734"/>
    <w:rsid w:val="6D741016"/>
    <w:rsid w:val="6D94662B"/>
    <w:rsid w:val="6DAC56CB"/>
    <w:rsid w:val="6DB34098"/>
    <w:rsid w:val="6DB545B6"/>
    <w:rsid w:val="6DB855CB"/>
    <w:rsid w:val="6DCF170F"/>
    <w:rsid w:val="6DDE7F68"/>
    <w:rsid w:val="6DE02FB4"/>
    <w:rsid w:val="6DE57F0C"/>
    <w:rsid w:val="6DE73EA1"/>
    <w:rsid w:val="6DE76703"/>
    <w:rsid w:val="6E0252EB"/>
    <w:rsid w:val="6E042B2D"/>
    <w:rsid w:val="6E0431C9"/>
    <w:rsid w:val="6E3A4A84"/>
    <w:rsid w:val="6E514CED"/>
    <w:rsid w:val="6E676B46"/>
    <w:rsid w:val="6E697118"/>
    <w:rsid w:val="6E71421E"/>
    <w:rsid w:val="6E7A0073"/>
    <w:rsid w:val="6E7A3414"/>
    <w:rsid w:val="6E8C6A77"/>
    <w:rsid w:val="6E9D27A1"/>
    <w:rsid w:val="6EA56942"/>
    <w:rsid w:val="6EB563D5"/>
    <w:rsid w:val="6EBB0175"/>
    <w:rsid w:val="6EC47D76"/>
    <w:rsid w:val="6ED92677"/>
    <w:rsid w:val="6EE9118D"/>
    <w:rsid w:val="6EFA4214"/>
    <w:rsid w:val="6F0808C0"/>
    <w:rsid w:val="6F190B08"/>
    <w:rsid w:val="6F1D0C97"/>
    <w:rsid w:val="6F225983"/>
    <w:rsid w:val="6F2F4997"/>
    <w:rsid w:val="6F353639"/>
    <w:rsid w:val="6F413BF1"/>
    <w:rsid w:val="6F440006"/>
    <w:rsid w:val="6F633692"/>
    <w:rsid w:val="6F644046"/>
    <w:rsid w:val="6F703842"/>
    <w:rsid w:val="6F716D82"/>
    <w:rsid w:val="6F7C10CD"/>
    <w:rsid w:val="6F7E3097"/>
    <w:rsid w:val="6F881C39"/>
    <w:rsid w:val="6F913114"/>
    <w:rsid w:val="6F9B77A5"/>
    <w:rsid w:val="6FA128E3"/>
    <w:rsid w:val="6FD520EA"/>
    <w:rsid w:val="6FD66A2F"/>
    <w:rsid w:val="6FDD2DC1"/>
    <w:rsid w:val="6FFC5590"/>
    <w:rsid w:val="6FFD40FB"/>
    <w:rsid w:val="700058A8"/>
    <w:rsid w:val="70047F8B"/>
    <w:rsid w:val="702126DC"/>
    <w:rsid w:val="70314643"/>
    <w:rsid w:val="70326105"/>
    <w:rsid w:val="706A403D"/>
    <w:rsid w:val="706B08A9"/>
    <w:rsid w:val="706D1DD0"/>
    <w:rsid w:val="706F478E"/>
    <w:rsid w:val="70720EF5"/>
    <w:rsid w:val="70826B10"/>
    <w:rsid w:val="70856B87"/>
    <w:rsid w:val="708C73D6"/>
    <w:rsid w:val="70C57A65"/>
    <w:rsid w:val="70D527EE"/>
    <w:rsid w:val="70D8620A"/>
    <w:rsid w:val="70F058CE"/>
    <w:rsid w:val="70F86D26"/>
    <w:rsid w:val="71035517"/>
    <w:rsid w:val="71052377"/>
    <w:rsid w:val="71081682"/>
    <w:rsid w:val="710A1EE3"/>
    <w:rsid w:val="71292BE7"/>
    <w:rsid w:val="71302E16"/>
    <w:rsid w:val="71386BC4"/>
    <w:rsid w:val="7152117B"/>
    <w:rsid w:val="715B5300"/>
    <w:rsid w:val="715E0D9E"/>
    <w:rsid w:val="71630796"/>
    <w:rsid w:val="71752175"/>
    <w:rsid w:val="717D4630"/>
    <w:rsid w:val="718226D7"/>
    <w:rsid w:val="71826F06"/>
    <w:rsid w:val="718A5D23"/>
    <w:rsid w:val="719B6564"/>
    <w:rsid w:val="719D0145"/>
    <w:rsid w:val="71AE7170"/>
    <w:rsid w:val="71B529D6"/>
    <w:rsid w:val="71B608C6"/>
    <w:rsid w:val="71BB4E1E"/>
    <w:rsid w:val="71CA2A3B"/>
    <w:rsid w:val="71CB32E0"/>
    <w:rsid w:val="71D21EFE"/>
    <w:rsid w:val="71D27F8A"/>
    <w:rsid w:val="71DB657E"/>
    <w:rsid w:val="71E921F7"/>
    <w:rsid w:val="72160E86"/>
    <w:rsid w:val="7218515F"/>
    <w:rsid w:val="72202D95"/>
    <w:rsid w:val="725056BC"/>
    <w:rsid w:val="72553024"/>
    <w:rsid w:val="725D3437"/>
    <w:rsid w:val="728617DD"/>
    <w:rsid w:val="728F4514"/>
    <w:rsid w:val="72990C6D"/>
    <w:rsid w:val="72AD5657"/>
    <w:rsid w:val="72B05A07"/>
    <w:rsid w:val="72B10D92"/>
    <w:rsid w:val="72B33057"/>
    <w:rsid w:val="72C577B8"/>
    <w:rsid w:val="72C87BB3"/>
    <w:rsid w:val="72CD183E"/>
    <w:rsid w:val="72D011F2"/>
    <w:rsid w:val="72D91ED9"/>
    <w:rsid w:val="73122968"/>
    <w:rsid w:val="731A4B15"/>
    <w:rsid w:val="731F5D5E"/>
    <w:rsid w:val="731F6922"/>
    <w:rsid w:val="73204F28"/>
    <w:rsid w:val="733D0B73"/>
    <w:rsid w:val="734919C7"/>
    <w:rsid w:val="73546A55"/>
    <w:rsid w:val="736C3EF9"/>
    <w:rsid w:val="738162A0"/>
    <w:rsid w:val="73817B5A"/>
    <w:rsid w:val="73907008"/>
    <w:rsid w:val="73B63665"/>
    <w:rsid w:val="73C51AD5"/>
    <w:rsid w:val="73CB2D80"/>
    <w:rsid w:val="73D72D76"/>
    <w:rsid w:val="73EA6309"/>
    <w:rsid w:val="73F64EEC"/>
    <w:rsid w:val="741E793C"/>
    <w:rsid w:val="74200AA0"/>
    <w:rsid w:val="742064CB"/>
    <w:rsid w:val="742406D0"/>
    <w:rsid w:val="7426457A"/>
    <w:rsid w:val="742B1702"/>
    <w:rsid w:val="743B3B70"/>
    <w:rsid w:val="74473801"/>
    <w:rsid w:val="744A02E4"/>
    <w:rsid w:val="744D3038"/>
    <w:rsid w:val="745919DD"/>
    <w:rsid w:val="74597C2E"/>
    <w:rsid w:val="745E3944"/>
    <w:rsid w:val="7460028A"/>
    <w:rsid w:val="74695354"/>
    <w:rsid w:val="747177C5"/>
    <w:rsid w:val="74850A24"/>
    <w:rsid w:val="7495397E"/>
    <w:rsid w:val="74A215B3"/>
    <w:rsid w:val="74A62659"/>
    <w:rsid w:val="74B0404D"/>
    <w:rsid w:val="74D22663"/>
    <w:rsid w:val="74E83482"/>
    <w:rsid w:val="750B5EF7"/>
    <w:rsid w:val="75201B4C"/>
    <w:rsid w:val="75216152"/>
    <w:rsid w:val="753B34D9"/>
    <w:rsid w:val="754A60DD"/>
    <w:rsid w:val="755229A2"/>
    <w:rsid w:val="75915985"/>
    <w:rsid w:val="759322BB"/>
    <w:rsid w:val="759E411A"/>
    <w:rsid w:val="75A60C51"/>
    <w:rsid w:val="75BC4DB1"/>
    <w:rsid w:val="75EF6F83"/>
    <w:rsid w:val="75FF55A5"/>
    <w:rsid w:val="761B33ED"/>
    <w:rsid w:val="76206C56"/>
    <w:rsid w:val="7635099D"/>
    <w:rsid w:val="76396CEE"/>
    <w:rsid w:val="764E5C3A"/>
    <w:rsid w:val="766A2C65"/>
    <w:rsid w:val="766D1C47"/>
    <w:rsid w:val="7670027B"/>
    <w:rsid w:val="767219BD"/>
    <w:rsid w:val="76783CC0"/>
    <w:rsid w:val="76870992"/>
    <w:rsid w:val="76973181"/>
    <w:rsid w:val="76AF1D88"/>
    <w:rsid w:val="76CE6D0D"/>
    <w:rsid w:val="76EF03D6"/>
    <w:rsid w:val="76F81C44"/>
    <w:rsid w:val="770F2BE9"/>
    <w:rsid w:val="77207763"/>
    <w:rsid w:val="772F1EE0"/>
    <w:rsid w:val="774424D0"/>
    <w:rsid w:val="77541A36"/>
    <w:rsid w:val="77625B0F"/>
    <w:rsid w:val="77762421"/>
    <w:rsid w:val="778B60F5"/>
    <w:rsid w:val="778C464A"/>
    <w:rsid w:val="778D20C9"/>
    <w:rsid w:val="779220AA"/>
    <w:rsid w:val="77AB2922"/>
    <w:rsid w:val="77AF723B"/>
    <w:rsid w:val="77B56B1F"/>
    <w:rsid w:val="77BF1E80"/>
    <w:rsid w:val="77BF1F66"/>
    <w:rsid w:val="77E163E9"/>
    <w:rsid w:val="77E56E81"/>
    <w:rsid w:val="780F09F4"/>
    <w:rsid w:val="781D1AA9"/>
    <w:rsid w:val="781D4058"/>
    <w:rsid w:val="786014DC"/>
    <w:rsid w:val="78721CB1"/>
    <w:rsid w:val="78A05E2C"/>
    <w:rsid w:val="78A24185"/>
    <w:rsid w:val="78A31478"/>
    <w:rsid w:val="78A90480"/>
    <w:rsid w:val="78CE6C82"/>
    <w:rsid w:val="78D20504"/>
    <w:rsid w:val="78DE177C"/>
    <w:rsid w:val="78E337ED"/>
    <w:rsid w:val="78E64898"/>
    <w:rsid w:val="790C447D"/>
    <w:rsid w:val="7918325B"/>
    <w:rsid w:val="79222D29"/>
    <w:rsid w:val="792D48AE"/>
    <w:rsid w:val="79336CA0"/>
    <w:rsid w:val="79344474"/>
    <w:rsid w:val="793F0573"/>
    <w:rsid w:val="7949219F"/>
    <w:rsid w:val="795E3E9C"/>
    <w:rsid w:val="799D1CF3"/>
    <w:rsid w:val="79B15C6C"/>
    <w:rsid w:val="79C3336F"/>
    <w:rsid w:val="79D0629D"/>
    <w:rsid w:val="79D801B9"/>
    <w:rsid w:val="79FC3536"/>
    <w:rsid w:val="7A364017"/>
    <w:rsid w:val="7A666C01"/>
    <w:rsid w:val="7A705AFD"/>
    <w:rsid w:val="7A78408D"/>
    <w:rsid w:val="7A7E738E"/>
    <w:rsid w:val="7A8265E1"/>
    <w:rsid w:val="7A860847"/>
    <w:rsid w:val="7A8E7D5D"/>
    <w:rsid w:val="7AB12B12"/>
    <w:rsid w:val="7AB45BBF"/>
    <w:rsid w:val="7AC44D8C"/>
    <w:rsid w:val="7ADC19EA"/>
    <w:rsid w:val="7ADD6D29"/>
    <w:rsid w:val="7ADE77CD"/>
    <w:rsid w:val="7ADF4FCE"/>
    <w:rsid w:val="7AE56752"/>
    <w:rsid w:val="7AE635A5"/>
    <w:rsid w:val="7AE87F1B"/>
    <w:rsid w:val="7AEB2129"/>
    <w:rsid w:val="7B175EBA"/>
    <w:rsid w:val="7B493724"/>
    <w:rsid w:val="7B5320C0"/>
    <w:rsid w:val="7B58479C"/>
    <w:rsid w:val="7B5C4D4D"/>
    <w:rsid w:val="7B5E1D05"/>
    <w:rsid w:val="7B686D42"/>
    <w:rsid w:val="7B841746"/>
    <w:rsid w:val="7B8700BF"/>
    <w:rsid w:val="7B87610F"/>
    <w:rsid w:val="7B9E7BD8"/>
    <w:rsid w:val="7BB61203"/>
    <w:rsid w:val="7BBC2F24"/>
    <w:rsid w:val="7C083317"/>
    <w:rsid w:val="7C3246CF"/>
    <w:rsid w:val="7C4E11E2"/>
    <w:rsid w:val="7C583AD7"/>
    <w:rsid w:val="7C6C5AC7"/>
    <w:rsid w:val="7C7C5D4B"/>
    <w:rsid w:val="7C917CEC"/>
    <w:rsid w:val="7C9C2E93"/>
    <w:rsid w:val="7CA05EFB"/>
    <w:rsid w:val="7CA57EB5"/>
    <w:rsid w:val="7CB01A4A"/>
    <w:rsid w:val="7CBC2302"/>
    <w:rsid w:val="7CC429CA"/>
    <w:rsid w:val="7CC6544B"/>
    <w:rsid w:val="7CCB09DA"/>
    <w:rsid w:val="7CCD11BA"/>
    <w:rsid w:val="7CDB5685"/>
    <w:rsid w:val="7CEC771D"/>
    <w:rsid w:val="7CF5499F"/>
    <w:rsid w:val="7D0239FF"/>
    <w:rsid w:val="7D10781E"/>
    <w:rsid w:val="7D1F05C2"/>
    <w:rsid w:val="7D2019F3"/>
    <w:rsid w:val="7D347AD1"/>
    <w:rsid w:val="7D352D51"/>
    <w:rsid w:val="7D38252E"/>
    <w:rsid w:val="7D5E40CD"/>
    <w:rsid w:val="7D614EFD"/>
    <w:rsid w:val="7D69150D"/>
    <w:rsid w:val="7D745EB9"/>
    <w:rsid w:val="7D7F4443"/>
    <w:rsid w:val="7DB744FA"/>
    <w:rsid w:val="7DC425BD"/>
    <w:rsid w:val="7DCA2835"/>
    <w:rsid w:val="7DCC0512"/>
    <w:rsid w:val="7DCD56F2"/>
    <w:rsid w:val="7DDD596B"/>
    <w:rsid w:val="7E132BFC"/>
    <w:rsid w:val="7E2B43EA"/>
    <w:rsid w:val="7E3B0F54"/>
    <w:rsid w:val="7E45163D"/>
    <w:rsid w:val="7E462FD2"/>
    <w:rsid w:val="7E4A7B04"/>
    <w:rsid w:val="7E5D031B"/>
    <w:rsid w:val="7E5F4093"/>
    <w:rsid w:val="7E861620"/>
    <w:rsid w:val="7E88183C"/>
    <w:rsid w:val="7E8E55E3"/>
    <w:rsid w:val="7E9C553D"/>
    <w:rsid w:val="7EB00FD7"/>
    <w:rsid w:val="7EB949F0"/>
    <w:rsid w:val="7F001CE7"/>
    <w:rsid w:val="7F10538E"/>
    <w:rsid w:val="7F1A5DA9"/>
    <w:rsid w:val="7F271C18"/>
    <w:rsid w:val="7F3561DD"/>
    <w:rsid w:val="7F3665B7"/>
    <w:rsid w:val="7F375C7E"/>
    <w:rsid w:val="7F435763"/>
    <w:rsid w:val="7F542E47"/>
    <w:rsid w:val="7F5F07EF"/>
    <w:rsid w:val="7F8B2543"/>
    <w:rsid w:val="7F9B5B1A"/>
    <w:rsid w:val="7FAB531A"/>
    <w:rsid w:val="7FBA10FA"/>
    <w:rsid w:val="7FBF0D9E"/>
    <w:rsid w:val="7FE47E50"/>
    <w:rsid w:val="7FEF4C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nhideWhenUsed="0" w:uiPriority="0" w:semiHidden="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99" w:semiHidden="0" w:name="toc 1" w:locked="1"/>
    <w:lsdException w:qFormat="1" w:uiPriority="39" w:semiHidden="0" w:name="toc 2" w:locked="1"/>
    <w:lsdException w:qFormat="1" w:uiPriority="39"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99" w:name="annotation text"/>
    <w:lsdException w:qFormat="1" w:unhideWhenUsed="0" w:uiPriority="99" w:semiHidden="0" w:name="header"/>
    <w:lsdException w:qFormat="1" w:unhideWhenUsed="0" w:uiPriority="99" w:semiHidden="0" w:name="footer"/>
    <w:lsdException w:unhideWhenUsed="0" w:uiPriority="0" w:semiHidden="0" w:name="index heading" w:locked="1"/>
    <w:lsdException w:qFormat="1" w:unhideWhenUsed="0" w:uiPriority="0" w:semiHidden="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99" w:semiHidden="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qFormat="1"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qFormat="1"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99"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iPriority="99" w:semiHidden="0" w:name="Body Text First Indent" w:locked="1"/>
    <w:lsdException w:qFormat="1" w:unhideWhenUsed="0" w:uiPriority="0" w:semiHidden="0" w:name="Body Text First Indent 2" w:locked="1"/>
    <w:lsdException w:qFormat="1" w:unhideWhenUsed="0" w:uiPriority="0" w:semiHidden="0" w:name="Note Heading" w:locked="1"/>
    <w:lsdException w:qFormat="1" w:unhideWhenUsed="0" w:uiPriority="0" w:semiHidden="0" w:name="Body Text 2" w:locked="1"/>
    <w:lsdException w:qFormat="1" w:unhideWhenUsed="0" w:uiPriority="0" w:semiHidden="0" w:name="Body Text 3" w:locked="1"/>
    <w:lsdException w:qFormat="1" w:unhideWhenUsed="0" w:uiPriority="99" w:semiHidden="0" w:name="Body Text Indent 2" w:locked="1"/>
    <w:lsdException w:qFormat="1" w:unhideWhenUsed="0" w:uiPriority="99" w:semiHidden="0" w:name="Body Text Indent 3" w:locked="1"/>
    <w:lsdException w:unhideWhenUsed="0" w:uiPriority="0" w:semiHidden="0" w:name="Block Text" w:locked="1"/>
    <w:lsdException w:qFormat="1" w:unhideWhenUsed="0" w:uiPriority="99" w:semiHidden="0" w:name="Hyperlink" w:locked="1"/>
    <w:lsdException w:qFormat="1" w:unhideWhenUsed="0" w:uiPriority="0" w:semiHidden="0" w:name="FollowedHyperlink" w:locked="1"/>
    <w:lsdException w:qFormat="1" w:unhideWhenUsed="0" w:uiPriority="0" w:semiHidden="0" w:name="Strong" w:locked="1"/>
    <w:lsdException w:qFormat="1" w:unhideWhenUsed="0" w:uiPriority="0" w:semiHidden="0" w:name="Emphasis" w:locked="1"/>
    <w:lsdException w:qFormat="1"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99" w:semiHidden="0" w:name="Normal (Web)"/>
    <w:lsdException w:qFormat="1" w:unhideWhenUsed="0" w:uiPriority="0" w:semiHidden="0" w:name="HTML Acronym" w:locked="1"/>
    <w:lsdException w:unhideWhenUsed="0" w:uiPriority="0" w:semiHidden="0" w:name="HTML Address" w:locked="1"/>
    <w:lsdException w:qFormat="1" w:unhideWhenUsed="0" w:uiPriority="0" w:semiHidden="0" w:name="HTML Cite" w:locked="1"/>
    <w:lsdException w:qFormat="1" w:unhideWhenUsed="0" w:uiPriority="0" w:semiHidden="0" w:name="HTML Code" w:locked="1"/>
    <w:lsdException w:qFormat="1" w:unhideWhenUsed="0" w:uiPriority="0" w:semiHidden="0" w:name="HTML Definition" w:locked="1"/>
    <w:lsdException w:qFormat="1" w:unhideWhenUsed="0" w:uiPriority="0" w:semiHidden="0" w:name="HTML Keyboard" w:locked="1"/>
    <w:lsdException w:qFormat="1" w:unhideWhenUsed="0" w:uiPriority="0" w:semiHidden="0" w:name="HTML Preformatted" w:locked="1"/>
    <w:lsdException w:qFormat="1" w:unhideWhenUsed="0" w:uiPriority="0" w:semiHidden="0" w:name="HTML Sample" w:locked="1"/>
    <w:lsdException w:unhideWhenUsed="0" w:uiPriority="0" w:semiHidden="0" w:name="HTML Typewriter" w:locked="1"/>
    <w:lsdException w:qFormat="1" w:unhideWhenUsed="0" w:uiPriority="0" w:semiHidden="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qFormat="1" w:unhideWhenUsed="0" w:uiPriority="0" w:semiHidden="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semiHidden="0" w:name="Balloon Text"/>
    <w:lsdException w:qFormat="1" w:unhideWhenUsed="0" w:uiPriority="0" w:semiHidden="0" w:name="Table Grid"/>
    <w:lsdException w:uiPriority="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4"/>
      <w:szCs w:val="24"/>
      <w:lang w:val="en-US" w:eastAsia="zh-CN" w:bidi="ar-SA"/>
    </w:rPr>
  </w:style>
  <w:style w:type="paragraph" w:styleId="8">
    <w:name w:val="heading 1"/>
    <w:basedOn w:val="1"/>
    <w:next w:val="1"/>
    <w:link w:val="69"/>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9">
    <w:name w:val="heading 2"/>
    <w:basedOn w:val="1"/>
    <w:next w:val="1"/>
    <w:link w:val="70"/>
    <w:qFormat/>
    <w:locked/>
    <w:uiPriority w:val="0"/>
    <w:pPr>
      <w:keepNext/>
      <w:keepLines/>
      <w:spacing w:before="260" w:after="260" w:line="416" w:lineRule="auto"/>
      <w:outlineLvl w:val="1"/>
    </w:pPr>
    <w:rPr>
      <w:rFonts w:ascii="等线 Light" w:hAnsi="等线 Light" w:eastAsia="等线 Light"/>
      <w:b/>
      <w:bCs/>
      <w:sz w:val="32"/>
      <w:szCs w:val="32"/>
    </w:rPr>
  </w:style>
  <w:style w:type="paragraph" w:styleId="10">
    <w:name w:val="heading 3"/>
    <w:basedOn w:val="1"/>
    <w:next w:val="1"/>
    <w:link w:val="71"/>
    <w:qFormat/>
    <w:locked/>
    <w:uiPriority w:val="0"/>
    <w:pPr>
      <w:keepNext/>
      <w:keepLines/>
      <w:spacing w:before="260" w:after="260" w:line="416" w:lineRule="auto"/>
      <w:outlineLvl w:val="2"/>
    </w:pPr>
    <w:rPr>
      <w:b/>
      <w:bCs/>
      <w:sz w:val="32"/>
      <w:szCs w:val="32"/>
    </w:rPr>
  </w:style>
  <w:style w:type="paragraph" w:styleId="11">
    <w:name w:val="heading 4"/>
    <w:basedOn w:val="1"/>
    <w:next w:val="1"/>
    <w:link w:val="72"/>
    <w:qFormat/>
    <w:locked/>
    <w:uiPriority w:val="0"/>
    <w:pPr>
      <w:keepNext/>
      <w:keepLines/>
      <w:spacing w:before="100" w:beforeAutospacing="1" w:after="100" w:afterAutospacing="1" w:line="480" w:lineRule="atLeast"/>
      <w:outlineLvl w:val="3"/>
    </w:pPr>
    <w:rPr>
      <w:b/>
      <w:bCs/>
      <w:szCs w:val="28"/>
    </w:rPr>
  </w:style>
  <w:style w:type="paragraph" w:styleId="12">
    <w:name w:val="heading 6"/>
    <w:basedOn w:val="1"/>
    <w:next w:val="1"/>
    <w:qFormat/>
    <w:locked/>
    <w:uiPriority w:val="0"/>
    <w:pPr>
      <w:keepNext/>
      <w:keepLines/>
      <w:spacing w:before="240" w:after="64" w:line="320" w:lineRule="auto"/>
      <w:outlineLvl w:val="5"/>
    </w:pPr>
    <w:rPr>
      <w:rFonts w:ascii="Cambria" w:hAnsi="Cambria"/>
      <w:b/>
      <w:bCs/>
    </w:rPr>
  </w:style>
  <w:style w:type="character" w:default="1" w:styleId="45">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customStyle="1" w:styleId="2">
    <w:name w:val="四级条标题"/>
    <w:basedOn w:val="3"/>
    <w:next w:val="7"/>
    <w:qFormat/>
    <w:uiPriority w:val="0"/>
    <w:pPr>
      <w:tabs>
        <w:tab w:val="left" w:pos="1260"/>
        <w:tab w:val="left" w:pos="1680"/>
      </w:tabs>
      <w:outlineLvl w:val="5"/>
    </w:pPr>
    <w:rPr>
      <w:szCs w:val="20"/>
    </w:rPr>
  </w:style>
  <w:style w:type="paragraph" w:customStyle="1" w:styleId="3">
    <w:name w:val="三级条标题"/>
    <w:basedOn w:val="4"/>
    <w:next w:val="7"/>
    <w:qFormat/>
    <w:uiPriority w:val="0"/>
    <w:pPr>
      <w:numPr>
        <w:numId w:val="0"/>
      </w:numPr>
      <w:tabs>
        <w:tab w:val="left" w:pos="1260"/>
        <w:tab w:val="left" w:pos="1680"/>
      </w:tabs>
      <w:outlineLvl w:val="4"/>
    </w:pPr>
  </w:style>
  <w:style w:type="paragraph" w:customStyle="1" w:styleId="4">
    <w:name w:val="二级条标题"/>
    <w:basedOn w:val="5"/>
    <w:next w:val="7"/>
    <w:qFormat/>
    <w:uiPriority w:val="0"/>
    <w:pPr>
      <w:numPr>
        <w:ilvl w:val="3"/>
      </w:numPr>
      <w:tabs>
        <w:tab w:val="left" w:pos="1260"/>
        <w:tab w:val="left" w:pos="1680"/>
      </w:tabs>
      <w:outlineLvl w:val="3"/>
    </w:pPr>
  </w:style>
  <w:style w:type="paragraph" w:customStyle="1" w:styleId="5">
    <w:name w:val="一级条标题"/>
    <w:basedOn w:val="6"/>
    <w:next w:val="7"/>
    <w:qFormat/>
    <w:uiPriority w:val="0"/>
    <w:pPr>
      <w:numPr>
        <w:ilvl w:val="2"/>
        <w:numId w:val="1"/>
      </w:numPr>
      <w:tabs>
        <w:tab w:val="left" w:pos="1260"/>
      </w:tabs>
      <w:spacing w:beforeLines="0" w:afterLines="0"/>
      <w:outlineLvl w:val="2"/>
    </w:pPr>
  </w:style>
  <w:style w:type="paragraph" w:customStyle="1" w:styleId="6">
    <w:name w:val="章标题"/>
    <w:next w:val="7"/>
    <w:qFormat/>
    <w:uiPriority w:val="0"/>
    <w:pPr>
      <w:spacing w:beforeLines="50" w:afterLines="50"/>
      <w:jc w:val="both"/>
      <w:outlineLvl w:val="1"/>
    </w:pPr>
    <w:rPr>
      <w:rFonts w:ascii="黑体" w:hAnsi="Times New Roman" w:eastAsia="黑体" w:cs="Times New Roman"/>
      <w:sz w:val="21"/>
      <w:szCs w:val="22"/>
      <w:lang w:val="en-US" w:eastAsia="zh-CN" w:bidi="ar-SA"/>
    </w:rPr>
  </w:style>
  <w:style w:type="paragraph" w:customStyle="1" w:styleId="7">
    <w:name w:val="段"/>
    <w:qFormat/>
    <w:uiPriority w:val="0"/>
    <w:pPr>
      <w:autoSpaceDE w:val="0"/>
      <w:autoSpaceDN w:val="0"/>
      <w:ind w:firstLine="200" w:firstLineChars="200"/>
      <w:jc w:val="both"/>
    </w:pPr>
    <w:rPr>
      <w:rFonts w:ascii="宋体" w:hAnsi="Times New Roman" w:eastAsia="宋体" w:cs="Times New Roman"/>
      <w:sz w:val="21"/>
      <w:szCs w:val="22"/>
      <w:lang w:val="en-US" w:eastAsia="zh-CN" w:bidi="ar-SA"/>
    </w:rPr>
  </w:style>
  <w:style w:type="paragraph" w:styleId="13">
    <w:name w:val="List 3"/>
    <w:basedOn w:val="1"/>
    <w:qFormat/>
    <w:locked/>
    <w:uiPriority w:val="0"/>
    <w:pPr>
      <w:ind w:left="100" w:leftChars="400" w:hanging="200" w:hangingChars="200"/>
    </w:pPr>
  </w:style>
  <w:style w:type="paragraph" w:styleId="14">
    <w:name w:val="table of authorities"/>
    <w:basedOn w:val="1"/>
    <w:next w:val="1"/>
    <w:qFormat/>
    <w:locked/>
    <w:uiPriority w:val="0"/>
    <w:pPr>
      <w:ind w:left="420" w:leftChars="200"/>
    </w:pPr>
  </w:style>
  <w:style w:type="paragraph" w:styleId="15">
    <w:name w:val="Note Heading"/>
    <w:basedOn w:val="1"/>
    <w:next w:val="1"/>
    <w:link w:val="73"/>
    <w:qFormat/>
    <w:locked/>
    <w:uiPriority w:val="0"/>
    <w:pPr>
      <w:spacing w:line="360" w:lineRule="auto"/>
      <w:ind w:firstLine="200" w:firstLineChars="200"/>
      <w:jc w:val="center"/>
    </w:pPr>
    <w:rPr>
      <w:kern w:val="0"/>
      <w:szCs w:val="20"/>
    </w:rPr>
  </w:style>
  <w:style w:type="paragraph" w:styleId="16">
    <w:name w:val="Normal Indent"/>
    <w:basedOn w:val="1"/>
    <w:next w:val="17"/>
    <w:link w:val="74"/>
    <w:qFormat/>
    <w:locked/>
    <w:uiPriority w:val="0"/>
    <w:pPr>
      <w:ind w:firstLine="420"/>
    </w:pPr>
    <w:rPr>
      <w:kern w:val="0"/>
      <w:sz w:val="20"/>
      <w:szCs w:val="20"/>
    </w:rPr>
  </w:style>
  <w:style w:type="paragraph" w:customStyle="1" w:styleId="17">
    <w:name w:val="样式 正文文本 + 首行缩进:  2 字符"/>
    <w:qFormat/>
    <w:uiPriority w:val="99"/>
    <w:pPr>
      <w:spacing w:after="200" w:line="480" w:lineRule="exact"/>
      <w:ind w:firstLine="480" w:firstLineChars="200"/>
    </w:pPr>
    <w:rPr>
      <w:rFonts w:ascii="Times New Roman" w:hAnsi="Times New Roman" w:eastAsia="微软雅黑" w:cs="Times New Roman"/>
      <w:sz w:val="24"/>
      <w:szCs w:val="22"/>
      <w:lang w:val="en-US" w:eastAsia="zh-CN" w:bidi="ar-SA"/>
    </w:rPr>
  </w:style>
  <w:style w:type="paragraph" w:styleId="18">
    <w:name w:val="caption"/>
    <w:basedOn w:val="1"/>
    <w:next w:val="1"/>
    <w:link w:val="75"/>
    <w:qFormat/>
    <w:locked/>
    <w:uiPriority w:val="0"/>
    <w:pPr>
      <w:keepNext/>
      <w:snapToGrid w:val="0"/>
      <w:jc w:val="center"/>
    </w:pPr>
    <w:rPr>
      <w:rFonts w:ascii="宋体" w:hAnsi="宋体" w:cs="Arial"/>
      <w:kern w:val="0"/>
      <w:sz w:val="20"/>
      <w:szCs w:val="20"/>
    </w:rPr>
  </w:style>
  <w:style w:type="paragraph" w:styleId="19">
    <w:name w:val="Document Map"/>
    <w:basedOn w:val="1"/>
    <w:link w:val="76"/>
    <w:qFormat/>
    <w:locked/>
    <w:uiPriority w:val="0"/>
    <w:pPr>
      <w:shd w:val="clear" w:color="auto" w:fill="000080"/>
    </w:pPr>
  </w:style>
  <w:style w:type="paragraph" w:styleId="20">
    <w:name w:val="annotation text"/>
    <w:basedOn w:val="1"/>
    <w:link w:val="77"/>
    <w:semiHidden/>
    <w:qFormat/>
    <w:uiPriority w:val="99"/>
    <w:pPr>
      <w:jc w:val="left"/>
    </w:pPr>
    <w:rPr>
      <w:kern w:val="0"/>
      <w:szCs w:val="20"/>
    </w:rPr>
  </w:style>
  <w:style w:type="paragraph" w:styleId="21">
    <w:name w:val="Body Text 3"/>
    <w:basedOn w:val="1"/>
    <w:link w:val="78"/>
    <w:qFormat/>
    <w:locked/>
    <w:uiPriority w:val="0"/>
    <w:pPr>
      <w:spacing w:after="120"/>
    </w:pPr>
    <w:rPr>
      <w:sz w:val="16"/>
      <w:szCs w:val="16"/>
    </w:rPr>
  </w:style>
  <w:style w:type="paragraph" w:styleId="22">
    <w:name w:val="Body Text"/>
    <w:basedOn w:val="1"/>
    <w:next w:val="1"/>
    <w:link w:val="67"/>
    <w:qFormat/>
    <w:uiPriority w:val="99"/>
    <w:pPr>
      <w:widowControl/>
      <w:snapToGrid w:val="0"/>
      <w:spacing w:before="60" w:after="160" w:line="259" w:lineRule="auto"/>
      <w:ind w:right="113"/>
    </w:pPr>
    <w:rPr>
      <w:kern w:val="0"/>
      <w:sz w:val="18"/>
      <w:szCs w:val="20"/>
    </w:rPr>
  </w:style>
  <w:style w:type="paragraph" w:styleId="23">
    <w:name w:val="Body Text Indent"/>
    <w:basedOn w:val="1"/>
    <w:next w:val="24"/>
    <w:link w:val="79"/>
    <w:qFormat/>
    <w:uiPriority w:val="0"/>
    <w:pPr>
      <w:spacing w:after="120"/>
      <w:ind w:left="420" w:leftChars="200"/>
    </w:pPr>
    <w:rPr>
      <w:kern w:val="0"/>
      <w:szCs w:val="20"/>
    </w:rPr>
  </w:style>
  <w:style w:type="paragraph" w:styleId="24">
    <w:name w:val="Body Text First Indent"/>
    <w:basedOn w:val="22"/>
    <w:next w:val="1"/>
    <w:link w:val="90"/>
    <w:unhideWhenUsed/>
    <w:qFormat/>
    <w:locked/>
    <w:uiPriority w:val="99"/>
    <w:pPr>
      <w:widowControl w:val="0"/>
      <w:snapToGrid/>
      <w:spacing w:before="0" w:after="120" w:line="240" w:lineRule="auto"/>
      <w:ind w:right="0" w:firstLine="420" w:firstLineChars="100"/>
    </w:pPr>
    <w:rPr>
      <w:kern w:val="2"/>
      <w:sz w:val="21"/>
      <w:szCs w:val="24"/>
    </w:rPr>
  </w:style>
  <w:style w:type="paragraph" w:styleId="25">
    <w:name w:val="toc 3"/>
    <w:basedOn w:val="1"/>
    <w:next w:val="1"/>
    <w:unhideWhenUsed/>
    <w:qFormat/>
    <w:locked/>
    <w:uiPriority w:val="39"/>
    <w:pPr>
      <w:ind w:left="840" w:leftChars="400"/>
    </w:pPr>
    <w:rPr>
      <w:szCs w:val="20"/>
    </w:rPr>
  </w:style>
  <w:style w:type="paragraph" w:styleId="26">
    <w:name w:val="Plain Text"/>
    <w:basedOn w:val="1"/>
    <w:link w:val="80"/>
    <w:qFormat/>
    <w:locked/>
    <w:uiPriority w:val="0"/>
    <w:rPr>
      <w:rFonts w:ascii="宋体" w:hAnsi="Courier New"/>
      <w:kern w:val="0"/>
      <w:sz w:val="15"/>
      <w:szCs w:val="21"/>
    </w:rPr>
  </w:style>
  <w:style w:type="paragraph" w:styleId="27">
    <w:name w:val="List Bullet 5"/>
    <w:basedOn w:val="1"/>
    <w:qFormat/>
    <w:locked/>
    <w:uiPriority w:val="0"/>
    <w:pPr>
      <w:numPr>
        <w:ilvl w:val="0"/>
        <w:numId w:val="2"/>
      </w:numPr>
    </w:pPr>
  </w:style>
  <w:style w:type="paragraph" w:styleId="28">
    <w:name w:val="Date"/>
    <w:basedOn w:val="1"/>
    <w:next w:val="1"/>
    <w:link w:val="81"/>
    <w:qFormat/>
    <w:uiPriority w:val="0"/>
    <w:pPr>
      <w:ind w:left="100" w:leftChars="2500"/>
    </w:pPr>
    <w:rPr>
      <w:kern w:val="0"/>
      <w:szCs w:val="20"/>
    </w:rPr>
  </w:style>
  <w:style w:type="paragraph" w:styleId="29">
    <w:name w:val="Body Text Indent 2"/>
    <w:basedOn w:val="1"/>
    <w:next w:val="30"/>
    <w:link w:val="68"/>
    <w:qFormat/>
    <w:locked/>
    <w:uiPriority w:val="99"/>
    <w:pPr>
      <w:spacing w:after="120" w:line="480" w:lineRule="auto"/>
      <w:ind w:left="420" w:leftChars="200"/>
    </w:pPr>
  </w:style>
  <w:style w:type="paragraph" w:styleId="30">
    <w:name w:val="Body Text First Indent 2"/>
    <w:basedOn w:val="23"/>
    <w:next w:val="1"/>
    <w:qFormat/>
    <w:locked/>
    <w:uiPriority w:val="0"/>
    <w:pPr>
      <w:ind w:firstLine="420" w:firstLineChars="200"/>
    </w:pPr>
  </w:style>
  <w:style w:type="paragraph" w:styleId="31">
    <w:name w:val="Balloon Text"/>
    <w:basedOn w:val="1"/>
    <w:link w:val="82"/>
    <w:qFormat/>
    <w:uiPriority w:val="0"/>
    <w:rPr>
      <w:kern w:val="0"/>
      <w:sz w:val="18"/>
      <w:szCs w:val="20"/>
    </w:rPr>
  </w:style>
  <w:style w:type="paragraph" w:styleId="32">
    <w:name w:val="footer"/>
    <w:basedOn w:val="1"/>
    <w:link w:val="83"/>
    <w:qFormat/>
    <w:uiPriority w:val="99"/>
    <w:pPr>
      <w:tabs>
        <w:tab w:val="center" w:pos="4153"/>
        <w:tab w:val="right" w:pos="8306"/>
      </w:tabs>
      <w:snapToGrid w:val="0"/>
      <w:jc w:val="left"/>
    </w:pPr>
    <w:rPr>
      <w:kern w:val="0"/>
      <w:sz w:val="18"/>
      <w:szCs w:val="20"/>
    </w:rPr>
  </w:style>
  <w:style w:type="paragraph" w:styleId="33">
    <w:name w:val="header"/>
    <w:basedOn w:val="1"/>
    <w:link w:val="84"/>
    <w:qFormat/>
    <w:uiPriority w:val="99"/>
    <w:pPr>
      <w:pBdr>
        <w:bottom w:val="single" w:color="auto" w:sz="6" w:space="1"/>
      </w:pBdr>
      <w:tabs>
        <w:tab w:val="center" w:pos="4153"/>
        <w:tab w:val="right" w:pos="8306"/>
      </w:tabs>
      <w:snapToGrid w:val="0"/>
      <w:jc w:val="center"/>
    </w:pPr>
    <w:rPr>
      <w:kern w:val="0"/>
      <w:sz w:val="18"/>
      <w:szCs w:val="20"/>
    </w:rPr>
  </w:style>
  <w:style w:type="paragraph" w:styleId="34">
    <w:name w:val="toc 1"/>
    <w:basedOn w:val="1"/>
    <w:next w:val="1"/>
    <w:qFormat/>
    <w:locked/>
    <w:uiPriority w:val="99"/>
  </w:style>
  <w:style w:type="paragraph" w:styleId="35">
    <w:name w:val="List"/>
    <w:basedOn w:val="1"/>
    <w:qFormat/>
    <w:locked/>
    <w:uiPriority w:val="0"/>
    <w:pPr>
      <w:ind w:left="200" w:hanging="200" w:hangingChars="200"/>
    </w:pPr>
  </w:style>
  <w:style w:type="paragraph" w:styleId="36">
    <w:name w:val="Body Text Indent 3"/>
    <w:basedOn w:val="1"/>
    <w:link w:val="85"/>
    <w:qFormat/>
    <w:locked/>
    <w:uiPriority w:val="99"/>
    <w:pPr>
      <w:spacing w:after="120"/>
      <w:ind w:left="420" w:leftChars="200"/>
    </w:pPr>
    <w:rPr>
      <w:sz w:val="16"/>
      <w:szCs w:val="16"/>
    </w:rPr>
  </w:style>
  <w:style w:type="paragraph" w:styleId="37">
    <w:name w:val="toc 2"/>
    <w:basedOn w:val="1"/>
    <w:next w:val="1"/>
    <w:unhideWhenUsed/>
    <w:qFormat/>
    <w:locked/>
    <w:uiPriority w:val="39"/>
    <w:pPr>
      <w:ind w:left="420" w:leftChars="200"/>
    </w:pPr>
    <w:rPr>
      <w:szCs w:val="20"/>
    </w:rPr>
  </w:style>
  <w:style w:type="paragraph" w:styleId="38">
    <w:name w:val="Body Text 2"/>
    <w:basedOn w:val="1"/>
    <w:link w:val="86"/>
    <w:qFormat/>
    <w:locked/>
    <w:uiPriority w:val="0"/>
    <w:pPr>
      <w:spacing w:after="120" w:line="480" w:lineRule="auto"/>
    </w:pPr>
  </w:style>
  <w:style w:type="paragraph" w:styleId="39">
    <w:name w:val="HTML Preformatted"/>
    <w:basedOn w:val="1"/>
    <w:link w:val="87"/>
    <w:qFormat/>
    <w:locked/>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rPr>
  </w:style>
  <w:style w:type="paragraph" w:styleId="40">
    <w:name w:val="Normal (Web)"/>
    <w:basedOn w:val="1"/>
    <w:link w:val="88"/>
    <w:qFormat/>
    <w:uiPriority w:val="99"/>
    <w:pPr>
      <w:widowControl/>
      <w:spacing w:before="100" w:beforeAutospacing="1" w:after="100" w:afterAutospacing="1"/>
      <w:jc w:val="left"/>
    </w:pPr>
    <w:rPr>
      <w:rFonts w:ascii="宋体" w:hAnsi="宋体"/>
      <w:kern w:val="0"/>
      <w:szCs w:val="20"/>
    </w:rPr>
  </w:style>
  <w:style w:type="paragraph" w:styleId="41">
    <w:name w:val="annotation subject"/>
    <w:basedOn w:val="20"/>
    <w:next w:val="20"/>
    <w:link w:val="89"/>
    <w:semiHidden/>
    <w:qFormat/>
    <w:uiPriority w:val="0"/>
    <w:rPr>
      <w:b/>
    </w:rPr>
  </w:style>
  <w:style w:type="table" w:styleId="43">
    <w:name w:val="Table Grid"/>
    <w:basedOn w:val="4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44">
    <w:name w:val="Table Grid 5"/>
    <w:basedOn w:val="42"/>
    <w:qFormat/>
    <w:locked/>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single" w:color="000000" w:sz="12" w:space="0"/>
          <w:bottom w:val="nil"/>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character" w:styleId="46">
    <w:name w:val="Strong"/>
    <w:basedOn w:val="45"/>
    <w:qFormat/>
    <w:locked/>
    <w:uiPriority w:val="0"/>
    <w:rPr>
      <w:b/>
      <w:bCs/>
    </w:rPr>
  </w:style>
  <w:style w:type="character" w:styleId="47">
    <w:name w:val="page number"/>
    <w:qFormat/>
    <w:locked/>
    <w:uiPriority w:val="0"/>
  </w:style>
  <w:style w:type="character" w:styleId="48">
    <w:name w:val="FollowedHyperlink"/>
    <w:qFormat/>
    <w:locked/>
    <w:uiPriority w:val="0"/>
    <w:rPr>
      <w:rFonts w:cs="Times New Roman"/>
      <w:color w:val="800080"/>
      <w:u w:val="single"/>
    </w:rPr>
  </w:style>
  <w:style w:type="character" w:styleId="49">
    <w:name w:val="Emphasis"/>
    <w:qFormat/>
    <w:locked/>
    <w:uiPriority w:val="0"/>
  </w:style>
  <w:style w:type="character" w:styleId="50">
    <w:name w:val="HTML Definition"/>
    <w:qFormat/>
    <w:locked/>
    <w:uiPriority w:val="0"/>
  </w:style>
  <w:style w:type="character" w:styleId="51">
    <w:name w:val="HTML Acronym"/>
    <w:qFormat/>
    <w:locked/>
    <w:uiPriority w:val="0"/>
  </w:style>
  <w:style w:type="character" w:styleId="52">
    <w:name w:val="HTML Variable"/>
    <w:qFormat/>
    <w:locked/>
    <w:uiPriority w:val="0"/>
  </w:style>
  <w:style w:type="character" w:styleId="53">
    <w:name w:val="Hyperlink"/>
    <w:basedOn w:val="45"/>
    <w:qFormat/>
    <w:locked/>
    <w:uiPriority w:val="99"/>
    <w:rPr>
      <w:color w:val="3366CC"/>
      <w:u w:val="single"/>
    </w:rPr>
  </w:style>
  <w:style w:type="character" w:styleId="54">
    <w:name w:val="HTML Code"/>
    <w:qFormat/>
    <w:locked/>
    <w:uiPriority w:val="0"/>
    <w:rPr>
      <w:rFonts w:ascii="monospace" w:hAnsi="monospace" w:eastAsia="monospace" w:cs="monospace"/>
      <w:sz w:val="21"/>
      <w:szCs w:val="21"/>
    </w:rPr>
  </w:style>
  <w:style w:type="character" w:styleId="55">
    <w:name w:val="annotation reference"/>
    <w:qFormat/>
    <w:uiPriority w:val="99"/>
    <w:rPr>
      <w:sz w:val="21"/>
    </w:rPr>
  </w:style>
  <w:style w:type="character" w:styleId="56">
    <w:name w:val="HTML Cite"/>
    <w:qFormat/>
    <w:locked/>
    <w:uiPriority w:val="0"/>
  </w:style>
  <w:style w:type="character" w:styleId="57">
    <w:name w:val="HTML Keyboard"/>
    <w:qFormat/>
    <w:locked/>
    <w:uiPriority w:val="0"/>
    <w:rPr>
      <w:rFonts w:hint="default" w:ascii="monospace" w:hAnsi="monospace" w:eastAsia="monospace" w:cs="monospace"/>
      <w:sz w:val="21"/>
      <w:szCs w:val="21"/>
    </w:rPr>
  </w:style>
  <w:style w:type="character" w:styleId="58">
    <w:name w:val="HTML Sample"/>
    <w:qFormat/>
    <w:locked/>
    <w:uiPriority w:val="0"/>
    <w:rPr>
      <w:rFonts w:hint="default" w:ascii="monospace" w:hAnsi="monospace" w:eastAsia="monospace" w:cs="monospace"/>
      <w:sz w:val="21"/>
      <w:szCs w:val="21"/>
    </w:rPr>
  </w:style>
  <w:style w:type="paragraph" w:customStyle="1" w:styleId="59">
    <w:name w:val="表字体xw"/>
    <w:basedOn w:val="1"/>
    <w:next w:val="1"/>
    <w:qFormat/>
    <w:uiPriority w:val="0"/>
    <w:pPr>
      <w:spacing w:line="240" w:lineRule="auto"/>
      <w:jc w:val="center"/>
    </w:pPr>
    <w:rPr>
      <w:rFonts w:ascii="Times New Roman" w:hAnsi="Times New Roman" w:eastAsia="宋体"/>
    </w:rPr>
  </w:style>
  <w:style w:type="paragraph" w:customStyle="1" w:styleId="60">
    <w:name w:val="xl27"/>
    <w:basedOn w:val="14"/>
    <w:next w:val="1"/>
    <w:qFormat/>
    <w:uiPriority w:val="0"/>
    <w:pPr>
      <w:widowControl/>
      <w:pBdr>
        <w:top w:val="single" w:color="auto" w:sz="4" w:space="0"/>
        <w:left w:val="single" w:color="auto" w:sz="8" w:space="0"/>
        <w:bottom w:val="single" w:color="auto" w:sz="4" w:space="0"/>
        <w:right w:val="single" w:color="auto" w:sz="4" w:space="0"/>
      </w:pBdr>
      <w:spacing w:before="100" w:beforeAutospacing="1" w:after="100" w:afterAutospacing="1"/>
      <w:jc w:val="center"/>
    </w:pPr>
    <w:rPr>
      <w:rFonts w:ascii="新宋体-18030" w:hAnsi="新宋体-18030" w:eastAsia="新宋体-18030" w:cs="新宋体-18030"/>
      <w:kern w:val="0"/>
    </w:rPr>
  </w:style>
  <w:style w:type="paragraph" w:customStyle="1" w:styleId="61">
    <w:name w:val="Date1"/>
    <w:basedOn w:val="1"/>
    <w:next w:val="1"/>
    <w:qFormat/>
    <w:uiPriority w:val="0"/>
    <w:pPr>
      <w:adjustRightInd w:val="0"/>
      <w:jc w:val="left"/>
      <w:textAlignment w:val="baseline"/>
    </w:pPr>
    <w:rPr>
      <w:rFonts w:ascii="宋体" w:hAnsi="宋体"/>
      <w:sz w:val="28"/>
      <w:szCs w:val="20"/>
    </w:rPr>
  </w:style>
  <w:style w:type="paragraph" w:customStyle="1" w:styleId="62">
    <w:name w:val="Default"/>
    <w:basedOn w:val="63"/>
    <w:next w:val="1"/>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63">
    <w:name w:val="批注文字1"/>
    <w:qFormat/>
    <w:uiPriority w:val="0"/>
    <w:pPr>
      <w:widowControl w:val="0"/>
    </w:pPr>
    <w:rPr>
      <w:rFonts w:ascii="Times New Roman" w:hAnsi="Times New Roman" w:eastAsia="宋体" w:cs="Times New Roman"/>
      <w:color w:val="000000"/>
      <w:kern w:val="2"/>
      <w:sz w:val="21"/>
      <w:szCs w:val="24"/>
      <w:lang w:val="en-US" w:eastAsia="zh-CN" w:bidi="ar-SA"/>
    </w:rPr>
  </w:style>
  <w:style w:type="paragraph" w:customStyle="1" w:styleId="64">
    <w:name w:val="标题 段落4级"/>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customStyle="1" w:styleId="65">
    <w:name w:val="纯文本1"/>
    <w:basedOn w:val="1"/>
    <w:qFormat/>
    <w:uiPriority w:val="0"/>
    <w:rPr>
      <w:rFonts w:ascii="宋体" w:hAnsi="Courier New"/>
      <w:szCs w:val="20"/>
    </w:rPr>
  </w:style>
  <w:style w:type="paragraph" w:customStyle="1" w:styleId="66">
    <w:name w:val="！正文"/>
    <w:basedOn w:val="1"/>
    <w:qFormat/>
    <w:uiPriority w:val="0"/>
    <w:pPr>
      <w:widowControl/>
    </w:pPr>
    <w:rPr>
      <w:rFonts w:hAnsi="Calibri"/>
      <w:sz w:val="24"/>
      <w:szCs w:val="20"/>
      <w:lang w:eastAsia="en-US" w:bidi="en-US"/>
    </w:rPr>
  </w:style>
  <w:style w:type="character" w:customStyle="1" w:styleId="67">
    <w:name w:val="正文文本 字符"/>
    <w:link w:val="22"/>
    <w:qFormat/>
    <w:locked/>
    <w:uiPriority w:val="99"/>
    <w:rPr>
      <w:sz w:val="18"/>
    </w:rPr>
  </w:style>
  <w:style w:type="character" w:customStyle="1" w:styleId="68">
    <w:name w:val="正文文本缩进 2 字符"/>
    <w:link w:val="29"/>
    <w:qFormat/>
    <w:uiPriority w:val="99"/>
    <w:rPr>
      <w:kern w:val="2"/>
      <w:sz w:val="21"/>
      <w:szCs w:val="24"/>
    </w:rPr>
  </w:style>
  <w:style w:type="character" w:customStyle="1" w:styleId="69">
    <w:name w:val="标题 1 字符"/>
    <w:link w:val="8"/>
    <w:qFormat/>
    <w:uiPriority w:val="99"/>
    <w:rPr>
      <w:rFonts w:eastAsia="黑体"/>
      <w:b/>
      <w:bCs/>
      <w:color w:val="000000"/>
      <w:kern w:val="44"/>
      <w:sz w:val="30"/>
      <w:szCs w:val="30"/>
    </w:rPr>
  </w:style>
  <w:style w:type="character" w:customStyle="1" w:styleId="70">
    <w:name w:val="标题 2 字符"/>
    <w:link w:val="9"/>
    <w:qFormat/>
    <w:uiPriority w:val="0"/>
    <w:rPr>
      <w:rFonts w:ascii="等线 Light" w:hAnsi="等线 Light" w:eastAsia="等线 Light" w:cs="Times New Roman"/>
      <w:b/>
      <w:bCs/>
      <w:kern w:val="2"/>
      <w:sz w:val="32"/>
      <w:szCs w:val="32"/>
    </w:rPr>
  </w:style>
  <w:style w:type="character" w:customStyle="1" w:styleId="71">
    <w:name w:val="标题 3 字符"/>
    <w:link w:val="10"/>
    <w:qFormat/>
    <w:uiPriority w:val="0"/>
    <w:rPr>
      <w:b/>
      <w:bCs/>
      <w:kern w:val="2"/>
      <w:sz w:val="32"/>
      <w:szCs w:val="32"/>
    </w:rPr>
  </w:style>
  <w:style w:type="character" w:customStyle="1" w:styleId="72">
    <w:name w:val="标题 4 字符"/>
    <w:link w:val="11"/>
    <w:qFormat/>
    <w:uiPriority w:val="0"/>
    <w:rPr>
      <w:b/>
      <w:bCs/>
      <w:kern w:val="2"/>
      <w:sz w:val="24"/>
      <w:szCs w:val="28"/>
    </w:rPr>
  </w:style>
  <w:style w:type="character" w:customStyle="1" w:styleId="73">
    <w:name w:val="注释标题 字符1"/>
    <w:link w:val="15"/>
    <w:qFormat/>
    <w:uiPriority w:val="0"/>
    <w:rPr>
      <w:sz w:val="24"/>
    </w:rPr>
  </w:style>
  <w:style w:type="character" w:customStyle="1" w:styleId="74">
    <w:name w:val="正文缩进 字符"/>
    <w:link w:val="16"/>
    <w:qFormat/>
    <w:uiPriority w:val="0"/>
  </w:style>
  <w:style w:type="character" w:customStyle="1" w:styleId="75">
    <w:name w:val="题注 字符"/>
    <w:link w:val="18"/>
    <w:qFormat/>
    <w:uiPriority w:val="0"/>
    <w:rPr>
      <w:rFonts w:ascii="宋体" w:hAnsi="宋体" w:cs="Arial"/>
    </w:rPr>
  </w:style>
  <w:style w:type="character" w:customStyle="1" w:styleId="76">
    <w:name w:val="文档结构图 字符"/>
    <w:link w:val="19"/>
    <w:qFormat/>
    <w:uiPriority w:val="0"/>
    <w:rPr>
      <w:kern w:val="2"/>
      <w:sz w:val="21"/>
      <w:szCs w:val="24"/>
      <w:shd w:val="clear" w:color="auto" w:fill="000080"/>
    </w:rPr>
  </w:style>
  <w:style w:type="character" w:customStyle="1" w:styleId="77">
    <w:name w:val="批注文字 字符"/>
    <w:link w:val="20"/>
    <w:qFormat/>
    <w:locked/>
    <w:uiPriority w:val="99"/>
    <w:rPr>
      <w:rFonts w:ascii="Times New Roman" w:hAnsi="Times New Roman" w:eastAsia="宋体"/>
      <w:sz w:val="24"/>
    </w:rPr>
  </w:style>
  <w:style w:type="character" w:customStyle="1" w:styleId="78">
    <w:name w:val="正文文本 3 字符"/>
    <w:link w:val="21"/>
    <w:qFormat/>
    <w:uiPriority w:val="0"/>
    <w:rPr>
      <w:kern w:val="2"/>
      <w:sz w:val="16"/>
      <w:szCs w:val="16"/>
    </w:rPr>
  </w:style>
  <w:style w:type="character" w:customStyle="1" w:styleId="79">
    <w:name w:val="正文文本缩进 字符"/>
    <w:link w:val="23"/>
    <w:qFormat/>
    <w:locked/>
    <w:uiPriority w:val="0"/>
    <w:rPr>
      <w:rFonts w:ascii="Times New Roman" w:hAnsi="Times New Roman" w:eastAsia="宋体"/>
      <w:sz w:val="24"/>
    </w:rPr>
  </w:style>
  <w:style w:type="character" w:customStyle="1" w:styleId="80">
    <w:name w:val="纯文本 字符1"/>
    <w:link w:val="26"/>
    <w:qFormat/>
    <w:uiPriority w:val="0"/>
    <w:rPr>
      <w:rFonts w:ascii="宋体" w:hAnsi="Courier New"/>
      <w:sz w:val="15"/>
      <w:szCs w:val="21"/>
    </w:rPr>
  </w:style>
  <w:style w:type="character" w:customStyle="1" w:styleId="81">
    <w:name w:val="日期 字符1"/>
    <w:link w:val="28"/>
    <w:qFormat/>
    <w:locked/>
    <w:uiPriority w:val="0"/>
    <w:rPr>
      <w:rFonts w:ascii="Times New Roman" w:hAnsi="Times New Roman" w:eastAsia="宋体"/>
      <w:sz w:val="24"/>
    </w:rPr>
  </w:style>
  <w:style w:type="character" w:customStyle="1" w:styleId="82">
    <w:name w:val="批注框文本 字符"/>
    <w:link w:val="31"/>
    <w:semiHidden/>
    <w:qFormat/>
    <w:locked/>
    <w:uiPriority w:val="99"/>
    <w:rPr>
      <w:rFonts w:ascii="Times New Roman" w:hAnsi="Times New Roman" w:eastAsia="宋体"/>
      <w:sz w:val="18"/>
    </w:rPr>
  </w:style>
  <w:style w:type="character" w:customStyle="1" w:styleId="83">
    <w:name w:val="页脚 字符1"/>
    <w:link w:val="32"/>
    <w:qFormat/>
    <w:locked/>
    <w:uiPriority w:val="99"/>
    <w:rPr>
      <w:sz w:val="18"/>
    </w:rPr>
  </w:style>
  <w:style w:type="character" w:customStyle="1" w:styleId="84">
    <w:name w:val="页眉 字符"/>
    <w:link w:val="33"/>
    <w:qFormat/>
    <w:locked/>
    <w:uiPriority w:val="99"/>
    <w:rPr>
      <w:sz w:val="18"/>
    </w:rPr>
  </w:style>
  <w:style w:type="character" w:customStyle="1" w:styleId="85">
    <w:name w:val="正文文本缩进 3 字符"/>
    <w:link w:val="36"/>
    <w:qFormat/>
    <w:uiPriority w:val="99"/>
    <w:rPr>
      <w:kern w:val="2"/>
      <w:sz w:val="16"/>
      <w:szCs w:val="16"/>
    </w:rPr>
  </w:style>
  <w:style w:type="character" w:customStyle="1" w:styleId="86">
    <w:name w:val="正文文本 2 字符"/>
    <w:link w:val="38"/>
    <w:qFormat/>
    <w:uiPriority w:val="0"/>
    <w:rPr>
      <w:kern w:val="2"/>
      <w:sz w:val="21"/>
      <w:szCs w:val="24"/>
    </w:rPr>
  </w:style>
  <w:style w:type="character" w:customStyle="1" w:styleId="87">
    <w:name w:val="HTML 预设格式 字符"/>
    <w:link w:val="39"/>
    <w:qFormat/>
    <w:uiPriority w:val="0"/>
    <w:rPr>
      <w:rFonts w:ascii="宋体" w:hAnsi="宋体" w:cs="宋体"/>
      <w:sz w:val="24"/>
      <w:szCs w:val="24"/>
    </w:rPr>
  </w:style>
  <w:style w:type="character" w:customStyle="1" w:styleId="88">
    <w:name w:val="普通(网站) 字符"/>
    <w:link w:val="40"/>
    <w:qFormat/>
    <w:locked/>
    <w:uiPriority w:val="0"/>
    <w:rPr>
      <w:rFonts w:ascii="宋体" w:hAnsi="宋体" w:eastAsia="宋体"/>
      <w:sz w:val="24"/>
    </w:rPr>
  </w:style>
  <w:style w:type="character" w:customStyle="1" w:styleId="89">
    <w:name w:val="批注主题 字符"/>
    <w:link w:val="41"/>
    <w:semiHidden/>
    <w:qFormat/>
    <w:locked/>
    <w:uiPriority w:val="0"/>
    <w:rPr>
      <w:rFonts w:ascii="Times New Roman" w:hAnsi="Times New Roman" w:eastAsia="宋体"/>
      <w:b/>
      <w:kern w:val="2"/>
      <w:sz w:val="24"/>
    </w:rPr>
  </w:style>
  <w:style w:type="character" w:customStyle="1" w:styleId="90">
    <w:name w:val="正文文本首行缩进 字符1"/>
    <w:link w:val="24"/>
    <w:qFormat/>
    <w:uiPriority w:val="99"/>
    <w:rPr>
      <w:kern w:val="2"/>
      <w:sz w:val="21"/>
      <w:szCs w:val="24"/>
    </w:rPr>
  </w:style>
  <w:style w:type="character" w:customStyle="1" w:styleId="91">
    <w:name w:val="页脚 字符"/>
    <w:qFormat/>
    <w:uiPriority w:val="99"/>
  </w:style>
  <w:style w:type="character" w:customStyle="1" w:styleId="92">
    <w:name w:val="正文文本 字符1"/>
    <w:semiHidden/>
    <w:qFormat/>
    <w:uiPriority w:val="0"/>
    <w:rPr>
      <w:rFonts w:ascii="Times New Roman" w:hAnsi="Times New Roman" w:eastAsia="宋体"/>
      <w:sz w:val="24"/>
    </w:rPr>
  </w:style>
  <w:style w:type="character" w:customStyle="1" w:styleId="93">
    <w:name w:val="表格 Char"/>
    <w:link w:val="94"/>
    <w:qFormat/>
    <w:locked/>
    <w:uiPriority w:val="0"/>
    <w:rPr>
      <w:rFonts w:ascii="宋体"/>
      <w:sz w:val="21"/>
    </w:rPr>
  </w:style>
  <w:style w:type="paragraph" w:customStyle="1" w:styleId="94">
    <w:name w:val="表格"/>
    <w:basedOn w:val="1"/>
    <w:next w:val="1"/>
    <w:link w:val="93"/>
    <w:qFormat/>
    <w:uiPriority w:val="0"/>
    <w:pPr>
      <w:adjustRightInd w:val="0"/>
      <w:snapToGrid w:val="0"/>
      <w:spacing w:beforeLines="10" w:afterLines="10" w:line="259" w:lineRule="auto"/>
      <w:jc w:val="center"/>
    </w:pPr>
    <w:rPr>
      <w:rFonts w:ascii="宋体"/>
      <w:kern w:val="0"/>
      <w:szCs w:val="20"/>
    </w:rPr>
  </w:style>
  <w:style w:type="character" w:customStyle="1" w:styleId="95">
    <w:name w:val="日期 字符"/>
    <w:semiHidden/>
    <w:qFormat/>
    <w:uiPriority w:val="0"/>
    <w:rPr>
      <w:rFonts w:ascii="Times New Roman" w:hAnsi="Times New Roman" w:eastAsia="宋体"/>
      <w:sz w:val="24"/>
    </w:rPr>
  </w:style>
  <w:style w:type="character" w:customStyle="1" w:styleId="96">
    <w:name w:val="批注文字 字符1"/>
    <w:semiHidden/>
    <w:qFormat/>
    <w:uiPriority w:val="0"/>
    <w:rPr>
      <w:rFonts w:ascii="Times New Roman" w:hAnsi="Times New Roman" w:eastAsia="宋体"/>
      <w:sz w:val="24"/>
    </w:rPr>
  </w:style>
  <w:style w:type="paragraph" w:customStyle="1" w:styleId="97">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8">
    <w:name w:val="普通(网站)2"/>
    <w:basedOn w:val="1"/>
    <w:qFormat/>
    <w:uiPriority w:val="0"/>
    <w:pPr>
      <w:widowControl/>
      <w:spacing w:before="100" w:beforeAutospacing="1" w:after="100" w:afterAutospacing="1"/>
      <w:jc w:val="left"/>
    </w:pPr>
    <w:rPr>
      <w:rFonts w:ascii="宋体" w:hAnsi="宋体"/>
      <w:szCs w:val="20"/>
    </w:rPr>
  </w:style>
  <w:style w:type="character" w:customStyle="1" w:styleId="99">
    <w:name w:val="正文1 Char"/>
    <w:link w:val="100"/>
    <w:qFormat/>
    <w:uiPriority w:val="0"/>
    <w:rPr>
      <w:rFonts w:eastAsia="楷体_GB2312"/>
      <w:sz w:val="24"/>
    </w:rPr>
  </w:style>
  <w:style w:type="paragraph" w:customStyle="1" w:styleId="100">
    <w:name w:val="正文1"/>
    <w:basedOn w:val="26"/>
    <w:next w:val="1"/>
    <w:link w:val="99"/>
    <w:qFormat/>
    <w:uiPriority w:val="0"/>
    <w:pPr>
      <w:adjustRightInd w:val="0"/>
    </w:pPr>
    <w:rPr>
      <w:rFonts w:eastAsia="楷体_GB2312"/>
      <w:kern w:val="0"/>
      <w:szCs w:val="20"/>
    </w:rPr>
  </w:style>
  <w:style w:type="character" w:customStyle="1" w:styleId="101">
    <w:name w:val="纯文本 字符"/>
    <w:qFormat/>
    <w:uiPriority w:val="99"/>
    <w:rPr>
      <w:rFonts w:ascii="宋体" w:hAnsi="Courier New" w:cs="Courier New"/>
      <w:kern w:val="2"/>
      <w:sz w:val="21"/>
      <w:szCs w:val="21"/>
    </w:rPr>
  </w:style>
  <w:style w:type="character" w:customStyle="1" w:styleId="102">
    <w:name w:val="表字体 Char"/>
    <w:link w:val="103"/>
    <w:qFormat/>
    <w:uiPriority w:val="0"/>
  </w:style>
  <w:style w:type="paragraph" w:customStyle="1" w:styleId="103">
    <w:name w:val="表字体"/>
    <w:basedOn w:val="1"/>
    <w:next w:val="1"/>
    <w:link w:val="102"/>
    <w:qFormat/>
    <w:uiPriority w:val="0"/>
    <w:pPr>
      <w:jc w:val="center"/>
    </w:pPr>
    <w:rPr>
      <w:kern w:val="0"/>
      <w:sz w:val="20"/>
      <w:szCs w:val="20"/>
    </w:rPr>
  </w:style>
  <w:style w:type="paragraph" w:customStyle="1" w:styleId="104">
    <w:name w:val="正文首行缩进 2 + Times New Roman"/>
    <w:basedOn w:val="1"/>
    <w:link w:val="105"/>
    <w:qFormat/>
    <w:uiPriority w:val="0"/>
    <w:pPr>
      <w:tabs>
        <w:tab w:val="left" w:pos="0"/>
        <w:tab w:val="left" w:pos="870"/>
        <w:tab w:val="left" w:pos="3150"/>
      </w:tabs>
      <w:autoSpaceDE w:val="0"/>
      <w:autoSpaceDN w:val="0"/>
      <w:spacing w:line="360" w:lineRule="auto"/>
      <w:ind w:firstLine="480" w:firstLineChars="200"/>
      <w:jc w:val="left"/>
    </w:pPr>
    <w:rPr>
      <w:kern w:val="0"/>
    </w:rPr>
  </w:style>
  <w:style w:type="character" w:customStyle="1" w:styleId="105">
    <w:name w:val="正文首行缩进 2 + Times New Roman Char Char"/>
    <w:link w:val="104"/>
    <w:qFormat/>
    <w:uiPriority w:val="0"/>
    <w:rPr>
      <w:sz w:val="24"/>
      <w:szCs w:val="24"/>
    </w:rPr>
  </w:style>
  <w:style w:type="paragraph" w:customStyle="1" w:styleId="106">
    <w:name w:val="1正文"/>
    <w:qFormat/>
    <w:uiPriority w:val="0"/>
    <w:pPr>
      <w:spacing w:line="480" w:lineRule="exact"/>
      <w:ind w:firstLine="200" w:firstLineChars="200"/>
      <w:jc w:val="both"/>
    </w:pPr>
    <w:rPr>
      <w:rFonts w:ascii="Times New Roman" w:hAnsi="Times New Roman" w:eastAsia="宋体" w:cs="Times New Roman"/>
      <w:kern w:val="2"/>
      <w:sz w:val="24"/>
      <w:szCs w:val="24"/>
      <w:lang w:val="en-US" w:eastAsia="zh-CN" w:bidi="ar-SA"/>
    </w:rPr>
  </w:style>
  <w:style w:type="character" w:customStyle="1" w:styleId="107">
    <w:name w:val="正文文本首行缩进 字符"/>
    <w:qFormat/>
    <w:uiPriority w:val="99"/>
    <w:rPr>
      <w:kern w:val="2"/>
      <w:sz w:val="21"/>
      <w:szCs w:val="24"/>
    </w:rPr>
  </w:style>
  <w:style w:type="paragraph" w:customStyle="1" w:styleId="108">
    <w:name w:val="样式 行距: 单倍行距"/>
    <w:basedOn w:val="1"/>
    <w:qFormat/>
    <w:uiPriority w:val="0"/>
    <w:pPr>
      <w:adjustRightInd w:val="0"/>
      <w:textAlignment w:val="baseline"/>
    </w:pPr>
    <w:rPr>
      <w:rFonts w:cs="宋体"/>
      <w:szCs w:val="20"/>
    </w:rPr>
  </w:style>
  <w:style w:type="paragraph" w:customStyle="1" w:styleId="109">
    <w:name w:val="样式式"/>
    <w:basedOn w:val="1"/>
    <w:qFormat/>
    <w:uiPriority w:val="0"/>
    <w:pPr>
      <w:jc w:val="center"/>
    </w:pPr>
    <w:rPr>
      <w:szCs w:val="21"/>
    </w:rPr>
  </w:style>
  <w:style w:type="paragraph" w:customStyle="1" w:styleId="110">
    <w:name w:val="2"/>
    <w:basedOn w:val="1"/>
    <w:next w:val="1"/>
    <w:qFormat/>
    <w:uiPriority w:val="39"/>
  </w:style>
  <w:style w:type="paragraph" w:customStyle="1" w:styleId="111">
    <w:name w:val="_Style 94"/>
    <w:basedOn w:val="8"/>
    <w:next w:val="1"/>
    <w:qFormat/>
    <w:uiPriority w:val="39"/>
    <w:pPr>
      <w:keepLines/>
      <w:overflowPunct/>
      <w:snapToGrid/>
      <w:spacing w:before="340" w:after="330" w:line="578" w:lineRule="auto"/>
      <w:ind w:left="0" w:firstLine="0"/>
      <w:outlineLvl w:val="9"/>
    </w:pPr>
    <w:rPr>
      <w:rFonts w:eastAsia="宋体"/>
      <w:color w:val="auto"/>
      <w:sz w:val="44"/>
      <w:szCs w:val="44"/>
    </w:rPr>
  </w:style>
  <w:style w:type="paragraph" w:customStyle="1" w:styleId="112">
    <w:name w:val="1"/>
    <w:basedOn w:val="1"/>
    <w:next w:val="113"/>
    <w:qFormat/>
    <w:uiPriority w:val="0"/>
    <w:pPr>
      <w:ind w:firstLine="420" w:firstLineChars="200"/>
    </w:pPr>
  </w:style>
  <w:style w:type="paragraph" w:styleId="113">
    <w:name w:val="List Paragraph"/>
    <w:basedOn w:val="1"/>
    <w:qFormat/>
    <w:uiPriority w:val="34"/>
    <w:pPr>
      <w:ind w:firstLine="420" w:firstLineChars="200"/>
    </w:pPr>
  </w:style>
  <w:style w:type="paragraph" w:customStyle="1" w:styleId="114">
    <w:name w:val="田雄-报告表正文格式"/>
    <w:basedOn w:val="1"/>
    <w:qFormat/>
    <w:uiPriority w:val="0"/>
    <w:pPr>
      <w:spacing w:line="360" w:lineRule="auto"/>
      <w:ind w:firstLine="720" w:firstLineChars="200"/>
    </w:pPr>
  </w:style>
  <w:style w:type="table" w:customStyle="1" w:styleId="115">
    <w:name w:val="Table Normal"/>
    <w:unhideWhenUsed/>
    <w:qFormat/>
    <w:uiPriority w:val="2"/>
    <w:pPr>
      <w:widowControl w:val="0"/>
    </w:pPr>
    <w:rPr>
      <w:rFonts w:ascii="等线" w:hAnsi="等线" w:eastAsia="等线"/>
      <w:sz w:val="22"/>
      <w:szCs w:val="22"/>
      <w:lang w:eastAsia="en-US"/>
    </w:rPr>
    <w:tblPr>
      <w:tblCellMar>
        <w:top w:w="0" w:type="dxa"/>
        <w:left w:w="0" w:type="dxa"/>
        <w:bottom w:w="0" w:type="dxa"/>
        <w:right w:w="0" w:type="dxa"/>
      </w:tblCellMar>
    </w:tblPr>
  </w:style>
  <w:style w:type="paragraph" w:customStyle="1" w:styleId="116">
    <w:name w:val="Table Paragraph"/>
    <w:basedOn w:val="1"/>
    <w:qFormat/>
    <w:uiPriority w:val="1"/>
    <w:pPr>
      <w:jc w:val="left"/>
    </w:pPr>
    <w:rPr>
      <w:rFonts w:ascii="等线" w:hAnsi="等线" w:eastAsia="等线"/>
      <w:kern w:val="0"/>
      <w:sz w:val="22"/>
      <w:szCs w:val="22"/>
      <w:lang w:eastAsia="en-US"/>
    </w:rPr>
  </w:style>
  <w:style w:type="character" w:customStyle="1" w:styleId="117">
    <w:name w:val="表格文字 Char"/>
    <w:link w:val="118"/>
    <w:qFormat/>
    <w:uiPriority w:val="0"/>
    <w:rPr>
      <w:snapToGrid/>
      <w:color w:val="0000FF"/>
      <w:szCs w:val="21"/>
      <w:lang w:val="eu-ES"/>
    </w:rPr>
  </w:style>
  <w:style w:type="paragraph" w:customStyle="1" w:styleId="118">
    <w:name w:val="表格文字"/>
    <w:basedOn w:val="119"/>
    <w:next w:val="1"/>
    <w:link w:val="117"/>
    <w:qFormat/>
    <w:uiPriority w:val="0"/>
    <w:pPr>
      <w:wordWrap w:val="0"/>
      <w:topLinePunct/>
      <w:autoSpaceDE w:val="0"/>
      <w:autoSpaceDN w:val="0"/>
      <w:adjustRightInd w:val="0"/>
      <w:snapToGrid w:val="0"/>
      <w:jc w:val="center"/>
    </w:pPr>
    <w:rPr>
      <w:snapToGrid w:val="0"/>
      <w:color w:val="0000FF"/>
      <w:kern w:val="0"/>
      <w:sz w:val="20"/>
      <w:szCs w:val="21"/>
      <w:lang w:val="eu-ES"/>
    </w:rPr>
  </w:style>
  <w:style w:type="paragraph" w:customStyle="1" w:styleId="119">
    <w:name w:val="正文格式"/>
    <w:basedOn w:val="1"/>
    <w:qFormat/>
    <w:uiPriority w:val="0"/>
    <w:pPr>
      <w:jc w:val="left"/>
    </w:pPr>
    <w:rPr>
      <w:rFonts w:eastAsia="仿宋"/>
      <w:kern w:val="0"/>
      <w:szCs w:val="20"/>
    </w:rPr>
  </w:style>
  <w:style w:type="paragraph" w:customStyle="1" w:styleId="120">
    <w:name w:val="正文文本11"/>
    <w:basedOn w:val="1"/>
    <w:qFormat/>
    <w:uiPriority w:val="0"/>
    <w:pPr>
      <w:shd w:val="clear" w:color="auto" w:fill="FFFFFF"/>
      <w:spacing w:line="619" w:lineRule="exact"/>
      <w:ind w:hanging="2040"/>
      <w:jc w:val="distribute"/>
    </w:pPr>
    <w:rPr>
      <w:rFonts w:ascii="MingLiU" w:hAnsi="MingLiU" w:eastAsia="MingLiU"/>
      <w:spacing w:val="20"/>
      <w:kern w:val="0"/>
      <w:sz w:val="26"/>
      <w:szCs w:val="26"/>
    </w:rPr>
  </w:style>
  <w:style w:type="paragraph" w:customStyle="1" w:styleId="121">
    <w:name w:val="Char Char Char Char Char Char Char Char Char Char"/>
    <w:basedOn w:val="1"/>
    <w:qFormat/>
    <w:uiPriority w:val="0"/>
    <w:pPr>
      <w:widowControl/>
      <w:spacing w:after="160" w:line="240" w:lineRule="exact"/>
      <w:jc w:val="left"/>
    </w:pPr>
    <w:rPr>
      <w:rFonts w:ascii="Verdana" w:hAnsi="Verdana"/>
      <w:kern w:val="0"/>
      <w:sz w:val="20"/>
      <w:szCs w:val="20"/>
      <w:lang w:eastAsia="en-US"/>
    </w:rPr>
  </w:style>
  <w:style w:type="character" w:customStyle="1" w:styleId="122">
    <w:name w:val="表格1 Char"/>
    <w:link w:val="123"/>
    <w:qFormat/>
    <w:uiPriority w:val="0"/>
    <w:rPr>
      <w:rFonts w:ascii="宋体" w:hAnsi="Impact"/>
      <w:kern w:val="24"/>
      <w:sz w:val="28"/>
    </w:rPr>
  </w:style>
  <w:style w:type="paragraph" w:customStyle="1" w:styleId="123">
    <w:name w:val="表格1"/>
    <w:basedOn w:val="1"/>
    <w:next w:val="1"/>
    <w:link w:val="122"/>
    <w:qFormat/>
    <w:uiPriority w:val="0"/>
    <w:pPr>
      <w:topLinePunct/>
      <w:autoSpaceDE w:val="0"/>
      <w:autoSpaceDN w:val="0"/>
      <w:adjustRightInd w:val="0"/>
      <w:jc w:val="center"/>
      <w:textAlignment w:val="baseline"/>
    </w:pPr>
    <w:rPr>
      <w:rFonts w:ascii="宋体" w:hAnsi="Impact"/>
      <w:kern w:val="24"/>
      <w:sz w:val="28"/>
      <w:szCs w:val="20"/>
    </w:rPr>
  </w:style>
  <w:style w:type="character" w:customStyle="1" w:styleId="124">
    <w:name w:val="正文文本 Char"/>
    <w:qFormat/>
    <w:uiPriority w:val="0"/>
    <w:rPr>
      <w:rFonts w:eastAsia="宋体"/>
      <w:kern w:val="2"/>
      <w:sz w:val="21"/>
      <w:szCs w:val="24"/>
      <w:lang w:val="en-US" w:eastAsia="zh-CN" w:bidi="ar-SA"/>
    </w:rPr>
  </w:style>
  <w:style w:type="paragraph" w:customStyle="1" w:styleId="125">
    <w:name w:val="报告"/>
    <w:basedOn w:val="1"/>
    <w:qFormat/>
    <w:uiPriority w:val="0"/>
    <w:pPr>
      <w:spacing w:line="360" w:lineRule="auto"/>
      <w:ind w:firstLine="720" w:firstLineChars="200"/>
    </w:pPr>
  </w:style>
  <w:style w:type="paragraph" w:customStyle="1" w:styleId="126">
    <w:name w:val="p0"/>
    <w:basedOn w:val="1"/>
    <w:qFormat/>
    <w:uiPriority w:val="0"/>
    <w:pPr>
      <w:widowControl/>
    </w:pPr>
    <w:rPr>
      <w:kern w:val="0"/>
      <w:szCs w:val="21"/>
    </w:rPr>
  </w:style>
  <w:style w:type="character" w:customStyle="1" w:styleId="127">
    <w:name w:val="TT表格标题 Char"/>
    <w:link w:val="128"/>
    <w:qFormat/>
    <w:uiPriority w:val="0"/>
    <w:rPr>
      <w:rFonts w:cs="宋体"/>
      <w:b/>
      <w:bCs/>
      <w:color w:val="000000"/>
      <w:sz w:val="24"/>
    </w:rPr>
  </w:style>
  <w:style w:type="paragraph" w:customStyle="1" w:styleId="128">
    <w:name w:val="TT表格标题"/>
    <w:basedOn w:val="1"/>
    <w:link w:val="127"/>
    <w:qFormat/>
    <w:uiPriority w:val="0"/>
    <w:pPr>
      <w:jc w:val="center"/>
    </w:pPr>
    <w:rPr>
      <w:rFonts w:cs="宋体"/>
      <w:b/>
      <w:bCs/>
      <w:color w:val="000000"/>
      <w:kern w:val="0"/>
      <w:szCs w:val="20"/>
    </w:rPr>
  </w:style>
  <w:style w:type="paragraph" w:customStyle="1" w:styleId="129">
    <w:name w:val="报告表正文"/>
    <w:basedOn w:val="1"/>
    <w:qFormat/>
    <w:uiPriority w:val="0"/>
    <w:pPr>
      <w:spacing w:line="360" w:lineRule="auto"/>
      <w:ind w:firstLine="720" w:firstLineChars="200"/>
    </w:pPr>
  </w:style>
  <w:style w:type="paragraph" w:customStyle="1" w:styleId="130">
    <w:name w:val="正 文"/>
    <w:qFormat/>
    <w:uiPriority w:val="0"/>
    <w:pPr>
      <w:widowControl w:val="0"/>
      <w:spacing w:line="360" w:lineRule="auto"/>
      <w:ind w:firstLine="200" w:firstLineChars="200"/>
      <w:jc w:val="both"/>
    </w:pPr>
    <w:rPr>
      <w:rFonts w:ascii="Times New Roman" w:hAnsi="Times New Roman" w:eastAsia="宋体" w:cs="Times New Roman"/>
      <w:b/>
      <w:snapToGrid w:val="0"/>
      <w:kern w:val="24"/>
      <w:sz w:val="24"/>
      <w:szCs w:val="21"/>
      <w:lang w:val="en-US" w:eastAsia="zh-CN" w:bidi="ar-SA"/>
    </w:rPr>
  </w:style>
  <w:style w:type="paragraph" w:customStyle="1" w:styleId="131">
    <w:name w:val="样式 四号 首行缩进:  2 字符"/>
    <w:basedOn w:val="1"/>
    <w:qFormat/>
    <w:uiPriority w:val="0"/>
    <w:pPr>
      <w:spacing w:line="480" w:lineRule="atLeast"/>
      <w:ind w:firstLine="200" w:firstLineChars="200"/>
    </w:pPr>
  </w:style>
  <w:style w:type="paragraph" w:customStyle="1" w:styleId="132">
    <w:name w:val="表1表2"/>
    <w:basedOn w:val="1"/>
    <w:qFormat/>
    <w:uiPriority w:val="0"/>
    <w:pPr>
      <w:autoSpaceDE w:val="0"/>
      <w:autoSpaceDN w:val="0"/>
      <w:adjustRightInd w:val="0"/>
      <w:jc w:val="center"/>
      <w:textAlignment w:val="center"/>
    </w:pPr>
    <w:rPr>
      <w:rFonts w:eastAsia="仿宋体"/>
      <w:kern w:val="0"/>
      <w:szCs w:val="20"/>
    </w:rPr>
  </w:style>
  <w:style w:type="paragraph" w:customStyle="1" w:styleId="133">
    <w:name w:val="表头"/>
    <w:basedOn w:val="1"/>
    <w:next w:val="1"/>
    <w:qFormat/>
    <w:uiPriority w:val="0"/>
    <w:pPr>
      <w:jc w:val="center"/>
    </w:pPr>
    <w:rPr>
      <w:color w:val="FF0000"/>
      <w:spacing w:val="14"/>
      <w:szCs w:val="21"/>
    </w:rPr>
  </w:style>
  <w:style w:type="paragraph" w:customStyle="1" w:styleId="134">
    <w:name w:val="表格2"/>
    <w:basedOn w:val="123"/>
    <w:next w:val="1"/>
    <w:qFormat/>
    <w:uiPriority w:val="0"/>
    <w:rPr>
      <w:position w:val="-28"/>
      <w:sz w:val="21"/>
    </w:rPr>
  </w:style>
  <w:style w:type="character" w:customStyle="1" w:styleId="135">
    <w:name w:val="keynote_percent_02"/>
    <w:qFormat/>
    <w:uiPriority w:val="0"/>
    <w:rPr>
      <w:color w:val="FFFFFF"/>
      <w:sz w:val="16"/>
      <w:szCs w:val="16"/>
      <w:shd w:val="clear" w:color="auto" w:fill="72C01D"/>
    </w:rPr>
  </w:style>
  <w:style w:type="character" w:customStyle="1" w:styleId="136">
    <w:name w:val="txt1"/>
    <w:qFormat/>
    <w:uiPriority w:val="0"/>
    <w:rPr>
      <w:color w:val="4083A9"/>
    </w:rPr>
  </w:style>
  <w:style w:type="character" w:customStyle="1" w:styleId="137">
    <w:name w:val="Char Char5"/>
    <w:qFormat/>
    <w:uiPriority w:val="0"/>
    <w:rPr>
      <w:rFonts w:ascii="宋体" w:eastAsia="宋体" w:cs="Arial Unicode MS"/>
      <w:kern w:val="2"/>
      <w:sz w:val="24"/>
      <w:szCs w:val="24"/>
      <w:lang w:val="en-US" w:eastAsia="zh-CN" w:bidi="ar-SA"/>
    </w:rPr>
  </w:style>
  <w:style w:type="character" w:customStyle="1" w:styleId="138">
    <w:name w:val="TTT标题 Char"/>
    <w:link w:val="139"/>
    <w:qFormat/>
    <w:uiPriority w:val="0"/>
    <w:rPr>
      <w:rFonts w:cs="宋体"/>
      <w:b/>
      <w:bCs/>
      <w:color w:val="000000"/>
      <w:sz w:val="24"/>
    </w:rPr>
  </w:style>
  <w:style w:type="paragraph" w:customStyle="1" w:styleId="139">
    <w:name w:val="TTT标题"/>
    <w:basedOn w:val="1"/>
    <w:next w:val="1"/>
    <w:link w:val="138"/>
    <w:qFormat/>
    <w:uiPriority w:val="0"/>
    <w:pPr>
      <w:spacing w:line="360" w:lineRule="auto"/>
      <w:ind w:firstLine="200" w:firstLineChars="200"/>
    </w:pPr>
    <w:rPr>
      <w:rFonts w:cs="宋体"/>
      <w:b/>
      <w:bCs/>
      <w:color w:val="000000"/>
      <w:kern w:val="0"/>
      <w:szCs w:val="20"/>
    </w:rPr>
  </w:style>
  <w:style w:type="character" w:customStyle="1" w:styleId="140">
    <w:name w:val="Char Char2"/>
    <w:qFormat/>
    <w:uiPriority w:val="0"/>
    <w:rPr>
      <w:rFonts w:eastAsia="宋体"/>
      <w:kern w:val="2"/>
      <w:sz w:val="24"/>
      <w:lang w:val="en-US" w:eastAsia="zh-CN" w:bidi="ar-SA"/>
    </w:rPr>
  </w:style>
  <w:style w:type="character" w:customStyle="1" w:styleId="141">
    <w:name w:val="正文首行缩进 Char2"/>
    <w:qFormat/>
    <w:uiPriority w:val="0"/>
    <w:rPr>
      <w:kern w:val="2"/>
      <w:sz w:val="21"/>
      <w:szCs w:val="24"/>
    </w:rPr>
  </w:style>
  <w:style w:type="character" w:customStyle="1" w:styleId="142">
    <w:name w:val="正文文本 (13)_"/>
    <w:link w:val="143"/>
    <w:qFormat/>
    <w:uiPriority w:val="0"/>
    <w:rPr>
      <w:rFonts w:ascii="MingLiU" w:hAnsi="MingLiU" w:eastAsia="MingLiU"/>
      <w:spacing w:val="10"/>
      <w:sz w:val="26"/>
      <w:szCs w:val="26"/>
      <w:shd w:val="clear" w:color="auto" w:fill="FFFFFF"/>
    </w:rPr>
  </w:style>
  <w:style w:type="paragraph" w:customStyle="1" w:styleId="143">
    <w:name w:val="正文文本 (13)"/>
    <w:basedOn w:val="1"/>
    <w:link w:val="142"/>
    <w:qFormat/>
    <w:uiPriority w:val="0"/>
    <w:pPr>
      <w:shd w:val="clear" w:color="auto" w:fill="FFFFFF"/>
      <w:spacing w:after="360" w:line="0" w:lineRule="atLeast"/>
      <w:ind w:hanging="2040"/>
      <w:jc w:val="left"/>
    </w:pPr>
    <w:rPr>
      <w:rFonts w:ascii="MingLiU" w:hAnsi="MingLiU" w:eastAsia="MingLiU"/>
      <w:spacing w:val="10"/>
      <w:kern w:val="0"/>
      <w:sz w:val="26"/>
      <w:szCs w:val="26"/>
      <w:shd w:val="clear" w:color="auto" w:fill="FFFFFF"/>
    </w:rPr>
  </w:style>
  <w:style w:type="character" w:customStyle="1" w:styleId="144">
    <w:name w:val="active5"/>
    <w:qFormat/>
    <w:uiPriority w:val="0"/>
    <w:rPr>
      <w:color w:val="15A6E7"/>
    </w:rPr>
  </w:style>
  <w:style w:type="character" w:customStyle="1" w:styleId="145">
    <w:name w:val="fontstrikethrough"/>
    <w:qFormat/>
    <w:uiPriority w:val="0"/>
    <w:rPr>
      <w:strike/>
    </w:rPr>
  </w:style>
  <w:style w:type="character" w:customStyle="1" w:styleId="146">
    <w:name w:val="表格1 Char1"/>
    <w:qFormat/>
    <w:uiPriority w:val="0"/>
    <w:rPr>
      <w:rFonts w:ascii="仿宋体" w:eastAsia="宋体"/>
      <w:color w:val="000000"/>
      <w:sz w:val="21"/>
      <w:lang w:val="en-US" w:eastAsia="zh-CN"/>
    </w:rPr>
  </w:style>
  <w:style w:type="character" w:customStyle="1" w:styleId="147">
    <w:name w:val="标题 2 Char"/>
    <w:qFormat/>
    <w:uiPriority w:val="0"/>
    <w:rPr>
      <w:rFonts w:ascii="Times New Roman" w:hAnsi="Times New Roman" w:eastAsia="宋体"/>
      <w:b/>
      <w:kern w:val="2"/>
      <w:sz w:val="28"/>
      <w:szCs w:val="24"/>
      <w:lang w:val="en-US" w:eastAsia="zh-CN" w:bidi="ar-SA"/>
    </w:rPr>
  </w:style>
  <w:style w:type="character" w:customStyle="1" w:styleId="148">
    <w:name w:val="页脚 Char"/>
    <w:qFormat/>
    <w:uiPriority w:val="99"/>
    <w:rPr>
      <w:kern w:val="2"/>
      <w:sz w:val="18"/>
      <w:szCs w:val="18"/>
    </w:rPr>
  </w:style>
  <w:style w:type="character" w:customStyle="1" w:styleId="149">
    <w:name w:val="样式 宋体 小四"/>
    <w:qFormat/>
    <w:uiPriority w:val="0"/>
    <w:rPr>
      <w:rFonts w:ascii="Times New Roman" w:hAnsi="Times New Roman" w:eastAsia="宋体"/>
      <w:kern w:val="0"/>
      <w:sz w:val="24"/>
    </w:rPr>
  </w:style>
  <w:style w:type="character" w:customStyle="1" w:styleId="150">
    <w:name w:val="even Char1"/>
    <w:qFormat/>
    <w:uiPriority w:val="0"/>
    <w:rPr>
      <w:rFonts w:eastAsia="宋体"/>
      <w:kern w:val="2"/>
      <w:sz w:val="18"/>
      <w:lang w:val="en-US" w:eastAsia="zh-CN" w:bidi="ar-SA"/>
    </w:rPr>
  </w:style>
  <w:style w:type="character" w:customStyle="1" w:styleId="151">
    <w:name w:val="正文样式 Char"/>
    <w:qFormat/>
    <w:uiPriority w:val="0"/>
    <w:rPr>
      <w:rFonts w:eastAsia="宋体"/>
      <w:snapToGrid/>
      <w:sz w:val="24"/>
      <w:szCs w:val="24"/>
      <w:lang w:val="en-US" w:eastAsia="zh-CN" w:bidi="ar-SA"/>
    </w:rPr>
  </w:style>
  <w:style w:type="character" w:customStyle="1" w:styleId="152">
    <w:name w:val="页眉 Char"/>
    <w:qFormat/>
    <w:uiPriority w:val="0"/>
    <w:rPr>
      <w:rFonts w:eastAsia="宋体"/>
      <w:kern w:val="2"/>
      <w:sz w:val="18"/>
      <w:szCs w:val="18"/>
      <w:lang w:val="en-US" w:eastAsia="zh-CN" w:bidi="ar-SA"/>
    </w:rPr>
  </w:style>
  <w:style w:type="character" w:customStyle="1" w:styleId="153">
    <w:name w:val="ld-02"/>
    <w:qFormat/>
    <w:uiPriority w:val="0"/>
    <w:rPr>
      <w:b/>
    </w:rPr>
  </w:style>
  <w:style w:type="character" w:customStyle="1" w:styleId="154">
    <w:name w:val="current5"/>
    <w:qFormat/>
    <w:uiPriority w:val="0"/>
    <w:rPr>
      <w:color w:val="FFFFFF"/>
      <w:shd w:val="clear" w:color="auto" w:fill="15A6E7"/>
    </w:rPr>
  </w:style>
  <w:style w:type="character" w:customStyle="1" w:styleId="155">
    <w:name w:val="表文字 Char"/>
    <w:link w:val="156"/>
    <w:qFormat/>
    <w:uiPriority w:val="0"/>
    <w:rPr>
      <w:sz w:val="24"/>
    </w:rPr>
  </w:style>
  <w:style w:type="paragraph" w:customStyle="1" w:styleId="156">
    <w:name w:val="表文字"/>
    <w:basedOn w:val="1"/>
    <w:link w:val="155"/>
    <w:qFormat/>
    <w:uiPriority w:val="0"/>
    <w:pPr>
      <w:overflowPunct w:val="0"/>
      <w:autoSpaceDE w:val="0"/>
      <w:autoSpaceDN w:val="0"/>
      <w:adjustRightInd w:val="0"/>
      <w:spacing w:line="240" w:lineRule="atLeast"/>
      <w:jc w:val="center"/>
      <w:textAlignment w:val="baseline"/>
    </w:pPr>
    <w:rPr>
      <w:kern w:val="0"/>
      <w:szCs w:val="20"/>
    </w:rPr>
  </w:style>
  <w:style w:type="character" w:customStyle="1" w:styleId="157">
    <w:name w:val="t_tag"/>
    <w:qFormat/>
    <w:uiPriority w:val="0"/>
  </w:style>
  <w:style w:type="character" w:customStyle="1" w:styleId="158">
    <w:name w:val="hover63"/>
    <w:qFormat/>
    <w:uiPriority w:val="0"/>
    <w:rPr>
      <w:color w:val="15A6E7"/>
    </w:rPr>
  </w:style>
  <w:style w:type="character" w:customStyle="1" w:styleId="159">
    <w:name w:val="time"/>
    <w:qFormat/>
    <w:uiPriority w:val="0"/>
    <w:rPr>
      <w:color w:val="999999"/>
      <w:sz w:val="14"/>
      <w:szCs w:val="14"/>
    </w:rPr>
  </w:style>
  <w:style w:type="character" w:customStyle="1" w:styleId="160">
    <w:name w:val="缩进 Char"/>
    <w:link w:val="161"/>
    <w:qFormat/>
    <w:uiPriority w:val="0"/>
    <w:rPr>
      <w:rFonts w:ascii="宋体" w:hAnsi="宋体"/>
      <w:sz w:val="24"/>
      <w:szCs w:val="24"/>
    </w:rPr>
  </w:style>
  <w:style w:type="paragraph" w:customStyle="1" w:styleId="161">
    <w:name w:val="缩进"/>
    <w:basedOn w:val="1"/>
    <w:link w:val="160"/>
    <w:qFormat/>
    <w:uiPriority w:val="0"/>
    <w:pPr>
      <w:tabs>
        <w:tab w:val="left" w:pos="-52"/>
      </w:tabs>
      <w:spacing w:line="400" w:lineRule="atLeast"/>
      <w:ind w:right="-4" w:firstLine="425"/>
    </w:pPr>
    <w:rPr>
      <w:rFonts w:ascii="宋体" w:hAnsi="宋体"/>
      <w:kern w:val="0"/>
    </w:rPr>
  </w:style>
  <w:style w:type="character" w:customStyle="1" w:styleId="162">
    <w:name w:val="keynote_percent_01"/>
    <w:qFormat/>
    <w:uiPriority w:val="0"/>
    <w:rPr>
      <w:color w:val="FFFFFF"/>
      <w:sz w:val="16"/>
      <w:szCs w:val="16"/>
      <w:shd w:val="clear" w:color="auto" w:fill="5CA013"/>
    </w:rPr>
  </w:style>
  <w:style w:type="character" w:customStyle="1" w:styleId="163">
    <w:name w:val="fontborder"/>
    <w:qFormat/>
    <w:uiPriority w:val="0"/>
    <w:rPr>
      <w:bdr w:val="single" w:color="000000" w:sz="4" w:space="0"/>
    </w:rPr>
  </w:style>
  <w:style w:type="character" w:customStyle="1" w:styleId="164">
    <w:name w:val="ld-01"/>
    <w:qFormat/>
    <w:uiPriority w:val="0"/>
  </w:style>
  <w:style w:type="character" w:customStyle="1" w:styleId="165">
    <w:name w:val="zhang正文 Char"/>
    <w:link w:val="166"/>
    <w:semiHidden/>
    <w:qFormat/>
    <w:uiPriority w:val="0"/>
    <w:rPr>
      <w:rFonts w:cs="宋体"/>
      <w:snapToGrid/>
      <w:sz w:val="24"/>
    </w:rPr>
  </w:style>
  <w:style w:type="paragraph" w:customStyle="1" w:styleId="166">
    <w:name w:val="zhang正文"/>
    <w:basedOn w:val="1"/>
    <w:link w:val="165"/>
    <w:semiHidden/>
    <w:qFormat/>
    <w:uiPriority w:val="0"/>
    <w:pPr>
      <w:widowControl/>
      <w:spacing w:line="360" w:lineRule="auto"/>
      <w:ind w:firstLine="480" w:firstLineChars="200"/>
    </w:pPr>
    <w:rPr>
      <w:rFonts w:cs="宋体"/>
      <w:snapToGrid w:val="0"/>
      <w:kern w:val="0"/>
      <w:szCs w:val="20"/>
    </w:rPr>
  </w:style>
  <w:style w:type="character" w:customStyle="1" w:styleId="167">
    <w:name w:val="Char Char8"/>
    <w:qFormat/>
    <w:uiPriority w:val="0"/>
    <w:rPr>
      <w:kern w:val="2"/>
      <w:sz w:val="21"/>
      <w:szCs w:val="24"/>
    </w:rPr>
  </w:style>
  <w:style w:type="character" w:customStyle="1" w:styleId="168">
    <w:name w:val="哈哈正文 Char"/>
    <w:link w:val="169"/>
    <w:qFormat/>
    <w:uiPriority w:val="0"/>
    <w:rPr>
      <w:rFonts w:ascii="宋体" w:hAnsi="宋体"/>
      <w:sz w:val="24"/>
      <w:szCs w:val="24"/>
    </w:rPr>
  </w:style>
  <w:style w:type="paragraph" w:customStyle="1" w:styleId="169">
    <w:name w:val="哈哈正文"/>
    <w:basedOn w:val="1"/>
    <w:link w:val="168"/>
    <w:qFormat/>
    <w:uiPriority w:val="0"/>
    <w:pPr>
      <w:tabs>
        <w:tab w:val="left" w:pos="480"/>
      </w:tabs>
      <w:spacing w:line="360" w:lineRule="auto"/>
      <w:ind w:firstLine="200" w:firstLineChars="200"/>
    </w:pPr>
    <w:rPr>
      <w:rFonts w:ascii="宋体" w:hAnsi="宋体"/>
      <w:kern w:val="0"/>
    </w:rPr>
  </w:style>
  <w:style w:type="character" w:customStyle="1" w:styleId="170">
    <w:name w:val="表格、图表名称 Char"/>
    <w:link w:val="171"/>
    <w:qFormat/>
    <w:uiPriority w:val="0"/>
    <w:rPr>
      <w:b/>
      <w:sz w:val="24"/>
    </w:rPr>
  </w:style>
  <w:style w:type="paragraph" w:customStyle="1" w:styleId="171">
    <w:name w:val="表格、图表名称"/>
    <w:basedOn w:val="1"/>
    <w:link w:val="170"/>
    <w:qFormat/>
    <w:uiPriority w:val="0"/>
    <w:pPr>
      <w:spacing w:line="360" w:lineRule="auto"/>
      <w:jc w:val="center"/>
    </w:pPr>
    <w:rPr>
      <w:b/>
      <w:kern w:val="0"/>
      <w:szCs w:val="20"/>
    </w:rPr>
  </w:style>
  <w:style w:type="character" w:customStyle="1" w:styleId="172">
    <w:name w:val="unnamed31"/>
    <w:qFormat/>
    <w:uiPriority w:val="0"/>
    <w:rPr>
      <w:spacing w:val="360"/>
      <w:sz w:val="18"/>
      <w:szCs w:val="18"/>
    </w:rPr>
  </w:style>
  <w:style w:type="character" w:customStyle="1" w:styleId="173">
    <w:name w:val="正文4 Char"/>
    <w:link w:val="174"/>
    <w:qFormat/>
    <w:uiPriority w:val="0"/>
    <w:rPr>
      <w:rFonts w:cs="宋体"/>
      <w:sz w:val="24"/>
    </w:rPr>
  </w:style>
  <w:style w:type="paragraph" w:customStyle="1" w:styleId="174">
    <w:name w:val="正文4"/>
    <w:basedOn w:val="1"/>
    <w:link w:val="173"/>
    <w:qFormat/>
    <w:uiPriority w:val="0"/>
    <w:pPr>
      <w:tabs>
        <w:tab w:val="left" w:pos="480"/>
      </w:tabs>
      <w:spacing w:line="360" w:lineRule="auto"/>
      <w:ind w:firstLine="200" w:firstLineChars="200"/>
    </w:pPr>
    <w:rPr>
      <w:rFonts w:cs="宋体"/>
      <w:kern w:val="0"/>
      <w:szCs w:val="20"/>
    </w:rPr>
  </w:style>
  <w:style w:type="character" w:customStyle="1" w:styleId="175">
    <w:name w:val="样式1 Char"/>
    <w:link w:val="176"/>
    <w:qFormat/>
    <w:uiPriority w:val="0"/>
    <w:rPr>
      <w:snapToGrid/>
      <w:color w:val="000000"/>
      <w:sz w:val="24"/>
      <w:szCs w:val="24"/>
    </w:rPr>
  </w:style>
  <w:style w:type="paragraph" w:customStyle="1" w:styleId="176">
    <w:name w:val="样式1"/>
    <w:basedOn w:val="1"/>
    <w:link w:val="175"/>
    <w:qFormat/>
    <w:uiPriority w:val="0"/>
    <w:pPr>
      <w:jc w:val="center"/>
    </w:pPr>
    <w:rPr>
      <w:snapToGrid w:val="0"/>
      <w:color w:val="000000"/>
      <w:kern w:val="0"/>
    </w:rPr>
  </w:style>
  <w:style w:type="character" w:customStyle="1" w:styleId="177">
    <w:name w:val="批注框文本 字符1"/>
    <w:qFormat/>
    <w:uiPriority w:val="0"/>
    <w:rPr>
      <w:sz w:val="18"/>
      <w:szCs w:val="18"/>
    </w:rPr>
  </w:style>
  <w:style w:type="character" w:customStyle="1" w:styleId="178">
    <w:name w:val="apple-style-span"/>
    <w:qFormat/>
    <w:uiPriority w:val="0"/>
  </w:style>
  <w:style w:type="character" w:customStyle="1" w:styleId="179">
    <w:name w:val="keynote_percent_04"/>
    <w:qFormat/>
    <w:uiPriority w:val="0"/>
    <w:rPr>
      <w:color w:val="FFFFFF"/>
      <w:sz w:val="16"/>
      <w:szCs w:val="16"/>
      <w:shd w:val="clear" w:color="auto" w:fill="B9DF8F"/>
    </w:rPr>
  </w:style>
  <w:style w:type="character" w:customStyle="1" w:styleId="180">
    <w:name w:val="content_text2"/>
    <w:qFormat/>
    <w:uiPriority w:val="0"/>
    <w:rPr>
      <w:spacing w:val="375"/>
      <w:sz w:val="21"/>
      <w:szCs w:val="21"/>
    </w:rPr>
  </w:style>
  <w:style w:type="character" w:customStyle="1" w:styleId="181">
    <w:name w:val="keynote_percent_03"/>
    <w:qFormat/>
    <w:uiPriority w:val="0"/>
    <w:rPr>
      <w:color w:val="FFFFFF"/>
      <w:sz w:val="16"/>
      <w:szCs w:val="16"/>
      <w:shd w:val="clear" w:color="auto" w:fill="9ED264"/>
    </w:rPr>
  </w:style>
  <w:style w:type="character" w:customStyle="1" w:styleId="182">
    <w:name w:val="表格 32 Char"/>
    <w:link w:val="183"/>
    <w:qFormat/>
    <w:uiPriority w:val="0"/>
    <w:rPr>
      <w:rFonts w:ascii="宋体" w:hAnsi="Impact"/>
      <w:kern w:val="24"/>
      <w:sz w:val="24"/>
    </w:rPr>
  </w:style>
  <w:style w:type="paragraph" w:customStyle="1" w:styleId="183">
    <w:name w:val="表格 32"/>
    <w:basedOn w:val="1"/>
    <w:link w:val="182"/>
    <w:qFormat/>
    <w:uiPriority w:val="0"/>
    <w:pPr>
      <w:autoSpaceDE w:val="0"/>
      <w:autoSpaceDN w:val="0"/>
      <w:adjustRightInd w:val="0"/>
      <w:jc w:val="center"/>
      <w:textAlignment w:val="baseline"/>
    </w:pPr>
    <w:rPr>
      <w:rFonts w:ascii="宋体" w:hAnsi="Impact"/>
      <w:kern w:val="24"/>
      <w:szCs w:val="20"/>
    </w:rPr>
  </w:style>
  <w:style w:type="character" w:customStyle="1" w:styleId="184">
    <w:name w:val="hj-easyread-speakerprocesser-position-action-icon"/>
    <w:qFormat/>
    <w:uiPriority w:val="0"/>
  </w:style>
  <w:style w:type="character" w:customStyle="1" w:styleId="185">
    <w:name w:val="style91"/>
    <w:qFormat/>
    <w:uiPriority w:val="0"/>
    <w:rPr>
      <w:sz w:val="21"/>
      <w:szCs w:val="21"/>
    </w:rPr>
  </w:style>
  <w:style w:type="character" w:customStyle="1" w:styleId="186">
    <w:name w:val="text11"/>
    <w:qFormat/>
    <w:uiPriority w:val="0"/>
  </w:style>
  <w:style w:type="character" w:customStyle="1" w:styleId="187">
    <w:name w:val="注释标题 字符"/>
    <w:qFormat/>
    <w:uiPriority w:val="99"/>
    <w:rPr>
      <w:kern w:val="2"/>
      <w:sz w:val="21"/>
      <w:szCs w:val="24"/>
    </w:rPr>
  </w:style>
  <w:style w:type="paragraph" w:customStyle="1" w:styleId="188">
    <w:name w:val="前言"/>
    <w:basedOn w:val="1"/>
    <w:qFormat/>
    <w:uiPriority w:val="0"/>
    <w:pPr>
      <w:pageBreakBefore/>
      <w:autoSpaceDE w:val="0"/>
      <w:autoSpaceDN w:val="0"/>
      <w:adjustRightInd w:val="0"/>
      <w:jc w:val="center"/>
      <w:textAlignment w:val="baseline"/>
    </w:pPr>
    <w:rPr>
      <w:rFonts w:ascii="黑体" w:hAnsi="Impact" w:eastAsia="黑体"/>
      <w:kern w:val="24"/>
      <w:sz w:val="32"/>
      <w:szCs w:val="20"/>
    </w:rPr>
  </w:style>
  <w:style w:type="paragraph" w:customStyle="1" w:styleId="189">
    <w:name w:val="默认段落字体 Para Char Char Char Char Char Char Char Char Char Char"/>
    <w:basedOn w:val="1"/>
    <w:qFormat/>
    <w:uiPriority w:val="0"/>
    <w:pPr>
      <w:adjustRightInd w:val="0"/>
      <w:spacing w:line="360" w:lineRule="auto"/>
    </w:pPr>
    <w:rPr>
      <w:kern w:val="0"/>
      <w:szCs w:val="20"/>
    </w:rPr>
  </w:style>
  <w:style w:type="paragraph" w:customStyle="1" w:styleId="190">
    <w:name w:val="样式 表格 32 + 首行缩进:  2 字符"/>
    <w:basedOn w:val="183"/>
    <w:qFormat/>
    <w:uiPriority w:val="0"/>
    <w:pPr>
      <w:spacing w:line="0" w:lineRule="atLeast"/>
    </w:pPr>
    <w:rPr>
      <w:rFonts w:ascii="Times New Roman" w:hAnsi="Times New Roman"/>
      <w:kern w:val="0"/>
      <w:sz w:val="21"/>
      <w:szCs w:val="21"/>
    </w:rPr>
  </w:style>
  <w:style w:type="paragraph" w:customStyle="1" w:styleId="191">
    <w:name w:val="Char1 Char Char1 Char"/>
    <w:basedOn w:val="1"/>
    <w:qFormat/>
    <w:uiPriority w:val="0"/>
    <w:rPr>
      <w:szCs w:val="21"/>
    </w:rPr>
  </w:style>
  <w:style w:type="paragraph" w:customStyle="1" w:styleId="192">
    <w:name w:val="表文1"/>
    <w:basedOn w:val="1"/>
    <w:qFormat/>
    <w:uiPriority w:val="0"/>
    <w:pPr>
      <w:adjustRightInd w:val="0"/>
      <w:jc w:val="center"/>
      <w:textAlignment w:val="baseline"/>
    </w:pPr>
    <w:rPr>
      <w:kern w:val="0"/>
    </w:rPr>
  </w:style>
  <w:style w:type="paragraph" w:customStyle="1" w:styleId="193">
    <w:name w:val="四号 1.5倍行距 宋体 Timenewrome"/>
    <w:basedOn w:val="1"/>
    <w:next w:val="1"/>
    <w:qFormat/>
    <w:uiPriority w:val="0"/>
    <w:rPr>
      <w:szCs w:val="21"/>
    </w:rPr>
  </w:style>
  <w:style w:type="paragraph" w:customStyle="1" w:styleId="194">
    <w:name w:val="Char Char Char Char Char Char"/>
    <w:basedOn w:val="1"/>
    <w:qFormat/>
    <w:uiPriority w:val="0"/>
  </w:style>
  <w:style w:type="paragraph" w:customStyle="1" w:styleId="195">
    <w:name w:val="Char"/>
    <w:basedOn w:val="1"/>
    <w:qFormat/>
    <w:uiPriority w:val="0"/>
    <w:rPr>
      <w:szCs w:val="21"/>
    </w:rPr>
  </w:style>
  <w:style w:type="paragraph" w:customStyle="1" w:styleId="196">
    <w:name w:val="页面 7"/>
    <w:basedOn w:val="1"/>
    <w:qFormat/>
    <w:uiPriority w:val="0"/>
    <w:pPr>
      <w:autoSpaceDE w:val="0"/>
      <w:autoSpaceDN w:val="0"/>
      <w:adjustRightInd w:val="0"/>
      <w:spacing w:before="120" w:after="120"/>
      <w:jc w:val="center"/>
      <w:textAlignment w:val="baseline"/>
    </w:pPr>
    <w:rPr>
      <w:rFonts w:ascii="宋体" w:hAnsi="Impact"/>
      <w:kern w:val="24"/>
      <w:sz w:val="32"/>
      <w:szCs w:val="20"/>
    </w:rPr>
  </w:style>
  <w:style w:type="paragraph" w:customStyle="1" w:styleId="197">
    <w:name w:val="佛表"/>
    <w:basedOn w:val="35"/>
    <w:qFormat/>
    <w:uiPriority w:val="0"/>
    <w:pPr>
      <w:ind w:left="0" w:firstLine="0" w:firstLineChars="0"/>
      <w:jc w:val="center"/>
    </w:pPr>
    <w:rPr>
      <w:rFonts w:ascii="宋体" w:hAnsi="宋体" w:cs="Arial Unicode MS"/>
      <w:color w:val="000000"/>
      <w:kern w:val="0"/>
      <w:szCs w:val="21"/>
    </w:rPr>
  </w:style>
  <w:style w:type="paragraph" w:customStyle="1" w:styleId="198">
    <w:name w:val="Char Char Char"/>
    <w:basedOn w:val="1"/>
    <w:qFormat/>
    <w:uiPriority w:val="0"/>
  </w:style>
  <w:style w:type="paragraph" w:customStyle="1" w:styleId="199">
    <w:name w:val="表中文字"/>
    <w:qFormat/>
    <w:uiPriority w:val="0"/>
    <w:pPr>
      <w:spacing w:line="280" w:lineRule="exact"/>
      <w:ind w:left="-84" w:leftChars="-40" w:right="-84" w:rightChars="-40"/>
      <w:jc w:val="center"/>
    </w:pPr>
    <w:rPr>
      <w:rFonts w:ascii="Times New Roman" w:hAnsi="Times New Roman" w:eastAsia="宋体" w:cs="宋体"/>
      <w:sz w:val="21"/>
      <w:lang w:val="zh-CN" w:eastAsia="zh-CN" w:bidi="ar-SA"/>
    </w:rPr>
  </w:style>
  <w:style w:type="paragraph" w:customStyle="1" w:styleId="200">
    <w:name w:val="样式 标题 3 + 段后: 6 磅"/>
    <w:basedOn w:val="10"/>
    <w:qFormat/>
    <w:uiPriority w:val="0"/>
    <w:pPr>
      <w:spacing w:after="120"/>
    </w:pPr>
    <w:rPr>
      <w:rFonts w:cs="宋体"/>
      <w:sz w:val="24"/>
      <w:szCs w:val="20"/>
    </w:rPr>
  </w:style>
  <w:style w:type="paragraph" w:customStyle="1" w:styleId="201">
    <w:name w:val="正文 + 宋体"/>
    <w:basedOn w:val="1"/>
    <w:qFormat/>
    <w:uiPriority w:val="0"/>
    <w:pPr>
      <w:adjustRightInd w:val="0"/>
      <w:snapToGrid w:val="0"/>
      <w:spacing w:line="400" w:lineRule="exact"/>
      <w:ind w:firstLine="480" w:firstLineChars="200"/>
      <w:textAlignment w:val="baseline"/>
    </w:pPr>
    <w:rPr>
      <w:color w:val="000000"/>
    </w:rPr>
  </w:style>
  <w:style w:type="paragraph" w:customStyle="1" w:styleId="202">
    <w:name w:val="body"/>
    <w:basedOn w:val="1"/>
    <w:qFormat/>
    <w:uiPriority w:val="0"/>
    <w:pPr>
      <w:spacing w:line="360" w:lineRule="auto"/>
      <w:ind w:firstLine="480" w:firstLineChars="200"/>
    </w:pPr>
    <w:rPr>
      <w:rFonts w:ascii="宋体" w:eastAsia="仿宋_GB2312"/>
      <w:bCs/>
    </w:rPr>
  </w:style>
  <w:style w:type="paragraph" w:customStyle="1" w:styleId="203">
    <w:name w:val="Char Char Char Char Char Char Char Char Char Char2"/>
    <w:basedOn w:val="1"/>
    <w:qFormat/>
    <w:uiPriority w:val="0"/>
    <w:pPr>
      <w:spacing w:line="240" w:lineRule="exact"/>
      <w:ind w:firstLine="200" w:firstLineChars="200"/>
    </w:pPr>
    <w:rPr>
      <w:rFonts w:ascii="宋体" w:hAnsi="宋体" w:cs="宋体"/>
    </w:rPr>
  </w:style>
  <w:style w:type="paragraph" w:customStyle="1" w:styleId="204">
    <w:name w:val="表格名称"/>
    <w:basedOn w:val="1"/>
    <w:qFormat/>
    <w:uiPriority w:val="0"/>
    <w:pPr>
      <w:keepNext/>
      <w:keepLines/>
      <w:wordWrap w:val="0"/>
      <w:topLinePunct/>
      <w:autoSpaceDE w:val="0"/>
      <w:autoSpaceDN w:val="0"/>
      <w:adjustRightInd w:val="0"/>
      <w:snapToGrid w:val="0"/>
      <w:ind w:left="-17" w:leftChars="-9" w:firstLine="16" w:firstLineChars="8"/>
      <w:jc w:val="left"/>
    </w:pPr>
    <w:rPr>
      <w:rFonts w:cs="宋体"/>
      <w:b/>
      <w:spacing w:val="-8"/>
      <w:kern w:val="0"/>
      <w:szCs w:val="21"/>
    </w:rPr>
  </w:style>
  <w:style w:type="paragraph" w:customStyle="1" w:styleId="205">
    <w:name w:val="Char Char Char Char Char Char Char"/>
    <w:basedOn w:val="1"/>
    <w:qFormat/>
    <w:uiPriority w:val="0"/>
    <w:pPr>
      <w:keepNext/>
      <w:keepLines/>
      <w:spacing w:before="300" w:after="300" w:line="360" w:lineRule="auto"/>
      <w:jc w:val="center"/>
      <w:outlineLvl w:val="0"/>
    </w:pPr>
    <w:rPr>
      <w:b/>
      <w:kern w:val="44"/>
      <w:sz w:val="36"/>
      <w:szCs w:val="20"/>
    </w:rPr>
  </w:style>
  <w:style w:type="paragraph" w:customStyle="1" w:styleId="206">
    <w:name w:val="我的正文 Char"/>
    <w:basedOn w:val="1"/>
    <w:next w:val="1"/>
    <w:qFormat/>
    <w:uiPriority w:val="0"/>
    <w:pPr>
      <w:numPr>
        <w:ilvl w:val="0"/>
        <w:numId w:val="1"/>
      </w:numPr>
      <w:tabs>
        <w:tab w:val="left" w:pos="420"/>
      </w:tabs>
      <w:spacing w:line="520" w:lineRule="exact"/>
      <w:ind w:firstLine="540" w:firstLineChars="225"/>
    </w:pPr>
  </w:style>
  <w:style w:type="paragraph" w:customStyle="1" w:styleId="207">
    <w:name w:val="xl53"/>
    <w:basedOn w:val="1"/>
    <w:qFormat/>
    <w:uiPriority w:val="0"/>
    <w:pPr>
      <w:widowControl/>
      <w:pBdr>
        <w:left w:val="single" w:color="auto" w:sz="4" w:space="0"/>
        <w:bottom w:val="double" w:color="auto" w:sz="6" w:space="0"/>
      </w:pBdr>
      <w:spacing w:before="100" w:beforeAutospacing="1" w:after="100" w:afterAutospacing="1"/>
      <w:jc w:val="center"/>
      <w:textAlignment w:val="center"/>
    </w:pPr>
    <w:rPr>
      <w:rFonts w:hint="eastAsia" w:ascii="宋体" w:hAnsi="宋体"/>
      <w:kern w:val="0"/>
    </w:rPr>
  </w:style>
  <w:style w:type="paragraph" w:customStyle="1" w:styleId="208">
    <w:name w:val="xl31"/>
    <w:basedOn w:val="1"/>
    <w:qFormat/>
    <w:uiPriority w:val="0"/>
    <w:pPr>
      <w:widowControl/>
      <w:spacing w:before="100" w:beforeAutospacing="1" w:after="100" w:afterAutospacing="1"/>
      <w:jc w:val="center"/>
      <w:textAlignment w:val="center"/>
    </w:pPr>
    <w:rPr>
      <w:rFonts w:ascii="Arial Unicode MS" w:hAnsi="Arial Unicode MS" w:eastAsia="Arial Unicode MS"/>
      <w:kern w:val="0"/>
    </w:rPr>
  </w:style>
  <w:style w:type="paragraph" w:customStyle="1" w:styleId="209">
    <w:name w:val="佛山正文"/>
    <w:basedOn w:val="1"/>
    <w:qFormat/>
    <w:uiPriority w:val="0"/>
    <w:pPr>
      <w:snapToGrid w:val="0"/>
      <w:spacing w:line="360" w:lineRule="auto"/>
      <w:ind w:firstLine="480" w:firstLineChars="200"/>
    </w:pPr>
    <w:rPr>
      <w:color w:val="000000"/>
    </w:rPr>
  </w:style>
  <w:style w:type="paragraph" w:customStyle="1" w:styleId="210">
    <w:name w:val="表头样式"/>
    <w:basedOn w:val="1"/>
    <w:qFormat/>
    <w:uiPriority w:val="0"/>
    <w:pPr>
      <w:tabs>
        <w:tab w:val="left" w:pos="3060"/>
      </w:tabs>
      <w:spacing w:beforeLines="50" w:line="420" w:lineRule="exact"/>
      <w:jc w:val="center"/>
    </w:pPr>
    <w:rPr>
      <w:b/>
      <w:szCs w:val="20"/>
    </w:rPr>
  </w:style>
  <w:style w:type="paragraph" w:customStyle="1" w:styleId="211">
    <w:name w:val="样式3"/>
    <w:basedOn w:val="1"/>
    <w:qFormat/>
    <w:uiPriority w:val="0"/>
    <w:pPr>
      <w:spacing w:line="360" w:lineRule="auto"/>
      <w:ind w:firstLine="720" w:firstLineChars="200"/>
    </w:pPr>
  </w:style>
  <w:style w:type="paragraph" w:customStyle="1" w:styleId="212">
    <w:name w:val="Char1 Char Char Char"/>
    <w:basedOn w:val="1"/>
    <w:qFormat/>
    <w:uiPriority w:val="0"/>
    <w:pPr>
      <w:spacing w:line="360" w:lineRule="auto"/>
      <w:ind w:firstLine="200" w:firstLineChars="200"/>
    </w:pPr>
    <w:rPr>
      <w:rFonts w:ascii="宋体" w:hAnsi="宋体" w:cs="宋体"/>
    </w:rPr>
  </w:style>
  <w:style w:type="paragraph" w:customStyle="1" w:styleId="213">
    <w:name w:val="表文"/>
    <w:basedOn w:val="1"/>
    <w:qFormat/>
    <w:uiPriority w:val="0"/>
    <w:pPr>
      <w:tabs>
        <w:tab w:val="left" w:pos="1021"/>
      </w:tabs>
      <w:jc w:val="center"/>
    </w:pPr>
    <w:rPr>
      <w:kern w:val="0"/>
      <w:szCs w:val="21"/>
    </w:rPr>
  </w:style>
  <w:style w:type="paragraph" w:customStyle="1" w:styleId="214">
    <w:name w:val="Char Char Char Char Char Char2 Char"/>
    <w:basedOn w:val="1"/>
    <w:qFormat/>
    <w:uiPriority w:val="0"/>
    <w:pPr>
      <w:spacing w:line="360" w:lineRule="auto"/>
      <w:ind w:firstLine="200" w:firstLineChars="200"/>
    </w:pPr>
    <w:rPr>
      <w:rFonts w:ascii="宋体" w:hAnsi="宋体" w:cs="宋体"/>
    </w:rPr>
  </w:style>
  <w:style w:type="paragraph" w:customStyle="1" w:styleId="215">
    <w:name w:val="msonormal msonormal"/>
    <w:basedOn w:val="1"/>
    <w:qFormat/>
    <w:uiPriority w:val="0"/>
    <w:pPr>
      <w:widowControl/>
      <w:spacing w:before="100" w:beforeAutospacing="1" w:after="100" w:afterAutospacing="1"/>
      <w:jc w:val="left"/>
    </w:pPr>
    <w:rPr>
      <w:rFonts w:ascii="宋体" w:hAnsi="宋体" w:cs="宋体"/>
      <w:kern w:val="0"/>
    </w:rPr>
  </w:style>
  <w:style w:type="paragraph" w:customStyle="1" w:styleId="216">
    <w:name w:val="列出段落1"/>
    <w:basedOn w:val="1"/>
    <w:qFormat/>
    <w:uiPriority w:val="0"/>
    <w:pPr>
      <w:ind w:firstLine="420" w:firstLineChars="200"/>
    </w:pPr>
    <w:rPr>
      <w:rFonts w:ascii="Calibri" w:hAnsi="Calibri" w:cs="黑体"/>
      <w:szCs w:val="22"/>
    </w:rPr>
  </w:style>
  <w:style w:type="paragraph" w:customStyle="1" w:styleId="217">
    <w:name w:val="Char Char Char Char Char Char Char Char Char Char Char Char1 Char"/>
    <w:basedOn w:val="1"/>
    <w:qFormat/>
    <w:uiPriority w:val="0"/>
    <w:pPr>
      <w:spacing w:line="360" w:lineRule="auto"/>
      <w:ind w:firstLine="200" w:firstLineChars="200"/>
    </w:pPr>
    <w:rPr>
      <w:szCs w:val="20"/>
    </w:rPr>
  </w:style>
  <w:style w:type="paragraph" w:customStyle="1" w:styleId="218">
    <w:name w:val="Char Char Char Char Char Char Char Char Char Char1"/>
    <w:basedOn w:val="1"/>
    <w:qFormat/>
    <w:uiPriority w:val="0"/>
    <w:pPr>
      <w:adjustRightInd w:val="0"/>
      <w:spacing w:line="360" w:lineRule="auto"/>
    </w:pPr>
    <w:rPr>
      <w:kern w:val="0"/>
      <w:szCs w:val="20"/>
    </w:rPr>
  </w:style>
  <w:style w:type="paragraph" w:customStyle="1" w:styleId="219">
    <w:name w:val="默认段落字体 Para Char Char"/>
    <w:basedOn w:val="1"/>
    <w:qFormat/>
    <w:uiPriority w:val="0"/>
    <w:pPr>
      <w:spacing w:line="240" w:lineRule="atLeast"/>
      <w:ind w:left="420" w:firstLine="420"/>
    </w:pPr>
    <w:rPr>
      <w:szCs w:val="20"/>
    </w:rPr>
  </w:style>
  <w:style w:type="paragraph" w:customStyle="1" w:styleId="220">
    <w:name w:val="样式 标题 1 + 首行缩进:  0.05 厘米"/>
    <w:basedOn w:val="8"/>
    <w:qFormat/>
    <w:uiPriority w:val="0"/>
    <w:pPr>
      <w:keepLines/>
      <w:overflowPunct/>
      <w:snapToGrid/>
      <w:spacing w:before="340" w:after="330" w:line="578" w:lineRule="auto"/>
      <w:ind w:left="0" w:firstLine="28"/>
      <w:jc w:val="center"/>
    </w:pPr>
    <w:rPr>
      <w:rFonts w:eastAsia="宋体" w:cs="宋体"/>
      <w:color w:val="auto"/>
      <w:sz w:val="44"/>
      <w:szCs w:val="20"/>
    </w:rPr>
  </w:style>
  <w:style w:type="paragraph" w:customStyle="1" w:styleId="221">
    <w:name w:val="样式2"/>
    <w:basedOn w:val="16"/>
    <w:qFormat/>
    <w:uiPriority w:val="0"/>
    <w:pPr>
      <w:snapToGrid w:val="0"/>
      <w:spacing w:line="300" w:lineRule="auto"/>
      <w:ind w:firstLine="480" w:firstLineChars="200"/>
    </w:pPr>
    <w:rPr>
      <w:rFonts w:ascii="宋体" w:hAnsi="宋体"/>
      <w:snapToGrid w:val="0"/>
      <w:color w:val="000000"/>
      <w:sz w:val="24"/>
      <w:szCs w:val="21"/>
    </w:rPr>
  </w:style>
  <w:style w:type="paragraph" w:customStyle="1" w:styleId="222">
    <w:name w:val="样式 小四 首行缩进:  1.11 厘米 行距: 1.5 倍行距"/>
    <w:basedOn w:val="1"/>
    <w:qFormat/>
    <w:uiPriority w:val="0"/>
    <w:pPr>
      <w:spacing w:line="360" w:lineRule="auto"/>
      <w:ind w:firstLine="632"/>
    </w:pPr>
    <w:rPr>
      <w:rFonts w:cs="宋体"/>
      <w:szCs w:val="20"/>
    </w:rPr>
  </w:style>
  <w:style w:type="paragraph" w:customStyle="1" w:styleId="223">
    <w:name w:val="表文2"/>
    <w:basedOn w:val="1"/>
    <w:qFormat/>
    <w:uiPriority w:val="0"/>
    <w:pPr>
      <w:overflowPunct w:val="0"/>
      <w:autoSpaceDE w:val="0"/>
      <w:autoSpaceDN w:val="0"/>
      <w:adjustRightInd w:val="0"/>
      <w:spacing w:line="240" w:lineRule="atLeast"/>
      <w:jc w:val="center"/>
      <w:textAlignment w:val="baseline"/>
    </w:pPr>
    <w:rPr>
      <w:kern w:val="0"/>
      <w:lang w:val="sq-AL"/>
    </w:rPr>
  </w:style>
  <w:style w:type="paragraph" w:customStyle="1" w:styleId="224">
    <w:name w:val="TT表格文字"/>
    <w:basedOn w:val="1"/>
    <w:qFormat/>
    <w:uiPriority w:val="0"/>
    <w:pPr>
      <w:autoSpaceDE w:val="0"/>
      <w:autoSpaceDN w:val="0"/>
      <w:adjustRightInd w:val="0"/>
      <w:jc w:val="center"/>
    </w:pPr>
    <w:rPr>
      <w:color w:val="000000"/>
      <w:szCs w:val="21"/>
    </w:rPr>
  </w:style>
  <w:style w:type="paragraph" w:customStyle="1" w:styleId="225">
    <w:name w:val="Char Char Char1 Char Char Char Char Char Char Char Char Char Char Char Char Char Char Char Char Char Char Char"/>
    <w:basedOn w:val="1"/>
    <w:qFormat/>
    <w:uiPriority w:val="0"/>
    <w:pPr>
      <w:tabs>
        <w:tab w:val="left" w:pos="360"/>
      </w:tabs>
      <w:spacing w:line="360" w:lineRule="auto"/>
      <w:ind w:firstLine="482"/>
    </w:pPr>
    <w:rPr>
      <w:rFonts w:ascii="Tahoma" w:hAnsi="Tahoma" w:eastAsia="黑体"/>
      <w:szCs w:val="21"/>
    </w:rPr>
  </w:style>
  <w:style w:type="paragraph" w:customStyle="1" w:styleId="226">
    <w:name w:val="3 Char"/>
    <w:basedOn w:val="1"/>
    <w:qFormat/>
    <w:uiPriority w:val="0"/>
    <w:rPr>
      <w:szCs w:val="21"/>
    </w:rPr>
  </w:style>
  <w:style w:type="paragraph" w:customStyle="1" w:styleId="227">
    <w:name w:val="样式 表格名称"/>
    <w:basedOn w:val="204"/>
    <w:qFormat/>
    <w:uiPriority w:val="0"/>
    <w:pPr>
      <w:ind w:left="0" w:leftChars="0" w:firstLine="0" w:firstLineChars="0"/>
      <w:jc w:val="center"/>
    </w:pPr>
    <w:rPr>
      <w:bCs/>
      <w:szCs w:val="20"/>
    </w:rPr>
  </w:style>
  <w:style w:type="paragraph" w:customStyle="1" w:styleId="228">
    <w:name w:val="样式 正文文字缩进 2 + (符号) 宋体 小四 首行缩进:  2 字符"/>
    <w:basedOn w:val="1"/>
    <w:qFormat/>
    <w:uiPriority w:val="0"/>
    <w:pPr>
      <w:adjustRightInd w:val="0"/>
      <w:snapToGrid w:val="0"/>
      <w:spacing w:line="360" w:lineRule="auto"/>
      <w:ind w:firstLine="480" w:firstLineChars="200"/>
    </w:pPr>
    <w:rPr>
      <w:rFonts w:ascii="宋体" w:hAnsi="宋体" w:cs="宋体"/>
    </w:rPr>
  </w:style>
  <w:style w:type="paragraph" w:customStyle="1" w:styleId="229">
    <w:name w:val="样式 正 文 + 首行缩进:  2 字符"/>
    <w:basedOn w:val="130"/>
    <w:qFormat/>
    <w:uiPriority w:val="0"/>
    <w:pPr>
      <w:ind w:firstLine="512"/>
    </w:pPr>
    <w:rPr>
      <w:rFonts w:cs="宋体"/>
      <w:szCs w:val="20"/>
    </w:rPr>
  </w:style>
  <w:style w:type="character" w:customStyle="1" w:styleId="230">
    <w:name w:val="魏秀珍  报告正文1 Char Char"/>
    <w:link w:val="231"/>
    <w:qFormat/>
    <w:uiPriority w:val="0"/>
    <w:rPr>
      <w:rFonts w:ascii="宋体"/>
      <w:sz w:val="24"/>
    </w:rPr>
  </w:style>
  <w:style w:type="paragraph" w:customStyle="1" w:styleId="231">
    <w:name w:val="魏秀珍  报告正文1"/>
    <w:basedOn w:val="1"/>
    <w:link w:val="230"/>
    <w:qFormat/>
    <w:uiPriority w:val="0"/>
    <w:pPr>
      <w:adjustRightInd w:val="0"/>
      <w:snapToGrid w:val="0"/>
      <w:spacing w:line="360" w:lineRule="auto"/>
      <w:ind w:firstLine="200" w:firstLineChars="200"/>
    </w:pPr>
    <w:rPr>
      <w:rFonts w:ascii="宋体"/>
      <w:kern w:val="0"/>
      <w:szCs w:val="20"/>
    </w:rPr>
  </w:style>
  <w:style w:type="paragraph" w:customStyle="1" w:styleId="232">
    <w:name w:val="_Style 5"/>
    <w:basedOn w:val="1"/>
    <w:qFormat/>
    <w:uiPriority w:val="0"/>
  </w:style>
  <w:style w:type="paragraph" w:customStyle="1" w:styleId="233">
    <w:name w:val="cb正文"/>
    <w:basedOn w:val="1"/>
    <w:qFormat/>
    <w:uiPriority w:val="0"/>
    <w:pPr>
      <w:adjustRightInd w:val="0"/>
      <w:snapToGrid w:val="0"/>
      <w:spacing w:line="500" w:lineRule="exact"/>
    </w:pPr>
    <w:rPr>
      <w:snapToGrid w:val="0"/>
      <w:kern w:val="0"/>
      <w:sz w:val="28"/>
      <w:szCs w:val="20"/>
    </w:rPr>
  </w:style>
  <w:style w:type="paragraph" w:customStyle="1" w:styleId="234">
    <w:name w:val="a1"/>
    <w:basedOn w:val="1"/>
    <w:qFormat/>
    <w:uiPriority w:val="0"/>
    <w:pPr>
      <w:spacing w:line="480" w:lineRule="exact"/>
      <w:ind w:firstLine="480" w:firstLineChars="200"/>
    </w:pPr>
    <w:rPr>
      <w:kern w:val="0"/>
    </w:rPr>
  </w:style>
  <w:style w:type="paragraph" w:customStyle="1" w:styleId="235">
    <w:name w:val="报告书表格"/>
    <w:basedOn w:val="1"/>
    <w:qFormat/>
    <w:uiPriority w:val="0"/>
    <w:pPr>
      <w:adjustRightInd w:val="0"/>
      <w:spacing w:before="60" w:after="60" w:line="240" w:lineRule="atLeast"/>
      <w:jc w:val="center"/>
      <w:textAlignment w:val="baseline"/>
    </w:pPr>
    <w:rPr>
      <w:kern w:val="0"/>
      <w:szCs w:val="20"/>
    </w:rPr>
  </w:style>
  <w:style w:type="paragraph" w:customStyle="1" w:styleId="236">
    <w:name w:val="Char2"/>
    <w:basedOn w:val="1"/>
    <w:qFormat/>
    <w:uiPriority w:val="0"/>
    <w:pPr>
      <w:widowControl/>
      <w:jc w:val="left"/>
    </w:pPr>
    <w:rPr>
      <w:kern w:val="0"/>
      <w:sz w:val="20"/>
      <w:szCs w:val="20"/>
    </w:rPr>
  </w:style>
  <w:style w:type="character" w:customStyle="1" w:styleId="237">
    <w:name w:val="正文001 Char Char"/>
    <w:link w:val="238"/>
    <w:qFormat/>
    <w:uiPriority w:val="0"/>
    <w:rPr>
      <w:sz w:val="24"/>
    </w:rPr>
  </w:style>
  <w:style w:type="paragraph" w:customStyle="1" w:styleId="238">
    <w:name w:val="正文001"/>
    <w:basedOn w:val="1"/>
    <w:link w:val="237"/>
    <w:qFormat/>
    <w:uiPriority w:val="0"/>
    <w:pPr>
      <w:spacing w:before="60" w:line="420" w:lineRule="exact"/>
      <w:ind w:firstLine="482"/>
    </w:pPr>
    <w:rPr>
      <w:kern w:val="0"/>
      <w:szCs w:val="20"/>
    </w:rPr>
  </w:style>
  <w:style w:type="paragraph" w:customStyle="1" w:styleId="239">
    <w:name w:val="三级"/>
    <w:basedOn w:val="1"/>
    <w:qFormat/>
    <w:uiPriority w:val="0"/>
    <w:pPr>
      <w:spacing w:line="360" w:lineRule="auto"/>
      <w:jc w:val="left"/>
      <w:outlineLvl w:val="2"/>
    </w:pPr>
    <w:rPr>
      <w:b/>
      <w:kern w:val="0"/>
      <w:sz w:val="28"/>
      <w:szCs w:val="21"/>
    </w:rPr>
  </w:style>
  <w:style w:type="character" w:customStyle="1" w:styleId="240">
    <w:name w:val="纯文本 Char"/>
    <w:qFormat/>
    <w:uiPriority w:val="0"/>
    <w:rPr>
      <w:rFonts w:ascii="宋体" w:hAnsi="Courier New" w:eastAsia="宋体"/>
      <w:kern w:val="2"/>
      <w:sz w:val="21"/>
      <w:lang w:val="en-US" w:eastAsia="zh-CN" w:bidi="ar-SA"/>
    </w:rPr>
  </w:style>
  <w:style w:type="paragraph" w:customStyle="1" w:styleId="241">
    <w:name w:val="xl37"/>
    <w:basedOn w:val="1"/>
    <w:qFormat/>
    <w:uiPriority w:val="0"/>
    <w:pPr>
      <w:widowControl/>
      <w:spacing w:before="100" w:beforeAutospacing="1" w:after="100" w:afterAutospacing="1"/>
      <w:jc w:val="center"/>
    </w:pPr>
    <w:rPr>
      <w:rFonts w:ascii="宋体" w:hAnsi="宋体" w:eastAsia="仿宋_GB2312"/>
      <w:kern w:val="0"/>
    </w:rPr>
  </w:style>
  <w:style w:type="paragraph" w:customStyle="1" w:styleId="242">
    <w:name w:val="环评正文"/>
    <w:basedOn w:val="1"/>
    <w:qFormat/>
    <w:uiPriority w:val="0"/>
    <w:pPr>
      <w:spacing w:beforeLines="30"/>
      <w:ind w:firstLine="480" w:firstLineChars="200"/>
    </w:pPr>
    <w:rPr>
      <w:rFonts w:ascii="Tahoma" w:hAnsi="Tahoma" w:cs="Tahoma"/>
      <w:kern w:val="0"/>
      <w:szCs w:val="20"/>
    </w:rPr>
  </w:style>
  <w:style w:type="paragraph" w:customStyle="1" w:styleId="243">
    <w:name w:val="内表头"/>
    <w:basedOn w:val="1"/>
    <w:qFormat/>
    <w:uiPriority w:val="0"/>
    <w:pPr>
      <w:adjustRightInd w:val="0"/>
      <w:snapToGrid w:val="0"/>
      <w:jc w:val="center"/>
    </w:pPr>
    <w:rPr>
      <w:rFonts w:eastAsia="黑体" w:cs="Arial"/>
      <w:sz w:val="20"/>
    </w:rPr>
  </w:style>
  <w:style w:type="paragraph" w:customStyle="1" w:styleId="244">
    <w:name w:val="1文章"/>
    <w:basedOn w:val="1"/>
    <w:qFormat/>
    <w:uiPriority w:val="0"/>
    <w:pPr>
      <w:snapToGrid w:val="0"/>
      <w:spacing w:line="360" w:lineRule="auto"/>
      <w:ind w:firstLine="573"/>
    </w:pPr>
    <w:rPr>
      <w:rFonts w:ascii="宋体" w:eastAsia="仿宋_GB2312"/>
      <w:kern w:val="0"/>
      <w:sz w:val="28"/>
      <w:szCs w:val="20"/>
    </w:rPr>
  </w:style>
  <w:style w:type="character" w:customStyle="1" w:styleId="245">
    <w:name w:val="标题 3 字符1"/>
    <w:qFormat/>
    <w:uiPriority w:val="0"/>
    <w:rPr>
      <w:rFonts w:ascii="Times New Roman" w:hAnsi="Times New Roman" w:eastAsia="宋体" w:cs="Times New Roman"/>
      <w:b/>
      <w:bCs/>
      <w:sz w:val="32"/>
      <w:szCs w:val="32"/>
    </w:rPr>
  </w:style>
  <w:style w:type="character" w:customStyle="1" w:styleId="246">
    <w:name w:val="报告书正文 Char"/>
    <w:link w:val="247"/>
    <w:qFormat/>
    <w:uiPriority w:val="0"/>
    <w:rPr>
      <w:sz w:val="24"/>
    </w:rPr>
  </w:style>
  <w:style w:type="paragraph" w:customStyle="1" w:styleId="247">
    <w:name w:val="报告书正文"/>
    <w:basedOn w:val="1"/>
    <w:link w:val="246"/>
    <w:qFormat/>
    <w:uiPriority w:val="0"/>
    <w:pPr>
      <w:spacing w:line="300" w:lineRule="auto"/>
      <w:ind w:firstLine="200" w:firstLineChars="200"/>
    </w:pPr>
    <w:rPr>
      <w:kern w:val="0"/>
      <w:szCs w:val="20"/>
    </w:rPr>
  </w:style>
  <w:style w:type="character" w:customStyle="1" w:styleId="248">
    <w:name w:val="表头2 Char"/>
    <w:link w:val="249"/>
    <w:qFormat/>
    <w:uiPriority w:val="0"/>
    <w:rPr>
      <w:b/>
    </w:rPr>
  </w:style>
  <w:style w:type="paragraph" w:customStyle="1" w:styleId="249">
    <w:name w:val="表头2"/>
    <w:basedOn w:val="1"/>
    <w:link w:val="248"/>
    <w:qFormat/>
    <w:uiPriority w:val="0"/>
    <w:pPr>
      <w:spacing w:line="360" w:lineRule="auto"/>
      <w:ind w:firstLine="200" w:firstLineChars="200"/>
      <w:jc w:val="center"/>
    </w:pPr>
    <w:rPr>
      <w:b/>
      <w:kern w:val="0"/>
      <w:sz w:val="20"/>
      <w:szCs w:val="20"/>
    </w:rPr>
  </w:style>
  <w:style w:type="paragraph" w:customStyle="1" w:styleId="250">
    <w:name w:val="Char1"/>
    <w:basedOn w:val="1"/>
    <w:qFormat/>
    <w:uiPriority w:val="0"/>
    <w:pPr>
      <w:keepNext/>
      <w:keepLines/>
      <w:tabs>
        <w:tab w:val="left" w:pos="2160"/>
      </w:tabs>
      <w:adjustRightInd w:val="0"/>
      <w:snapToGrid w:val="0"/>
      <w:spacing w:before="120" w:after="120" w:line="360" w:lineRule="auto"/>
      <w:ind w:left="2160" w:hanging="420"/>
      <w:outlineLvl w:val="3"/>
    </w:pPr>
    <w:rPr>
      <w:rFonts w:ascii="Calibri" w:hAnsi="Calibri"/>
    </w:rPr>
  </w:style>
  <w:style w:type="character" w:customStyle="1" w:styleId="251">
    <w:name w:val="content1"/>
    <w:qFormat/>
    <w:uiPriority w:val="0"/>
    <w:rPr>
      <w:color w:val="000000"/>
      <w:sz w:val="20"/>
      <w:szCs w:val="20"/>
    </w:rPr>
  </w:style>
  <w:style w:type="paragraph" w:customStyle="1" w:styleId="252">
    <w:name w:val="正文01"/>
    <w:basedOn w:val="1"/>
    <w:qFormat/>
    <w:uiPriority w:val="99"/>
    <w:pPr>
      <w:spacing w:line="360" w:lineRule="auto"/>
      <w:ind w:firstLine="200" w:firstLineChars="200"/>
    </w:pPr>
    <w:rPr>
      <w:sz w:val="28"/>
      <w:szCs w:val="28"/>
    </w:rPr>
  </w:style>
  <w:style w:type="paragraph" w:customStyle="1" w:styleId="253">
    <w:name w:val="表格题注"/>
    <w:qFormat/>
    <w:uiPriority w:val="99"/>
    <w:pPr>
      <w:jc w:val="center"/>
    </w:pPr>
    <w:rPr>
      <w:rFonts w:ascii="Times New Roman" w:hAnsi="Times New Roman" w:eastAsia="宋体" w:cs="Times New Roman"/>
      <w:b/>
      <w:bCs/>
      <w:sz w:val="21"/>
      <w:szCs w:val="21"/>
      <w:lang w:val="en-US" w:eastAsia="zh-CN" w:bidi="ar-SA"/>
    </w:rPr>
  </w:style>
  <w:style w:type="paragraph" w:customStyle="1" w:styleId="254">
    <w:name w:val="表头LB"/>
    <w:basedOn w:val="1"/>
    <w:qFormat/>
    <w:uiPriority w:val="99"/>
    <w:pPr>
      <w:spacing w:line="360" w:lineRule="auto"/>
      <w:jc w:val="center"/>
    </w:pPr>
    <w:rPr>
      <w:rFonts w:ascii="宋体" w:hAnsi="宋体" w:cs="宋体"/>
      <w:b/>
      <w:bCs/>
    </w:rPr>
  </w:style>
  <w:style w:type="paragraph" w:customStyle="1" w:styleId="255">
    <w:name w:val="表格居中"/>
    <w:basedOn w:val="1"/>
    <w:qFormat/>
    <w:uiPriority w:val="99"/>
    <w:pPr>
      <w:spacing w:line="320" w:lineRule="exact"/>
      <w:jc w:val="center"/>
    </w:pPr>
    <w:rPr>
      <w:szCs w:val="21"/>
    </w:rPr>
  </w:style>
  <w:style w:type="paragraph" w:customStyle="1" w:styleId="256">
    <w:name w:val="表格内容"/>
    <w:basedOn w:val="16"/>
    <w:next w:val="257"/>
    <w:link w:val="258"/>
    <w:qFormat/>
    <w:uiPriority w:val="0"/>
    <w:pPr>
      <w:jc w:val="center"/>
    </w:pPr>
    <w:rPr>
      <w:szCs w:val="21"/>
    </w:rPr>
  </w:style>
  <w:style w:type="paragraph" w:customStyle="1" w:styleId="257">
    <w:name w:val="表格表头"/>
    <w:basedOn w:val="1"/>
    <w:unhideWhenUsed/>
    <w:qFormat/>
    <w:uiPriority w:val="0"/>
    <w:pPr>
      <w:adjustRightInd w:val="0"/>
      <w:snapToGrid w:val="0"/>
      <w:spacing w:beforeLines="0" w:afterLines="0" w:line="240" w:lineRule="auto"/>
      <w:ind w:firstLine="0" w:firstLineChars="0"/>
      <w:jc w:val="center"/>
    </w:pPr>
    <w:rPr>
      <w:rFonts w:hint="eastAsia" w:ascii="Times New Roman" w:hAnsi="Times New Roman"/>
      <w:b/>
      <w:sz w:val="21"/>
    </w:rPr>
  </w:style>
  <w:style w:type="character" w:customStyle="1" w:styleId="258">
    <w:name w:val="表格内容 Char"/>
    <w:link w:val="256"/>
    <w:qFormat/>
    <w:uiPriority w:val="0"/>
    <w:rPr>
      <w:kern w:val="2"/>
      <w:sz w:val="21"/>
      <w:szCs w:val="21"/>
    </w:rPr>
  </w:style>
  <w:style w:type="paragraph" w:customStyle="1" w:styleId="259">
    <w:name w:val="表题"/>
    <w:basedOn w:val="1"/>
    <w:qFormat/>
    <w:uiPriority w:val="0"/>
    <w:pPr>
      <w:spacing w:before="62" w:beforeLines="20" w:after="62" w:afterLines="20"/>
      <w:jc w:val="center"/>
    </w:pPr>
    <w:rPr>
      <w:b/>
      <w:kern w:val="0"/>
      <w:szCs w:val="21"/>
    </w:rPr>
  </w:style>
  <w:style w:type="paragraph" w:customStyle="1" w:styleId="260">
    <w:name w:val="3"/>
    <w:basedOn w:val="1"/>
    <w:qFormat/>
    <w:uiPriority w:val="0"/>
    <w:pPr>
      <w:tabs>
        <w:tab w:val="left" w:pos="840"/>
      </w:tabs>
      <w:spacing w:line="360" w:lineRule="auto"/>
      <w:ind w:left="480"/>
      <w:outlineLvl w:val="1"/>
    </w:pPr>
    <w:rPr>
      <w:b/>
    </w:rPr>
  </w:style>
  <w:style w:type="character" w:customStyle="1" w:styleId="261">
    <w:name w:val="表标题 Char"/>
    <w:link w:val="262"/>
    <w:qFormat/>
    <w:uiPriority w:val="0"/>
    <w:rPr>
      <w:b/>
    </w:rPr>
  </w:style>
  <w:style w:type="paragraph" w:customStyle="1" w:styleId="262">
    <w:name w:val="表标题"/>
    <w:basedOn w:val="252"/>
    <w:link w:val="261"/>
    <w:qFormat/>
    <w:uiPriority w:val="0"/>
    <w:pPr>
      <w:jc w:val="center"/>
    </w:pPr>
    <w:rPr>
      <w:b/>
      <w:kern w:val="0"/>
      <w:sz w:val="20"/>
      <w:szCs w:val="20"/>
    </w:rPr>
  </w:style>
  <w:style w:type="paragraph" w:customStyle="1" w:styleId="263">
    <w:name w:val="标题二级"/>
    <w:basedOn w:val="1"/>
    <w:qFormat/>
    <w:uiPriority w:val="0"/>
    <w:pPr>
      <w:spacing w:line="360" w:lineRule="auto"/>
      <w:ind w:firstLine="720" w:firstLineChars="200"/>
      <w:jc w:val="left"/>
    </w:pPr>
    <w:rPr>
      <w:b/>
    </w:rPr>
  </w:style>
  <w:style w:type="paragraph" w:customStyle="1" w:styleId="264">
    <w:name w:val="333"/>
    <w:basedOn w:val="1"/>
    <w:qFormat/>
    <w:uiPriority w:val="0"/>
    <w:pPr>
      <w:numPr>
        <w:ilvl w:val="0"/>
        <w:numId w:val="3"/>
      </w:numPr>
      <w:spacing w:line="360" w:lineRule="auto"/>
    </w:pPr>
    <w:rPr>
      <w:b/>
    </w:rPr>
  </w:style>
  <w:style w:type="paragraph" w:customStyle="1" w:styleId="265">
    <w:name w:val="Char Char1 Char"/>
    <w:basedOn w:val="1"/>
    <w:qFormat/>
    <w:uiPriority w:val="0"/>
    <w:rPr>
      <w:rFonts w:eastAsia="Times New Roman"/>
      <w:kern w:val="0"/>
      <w:sz w:val="20"/>
      <w:szCs w:val="20"/>
    </w:rPr>
  </w:style>
  <w:style w:type="character" w:customStyle="1" w:styleId="266">
    <w:name w:val="正文首行缩进 Char"/>
    <w:qFormat/>
    <w:uiPriority w:val="0"/>
    <w:rPr>
      <w:kern w:val="2"/>
      <w:sz w:val="21"/>
      <w:szCs w:val="24"/>
    </w:rPr>
  </w:style>
  <w:style w:type="character" w:customStyle="1" w:styleId="267">
    <w:name w:val="报告正文 Char Char"/>
    <w:link w:val="268"/>
    <w:qFormat/>
    <w:uiPriority w:val="0"/>
    <w:rPr>
      <w:sz w:val="24"/>
    </w:rPr>
  </w:style>
  <w:style w:type="paragraph" w:customStyle="1" w:styleId="268">
    <w:name w:val="报告正文"/>
    <w:basedOn w:val="1"/>
    <w:link w:val="267"/>
    <w:qFormat/>
    <w:uiPriority w:val="0"/>
    <w:pPr>
      <w:spacing w:line="360" w:lineRule="auto"/>
      <w:ind w:firstLine="1040" w:firstLineChars="200"/>
    </w:pPr>
    <w:rPr>
      <w:kern w:val="0"/>
      <w:szCs w:val="20"/>
    </w:rPr>
  </w:style>
  <w:style w:type="character" w:customStyle="1" w:styleId="269">
    <w:name w:val="样式 样式 样式 样式 小四 左 首行缩进:  2 字符 + 首行缩进:  2 字符 Char + 右  0 字符1 + 首行缩...3 Char"/>
    <w:link w:val="270"/>
    <w:qFormat/>
    <w:uiPriority w:val="0"/>
    <w:rPr>
      <w:kern w:val="2"/>
      <w:sz w:val="24"/>
    </w:rPr>
  </w:style>
  <w:style w:type="paragraph" w:customStyle="1" w:styleId="270">
    <w:name w:val="样式 样式 样式 样式 小四 左 首行缩进:  2 字符 + 首行缩进:  2 字符 Char + 右  0 字符1 + 首行缩...3"/>
    <w:basedOn w:val="1"/>
    <w:link w:val="269"/>
    <w:qFormat/>
    <w:uiPriority w:val="0"/>
    <w:pPr>
      <w:adjustRightInd w:val="0"/>
      <w:spacing w:line="360" w:lineRule="auto"/>
      <w:ind w:firstLine="480" w:firstLineChars="200"/>
      <w:jc w:val="left"/>
      <w:textAlignment w:val="baseline"/>
    </w:pPr>
    <w:rPr>
      <w:szCs w:val="20"/>
    </w:rPr>
  </w:style>
  <w:style w:type="paragraph" w:customStyle="1" w:styleId="271">
    <w:name w:val="九晟正文"/>
    <w:basedOn w:val="1"/>
    <w:qFormat/>
    <w:uiPriority w:val="0"/>
    <w:pPr>
      <w:spacing w:line="360" w:lineRule="auto"/>
      <w:ind w:firstLine="480" w:firstLineChars="200"/>
      <w:jc w:val="left"/>
    </w:pPr>
  </w:style>
  <w:style w:type="paragraph" w:customStyle="1" w:styleId="272">
    <w:name w:val="表格第一行"/>
    <w:next w:val="1"/>
    <w:qFormat/>
    <w:uiPriority w:val="0"/>
    <w:pPr>
      <w:adjustRightInd w:val="0"/>
      <w:snapToGrid w:val="0"/>
      <w:spacing w:line="320" w:lineRule="exact"/>
      <w:jc w:val="center"/>
      <w:textAlignment w:val="baseline"/>
    </w:pPr>
    <w:rPr>
      <w:rFonts w:ascii="Times New Roman" w:hAnsi="Times New Roman" w:eastAsia="宋体" w:cs="Times New Roman"/>
      <w:b/>
      <w:sz w:val="21"/>
      <w:szCs w:val="21"/>
      <w:lang w:val="en-US" w:eastAsia="zh-CN" w:bidi="ar-SA"/>
    </w:rPr>
  </w:style>
  <w:style w:type="paragraph" w:customStyle="1" w:styleId="273">
    <w:name w:val="表格内格式"/>
    <w:basedOn w:val="256"/>
    <w:next w:val="274"/>
    <w:qFormat/>
    <w:uiPriority w:val="0"/>
    <w:pPr>
      <w:widowControl/>
      <w:spacing w:line="360" w:lineRule="exact"/>
    </w:pPr>
    <w:rPr>
      <w:kern w:val="0"/>
    </w:rPr>
  </w:style>
  <w:style w:type="paragraph" w:customStyle="1" w:styleId="274">
    <w:name w:val="（正文）"/>
    <w:basedOn w:val="26"/>
    <w:qFormat/>
    <w:uiPriority w:val="0"/>
    <w:pPr>
      <w:spacing w:line="360" w:lineRule="auto"/>
      <w:ind w:firstLine="480"/>
    </w:pPr>
    <w:rPr>
      <w:rFonts w:cs="Courier New"/>
      <w:sz w:val="24"/>
    </w:rPr>
  </w:style>
  <w:style w:type="paragraph" w:customStyle="1" w:styleId="275">
    <w:name w:val="表格正文"/>
    <w:basedOn w:val="1"/>
    <w:qFormat/>
    <w:uiPriority w:val="0"/>
    <w:pPr>
      <w:jc w:val="center"/>
    </w:pPr>
    <w:rPr>
      <w:sz w:val="21"/>
    </w:rPr>
  </w:style>
  <w:style w:type="paragraph" w:customStyle="1" w:styleId="276">
    <w:name w:val="A0正文"/>
    <w:basedOn w:val="1"/>
    <w:qFormat/>
    <w:uiPriority w:val="0"/>
    <w:pPr>
      <w:spacing w:line="360" w:lineRule="auto"/>
      <w:ind w:firstLine="200" w:firstLineChars="200"/>
    </w:pPr>
    <w:rPr>
      <w:rFonts w:cs="宋体"/>
      <w:szCs w:val="20"/>
      <w:lang w:val="zh-CN"/>
    </w:rPr>
  </w:style>
  <w:style w:type="paragraph" w:customStyle="1" w:styleId="277">
    <w:name w:val="表内容"/>
    <w:basedOn w:val="1"/>
    <w:next w:val="1"/>
    <w:qFormat/>
    <w:uiPriority w:val="1"/>
    <w:pPr>
      <w:spacing w:line="320" w:lineRule="exact"/>
      <w:jc w:val="center"/>
    </w:pPr>
    <w:rPr>
      <w:szCs w:val="20"/>
    </w:rPr>
  </w:style>
  <w:style w:type="paragraph" w:customStyle="1" w:styleId="278">
    <w:name w:val="正文首行缩进2个字"/>
    <w:basedOn w:val="1"/>
    <w:qFormat/>
    <w:uiPriority w:val="0"/>
    <w:pPr>
      <w:spacing w:line="360" w:lineRule="auto"/>
      <w:ind w:firstLine="200" w:firstLineChars="200"/>
    </w:pPr>
    <w:rPr>
      <w:spacing w:val="3"/>
    </w:rPr>
  </w:style>
  <w:style w:type="paragraph" w:customStyle="1" w:styleId="279">
    <w:name w:val="Revision"/>
    <w:hidden/>
    <w:semiHidden/>
    <w:qFormat/>
    <w:uiPriority w:val="99"/>
    <w:rPr>
      <w:rFonts w:ascii="Times New Roman" w:hAnsi="Times New Roman" w:eastAsia="宋体" w:cs="Times New Roman"/>
      <w:kern w:val="2"/>
      <w:sz w:val="24"/>
      <w:szCs w:val="24"/>
      <w:lang w:val="en-US" w:eastAsia="zh-CN" w:bidi="ar-SA"/>
    </w:rPr>
  </w:style>
  <w:style w:type="paragraph" w:customStyle="1" w:styleId="280">
    <w:name w:val="WPSOffice手动目录 1"/>
    <w:qFormat/>
    <w:uiPriority w:val="0"/>
    <w:pPr>
      <w:ind w:leftChars="0"/>
    </w:pPr>
    <w:rPr>
      <w:rFonts w:ascii="Times New Roman" w:hAnsi="Times New Roman" w:eastAsia="宋体" w:cs="Times New Roman"/>
      <w:sz w:val="20"/>
      <w:szCs w:val="20"/>
    </w:rPr>
  </w:style>
  <w:style w:type="paragraph" w:customStyle="1" w:styleId="281">
    <w:name w:val="表头-易恒"/>
    <w:basedOn w:val="282"/>
    <w:next w:val="282"/>
    <w:qFormat/>
    <w:uiPriority w:val="0"/>
    <w:pPr>
      <w:spacing w:before="50" w:beforeLines="50" w:line="240" w:lineRule="auto"/>
      <w:ind w:firstLine="0" w:firstLineChars="0"/>
      <w:jc w:val="center"/>
    </w:pPr>
    <w:rPr>
      <w:b/>
    </w:rPr>
  </w:style>
  <w:style w:type="paragraph" w:customStyle="1" w:styleId="282">
    <w:name w:val="正文-易恒"/>
    <w:basedOn w:val="1"/>
    <w:qFormat/>
    <w:uiPriority w:val="0"/>
    <w:pPr>
      <w:spacing w:line="360" w:lineRule="auto"/>
      <w:ind w:firstLine="200" w:firstLineChars="200"/>
    </w:pPr>
    <w:rPr>
      <w:rFonts w:ascii="Times New Roman" w:hAnsi="Times New Roman" w:eastAsia="宋体" w:cs="Times New Roman"/>
      <w:sz w:val="24"/>
      <w:szCs w:val="24"/>
    </w:rPr>
  </w:style>
  <w:style w:type="paragraph" w:customStyle="1" w:styleId="283">
    <w:name w:val="表格-易恒1"/>
    <w:basedOn w:val="1"/>
    <w:qFormat/>
    <w:uiPriority w:val="0"/>
    <w:pPr>
      <w:jc w:val="center"/>
    </w:pPr>
    <w:rPr>
      <w:rFonts w:ascii="Times New Roman" w:hAnsi="Times New Roman" w:eastAsia="宋体"/>
      <w:szCs w:val="32"/>
    </w:rPr>
  </w:style>
  <w:style w:type="paragraph" w:customStyle="1" w:styleId="284">
    <w:name w:val="表内格式"/>
    <w:basedOn w:val="133"/>
    <w:next w:val="129"/>
    <w:qFormat/>
    <w:uiPriority w:val="0"/>
    <w:pPr>
      <w:spacing w:line="240" w:lineRule="auto"/>
      <w:ind w:firstLine="0" w:firstLineChars="0"/>
      <w:jc w:val="center"/>
    </w:pPr>
    <w:rPr>
      <w:sz w:val="18"/>
      <w:szCs w:val="20"/>
      <w:lang w:val="zh-CN"/>
    </w:rPr>
  </w:style>
  <w:style w:type="paragraph" w:customStyle="1" w:styleId="285">
    <w:name w:val="表格-易恒"/>
    <w:basedOn w:val="22"/>
    <w:qFormat/>
    <w:uiPriority w:val="1"/>
    <w:pPr>
      <w:spacing w:after="0" w:line="240" w:lineRule="auto"/>
      <w:ind w:firstLine="0" w:firstLineChars="0"/>
      <w:jc w:val="center"/>
    </w:pPr>
    <w:rPr>
      <w:sz w:val="21"/>
      <w:szCs w:val="21"/>
    </w:rPr>
  </w:style>
  <w:style w:type="character" w:customStyle="1" w:styleId="286">
    <w:name w:val="ggzbt011"/>
    <w:basedOn w:val="45"/>
    <w:qFormat/>
    <w:uiPriority w:val="0"/>
  </w:style>
  <w:style w:type="paragraph" w:customStyle="1" w:styleId="287">
    <w:name w:val="制表格"/>
    <w:basedOn w:val="1"/>
    <w:qFormat/>
    <w:uiPriority w:val="0"/>
    <w:pPr>
      <w:jc w:val="center"/>
    </w:pPr>
    <w:rPr>
      <w:rFonts w:ascii="Times New Roman" w:hAnsi="Times New Roman" w:eastAsia="宋体" w:cs="Times New Roman"/>
      <w:snapToGrid w:val="0"/>
      <w:kern w:val="0"/>
      <w:szCs w:val="28"/>
    </w:rPr>
  </w:style>
  <w:style w:type="paragraph" w:customStyle="1" w:styleId="288">
    <w:name w:val="样式 样式 样式 小四 首行缩进:  2.25 字符 + 首行缩进:  2.25 字符 + 首行缩进:  2 字符"/>
    <w:basedOn w:val="1"/>
    <w:qFormat/>
    <w:uiPriority w:val="0"/>
    <w:pPr>
      <w:spacing w:line="440" w:lineRule="exact"/>
      <w:ind w:firstLine="200" w:firstLineChars="200"/>
    </w:pPr>
    <w:rPr>
      <w:rFonts w:ascii="Times New Roman" w:hAnsi="Times New Roman" w:eastAsia="宋体" w:cs="Times New Roman"/>
      <w:sz w:val="24"/>
      <w:szCs w:val="24"/>
    </w:rPr>
  </w:style>
  <w:style w:type="paragraph" w:customStyle="1" w:styleId="289">
    <w:name w:val="正文_11"/>
    <w:qFormat/>
    <w:uiPriority w:val="0"/>
    <w:pPr>
      <w:widowControl w:val="0"/>
      <w:jc w:val="both"/>
    </w:pPr>
    <w:rPr>
      <w:rFonts w:ascii="Calibri" w:hAnsi="Calibri" w:eastAsia="宋体" w:cs="Times New Roman"/>
      <w:kern w:val="2"/>
      <w:sz w:val="21"/>
      <w:lang w:val="en-US" w:eastAsia="zh-CN" w:bidi="ar-SA"/>
    </w:rPr>
  </w:style>
  <w:style w:type="paragraph" w:customStyle="1" w:styleId="290">
    <w:name w:val="君邦正文"/>
    <w:qFormat/>
    <w:uiPriority w:val="0"/>
    <w:pPr>
      <w:spacing w:after="60" w:line="360" w:lineRule="auto"/>
      <w:ind w:firstLine="480" w:firstLineChars="200"/>
      <w:jc w:val="both"/>
    </w:pPr>
    <w:rPr>
      <w:rFonts w:ascii="Times New Roman" w:hAnsi="Times New Roman" w:eastAsia="宋体" w:cs="Times New Roman"/>
      <w:bCs/>
      <w:snapToGrid w:val="0"/>
      <w:sz w:val="24"/>
      <w:lang w:val="en-US" w:eastAsia="zh-CN" w:bidi="ar-SA"/>
    </w:rPr>
  </w:style>
  <w:style w:type="paragraph" w:customStyle="1" w:styleId="291">
    <w:name w:val="表头样式1"/>
    <w:basedOn w:val="1"/>
    <w:qFormat/>
    <w:uiPriority w:val="0"/>
    <w:pPr>
      <w:adjustRightInd/>
      <w:snapToGrid/>
      <w:spacing w:after="80" w:line="480" w:lineRule="atLeast"/>
      <w:ind w:firstLine="0" w:firstLineChars="0"/>
      <w:jc w:val="center"/>
    </w:pPr>
    <w:rPr>
      <w:rFonts w:eastAsia="黑体"/>
      <w:b/>
      <w:szCs w:val="20"/>
    </w:rPr>
  </w:style>
  <w:style w:type="paragraph" w:customStyle="1" w:styleId="292">
    <w:name w:val="表内文字"/>
    <w:basedOn w:val="1"/>
    <w:next w:val="1"/>
    <w:qFormat/>
    <w:uiPriority w:val="0"/>
    <w:pPr>
      <w:widowControl/>
      <w:tabs>
        <w:tab w:val="left" w:pos="3345"/>
      </w:tabs>
      <w:adjustRightInd w:val="0"/>
      <w:snapToGrid w:val="0"/>
      <w:jc w:val="center"/>
    </w:pPr>
    <w:rPr>
      <w:iCs/>
      <w:kern w:val="0"/>
      <w:szCs w:val="18"/>
    </w:rPr>
  </w:style>
  <w:style w:type="paragraph" w:customStyle="1" w:styleId="293">
    <w:name w:val="正文文本首行缩进B"/>
    <w:basedOn w:val="22"/>
    <w:qFormat/>
    <w:locked/>
    <w:uiPriority w:val="0"/>
    <w:pPr>
      <w:widowControl w:val="0"/>
      <w:snapToGrid/>
      <w:spacing w:before="0" w:after="0" w:line="360" w:lineRule="auto"/>
      <w:ind w:right="0" w:firstLine="200" w:firstLineChars="200"/>
    </w:pPr>
    <w:rPr>
      <w:b/>
      <w:kern w:val="2"/>
      <w:sz w:val="21"/>
    </w:rPr>
  </w:style>
  <w:style w:type="paragraph" w:customStyle="1" w:styleId="294">
    <w:name w:val="表标题xw"/>
    <w:basedOn w:val="1"/>
    <w:qFormat/>
    <w:uiPriority w:val="0"/>
    <w:pPr>
      <w:spacing w:line="240" w:lineRule="auto"/>
      <w:jc w:val="center"/>
    </w:pPr>
    <w:rPr>
      <w:rFonts w:ascii="Times New Roman" w:hAnsi="Times New Roman" w:eastAsia="宋体"/>
      <w:b/>
    </w:rPr>
  </w:style>
  <w:style w:type="paragraph" w:customStyle="1" w:styleId="295">
    <w:name w:val="5正文"/>
    <w:basedOn w:val="1"/>
    <w:qFormat/>
    <w:uiPriority w:val="0"/>
    <w:pPr>
      <w:snapToGrid w:val="0"/>
      <w:spacing w:line="360" w:lineRule="auto"/>
      <w:ind w:firstLine="200" w:firstLineChars="200"/>
    </w:pPr>
    <w:rPr>
      <w:sz w:val="24"/>
    </w:rPr>
  </w:style>
  <w:style w:type="paragraph" w:customStyle="1" w:styleId="296">
    <w:name w:val="正文1xw"/>
    <w:basedOn w:val="1"/>
    <w:next w:val="1"/>
    <w:qFormat/>
    <w:uiPriority w:val="0"/>
    <w:pPr>
      <w:spacing w:line="360" w:lineRule="auto"/>
      <w:ind w:firstLine="723" w:firstLineChars="200"/>
    </w:pPr>
    <w:rPr>
      <w:rFonts w:ascii="Times New Roman" w:hAnsi="Times New Roman" w:eastAsia="宋体"/>
      <w:sz w:val="24"/>
    </w:rPr>
  </w:style>
  <w:style w:type="paragraph" w:customStyle="1" w:styleId="297">
    <w:name w:val="0正文"/>
    <w:basedOn w:val="22"/>
    <w:unhideWhenUsed/>
    <w:qFormat/>
    <w:uiPriority w:val="0"/>
    <w:pPr>
      <w:widowControl w:val="0"/>
      <w:spacing w:beforeLines="0" w:afterLines="0" w:line="360" w:lineRule="auto"/>
      <w:ind w:firstLine="720" w:firstLineChars="200"/>
    </w:pPr>
    <w:rPr>
      <w:rFonts w:hint="eastAsia"/>
      <w:sz w:val="24"/>
      <w:szCs w:val="22"/>
    </w:rPr>
  </w:style>
  <w:style w:type="paragraph" w:customStyle="1" w:styleId="298">
    <w:name w:val="Default1"/>
    <w:unhideWhenUsed/>
    <w:qFormat/>
    <w:uiPriority w:val="0"/>
    <w:pPr>
      <w:widowControl w:val="0"/>
      <w:autoSpaceDE w:val="0"/>
      <w:autoSpaceDN w:val="0"/>
      <w:adjustRightInd w:val="0"/>
      <w:spacing w:beforeLines="0" w:afterLines="0"/>
    </w:pPr>
    <w:rPr>
      <w:rFonts w:hint="eastAsia" w:ascii="宋体" w:hAnsi="Calibri" w:eastAsia="宋体" w:cs="宋体"/>
      <w:color w:val="000000"/>
      <w:sz w:val="24"/>
      <w:szCs w:val="24"/>
      <w:lang w:val="en-US" w:eastAsia="zh-CN" w:bidi="ar-SA"/>
    </w:rPr>
  </w:style>
  <w:style w:type="paragraph" w:customStyle="1" w:styleId="299">
    <w:name w:val="lh-表格文字-报告表"/>
    <w:basedOn w:val="1"/>
    <w:qFormat/>
    <w:uiPriority w:val="0"/>
    <w:pPr>
      <w:jc w:val="center"/>
    </w:pPr>
    <w:rPr>
      <w:kern w:val="0"/>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4.png"/><Relationship Id="rId33" Type="http://schemas.openxmlformats.org/officeDocument/2006/relationships/image" Target="media/image23.png"/><Relationship Id="rId32" Type="http://schemas.openxmlformats.org/officeDocument/2006/relationships/image" Target="media/image22.png"/><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footer" Target="footer1.xml"/><Relationship Id="rId29" Type="http://schemas.openxmlformats.org/officeDocument/2006/relationships/image" Target="media/image19.png"/><Relationship Id="rId28" Type="http://schemas.openxmlformats.org/officeDocument/2006/relationships/image" Target="media/image18.png"/><Relationship Id="rId27" Type="http://schemas.openxmlformats.org/officeDocument/2006/relationships/image" Target="media/image17.wmf"/><Relationship Id="rId26" Type="http://schemas.openxmlformats.org/officeDocument/2006/relationships/oleObject" Target="embeddings/oleObject2.bin"/><Relationship Id="rId25" Type="http://schemas.openxmlformats.org/officeDocument/2006/relationships/image" Target="media/image16.wmf"/><Relationship Id="rId24" Type="http://schemas.openxmlformats.org/officeDocument/2006/relationships/oleObject" Target="embeddings/oleObject1.bin"/><Relationship Id="rId23" Type="http://schemas.openxmlformats.org/officeDocument/2006/relationships/image" Target="media/image15.png"/><Relationship Id="rId22" Type="http://schemas.openxmlformats.org/officeDocument/2006/relationships/image" Target="media/image14.png"/><Relationship Id="rId21" Type="http://schemas.openxmlformats.org/officeDocument/2006/relationships/image" Target="media/image13.pn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png"/><Relationship Id="rId18" Type="http://schemas.openxmlformats.org/officeDocument/2006/relationships/image" Target="media/image10.png"/><Relationship Id="rId17" Type="http://schemas.openxmlformats.org/officeDocument/2006/relationships/image" Target="media/image9.png"/><Relationship Id="rId16" Type="http://schemas.openxmlformats.org/officeDocument/2006/relationships/image" Target="media/image8.pn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jpeg"/><Relationship Id="rId10" Type="http://schemas.openxmlformats.org/officeDocument/2006/relationships/image" Target="media/image2.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1">
      <extobjdata type="ECB019B1-382A-4266-B25C-5B523AA43C14" data="ewoJIkZpbGVJZCIgOiAiNDM5MTM4MzI2ODY5IiwKCSJHcm91cElkIiA6ICI2OTI1Mjk0NjIiLAoJIkltYWdlIiA6ICJpVkJPUncwS0dnb0FBQUFOU1VoRVVnQUFBRXNBQUFCTENBWUFBQUE0VG5ycUFBQUFBWE5TUjBJQXJzNGM2UUFBQUMxSlJFRlVlSnp0d1RFQkFBQUF3cUQxVDIwTUg2QUFBQUFBQUFBQUFBQUFBQUFBQUFBQUFBQUFBQUNBc3dGWUx3QUJjQlY5NkFBQUFBQkpSVTVFcmtKZ2dnPT0iLAoJIlRoZW1lIiA6ICIiLAoJIlR5cGUiIDogImZsb3ciLAoJIlVzZXJJZCIgOiAiNjEzMzQ2OTA3IiwKCSJWZXJzaW9uIiA6ICIxNDciCn0K"/>
    </extobj>
    <extobj name="ECB019B1-382A-4266-B25C-5B523AA43C14-2">
      <extobjdata type="ECB019B1-382A-4266-B25C-5B523AA43C14" data="ewoJIkZpbGVJZCIgOiAiNDA1MzEwMDc1ODU0IiwKCSJHcm91cElkIiA6ICI2OTI1Mjk0NjIiLAoJIkltYWdlIiA6ICJpVkJPUncwS0dnb0FBQUFOU1VoRVVnQUFBRXNBQUFCTENBWUFBQUE0VG5ycUFBQUFBWE5TUjBJQXJzNGM2UUFBQUMxSlJFRlVlSnp0d1RFQkFBQUF3cUQxVDIwTUg2QUFBQUFBQUFBQUFBQUFBQUFBQUFBQUFBQUFBQUNBc3dGWUx3QUJjQlY5NkFBQUFBQkpSVTVFcmtKZ2dnPT0iLAoJIlRoZW1lIiA6ICIiLAoJIlR5cGUiIDogImZsb3ciLAoJIlVzZXJJZCIgOiAiNjEzMzQ2OTA3IiwKCSJWZXJzaW9uIiA6ICIzNyIKfQo="/>
    </extobj>
    <extobj name="ECB019B1-382A-4266-B25C-5B523AA43C14-3">
      <extobjdata type="ECB019B1-382A-4266-B25C-5B523AA43C14" data="ewoJIkZpbGVJZCIgOiAiNDMzNTA1OTIzNzEwIiwKCSJHcm91cElkIiA6ICI2OTI1Mjk0NjIiLAoJIkltYWdlIiA6ICJpVkJPUncwS0dnb0FBQUFOU1VoRVVnQUFBRXNBQUFCTENBWUFBQUE0VG5ycUFBQUFBWE5TUjBJQXJzNGM2UUFBQUMxSlJFRlVlSnp0d1RFQkFBQUF3cUQxVDIwTUg2QUFBQUFBQUFBQUFBQUFBQUFBQUFBQUFBQUFBQUNBc3dGWUx3QUJjQlY5NkFBQUFBQkpSVTVFcmtKZ2dnPT0iLAoJIlRoZW1lIiA6ICIiLAoJIlR5cGUiIDogImZsb3ciLAoJIlVzZXJJZCIgOiAiNjEzMzQ2OTA3IiwKCSJWZXJzaW9uIiA6ICIzOC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97</Pages>
  <Words>47167</Words>
  <Characters>56371</Characters>
  <Lines>419</Lines>
  <Paragraphs>118</Paragraphs>
  <TotalTime>24</TotalTime>
  <ScaleCrop>false</ScaleCrop>
  <LinksUpToDate>false</LinksUpToDate>
  <CharactersWithSpaces>59478</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2021-12-06T02:49:00Z</dcterms:created>
  <dc:creator>lhj</dc:creator>
  <cp:lastModifiedBy>空白</cp:lastModifiedBy>
  <cp:lastPrinted>2025-05-06T08:35:00Z</cp:lastPrinted>
  <dcterms:modified xsi:type="dcterms:W3CDTF">2025-08-20T07:57:00Z</dcterms:modified>
  <dc:title>附件2</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B7EF1AD2CAD84C89801D2061826C1768_13</vt:lpwstr>
  </property>
  <property fmtid="{D5CDD505-2E9C-101B-9397-08002B2CF9AE}" pid="4" name="KSOTemplateDocerSaveRecord">
    <vt:lpwstr>eyJoZGlkIjoiMDY5MDYzZmVlMWNhMjA1M2MwM2E0ZDVlZmQxZDNlNWEiLCJ1c2VySWQiOiI2MTMzNDY5MDcifQ==</vt:lpwstr>
  </property>
</Properties>
</file>