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A10D6">
      <w:pPr>
        <w:pStyle w:val="8"/>
        <w:rPr>
          <w:rFonts w:ascii="仿宋_GB2312" w:hAnsi="宋体" w:eastAsia="仿宋_GB2312" w:cs="宋体"/>
          <w:bCs/>
          <w:spacing w:val="8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sz w:val="30"/>
          <w:szCs w:val="30"/>
          <w:lang w:eastAsia="zh-CN"/>
        </w:rPr>
        <w:t>附件1</w:t>
      </w:r>
    </w:p>
    <w:p w14:paraId="18FB83C9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2024年度部门整体支出绩效评价基础</w:t>
      </w:r>
    </w:p>
    <w:p w14:paraId="58E8424C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数据表</w:t>
      </w:r>
    </w:p>
    <w:p w14:paraId="5727B8D2">
      <w:pPr>
        <w:spacing w:line="177" w:lineRule="exact"/>
        <w:ind w:firstLine="420"/>
        <w:rPr>
          <w:lang w:eastAsia="zh-CN"/>
        </w:rPr>
      </w:pPr>
    </w:p>
    <w:tbl>
      <w:tblPr>
        <w:tblStyle w:val="13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DFE7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7CC00CB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财政供养人员情况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人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9C7FB6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4181A9F1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hint="eastAsia" w:ascii="仿宋_GB2312" w:eastAsia="仿宋_GB2312"/>
                <w:lang w:eastAsia="zh-CN"/>
              </w:rPr>
              <w:t>4</w:t>
            </w:r>
            <w:r>
              <w:rPr>
                <w:rFonts w:hint="eastAsia" w:ascii="仿宋_GB2312" w:hAnsi="宋体" w:eastAsia="仿宋_GB2312" w:cs="宋体"/>
              </w:rPr>
              <w:t>年实际在职</w:t>
            </w:r>
          </w:p>
          <w:p w14:paraId="7D597C4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4869677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控制率</w:t>
            </w:r>
          </w:p>
        </w:tc>
      </w:tr>
      <w:tr w14:paraId="7ECB9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E77A3F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10B9D5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107</w:t>
            </w:r>
          </w:p>
        </w:tc>
        <w:tc>
          <w:tcPr>
            <w:tcW w:w="2039" w:type="dxa"/>
            <w:gridSpan w:val="2"/>
            <w:vAlign w:val="center"/>
          </w:tcPr>
          <w:p w14:paraId="7A6020D3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103</w:t>
            </w:r>
          </w:p>
        </w:tc>
        <w:tc>
          <w:tcPr>
            <w:tcW w:w="1983" w:type="dxa"/>
            <w:gridSpan w:val="2"/>
            <w:vAlign w:val="center"/>
          </w:tcPr>
          <w:p w14:paraId="7FF75EE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96.2%</w:t>
            </w:r>
          </w:p>
        </w:tc>
      </w:tr>
      <w:tr w14:paraId="31840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EE181CD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经费控制情况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147E410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hint="eastAsia" w:ascii="仿宋_GB2312" w:eastAsia="仿宋_GB2312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2A8419C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hint="eastAsia" w:ascii="仿宋_GB2312" w:eastAsia="仿宋_GB2312"/>
                <w:lang w:eastAsia="zh-CN"/>
              </w:rPr>
              <w:t>4</w:t>
            </w:r>
            <w:r>
              <w:rPr>
                <w:rFonts w:hint="eastAsia" w:ascii="仿宋_GB2312" w:hAnsi="宋体" w:eastAsia="仿宋_GB2312" w:cs="宋体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6F10CD4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hint="eastAsia" w:ascii="仿宋_GB2312" w:eastAsia="仿宋_GB2312"/>
                <w:lang w:eastAsia="zh-CN"/>
              </w:rPr>
              <w:t>4</w:t>
            </w:r>
            <w:r>
              <w:rPr>
                <w:rFonts w:hint="eastAsia" w:ascii="仿宋_GB2312" w:hAnsi="宋体" w:eastAsia="仿宋_GB2312" w:cs="宋体"/>
              </w:rPr>
              <w:t>年决算数</w:t>
            </w:r>
          </w:p>
        </w:tc>
      </w:tr>
      <w:tr w14:paraId="0F20B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4CD497D2">
            <w:pPr>
              <w:rPr>
                <w:rFonts w:ascii="仿宋_GB2312" w:eastAsia="仿宋_GB2312"/>
              </w:rPr>
            </w:pPr>
            <w:r>
              <w:rPr>
                <w:rFonts w:ascii="仿宋_GB2312" w:hAnsi="宋体" w:eastAsia="仿宋_GB2312" w:cs="宋体"/>
                <w:lang w:eastAsia="zh-CN"/>
              </w:rPr>
              <w:t>“</w:t>
            </w:r>
            <w:r>
              <w:rPr>
                <w:rFonts w:hint="eastAsia" w:ascii="仿宋_GB2312" w:hAnsi="宋体" w:eastAsia="仿宋_GB2312" w:cs="宋体"/>
              </w:rPr>
              <w:t>三公</w:t>
            </w:r>
            <w:r>
              <w:rPr>
                <w:rFonts w:ascii="仿宋_GB2312" w:hAnsi="宋体" w:eastAsia="仿宋_GB2312" w:cs="宋体"/>
                <w:lang w:eastAsia="zh-CN"/>
              </w:rPr>
              <w:t>”</w:t>
            </w:r>
            <w:r>
              <w:rPr>
                <w:rFonts w:hint="eastAsia" w:ascii="仿宋_GB2312" w:hAnsi="宋体" w:eastAsia="仿宋_GB2312" w:cs="宋体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383EBD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2039" w:type="dxa"/>
            <w:gridSpan w:val="2"/>
            <w:vAlign w:val="center"/>
          </w:tcPr>
          <w:p w14:paraId="488019C8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12.4</w:t>
            </w:r>
          </w:p>
        </w:tc>
        <w:tc>
          <w:tcPr>
            <w:tcW w:w="1983" w:type="dxa"/>
            <w:gridSpan w:val="2"/>
            <w:vAlign w:val="center"/>
          </w:tcPr>
          <w:p w14:paraId="3ED789ED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11.9</w:t>
            </w:r>
          </w:p>
        </w:tc>
      </w:tr>
      <w:tr w14:paraId="1DEB5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73E87B77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</w:tcPr>
          <w:p w14:paraId="785AD468">
            <w:pPr>
              <w:pStyle w:val="14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E39F20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81A70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14:paraId="27B86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5BBE6462">
            <w:pPr>
              <w:ind w:firstLine="840" w:firstLineChars="4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其中：公车购置</w:t>
            </w:r>
          </w:p>
        </w:tc>
        <w:tc>
          <w:tcPr>
            <w:tcW w:w="2116" w:type="dxa"/>
            <w:gridSpan w:val="2"/>
          </w:tcPr>
          <w:p w14:paraId="0BC6C143">
            <w:pPr>
              <w:pStyle w:val="14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C128E0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FA2203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43F3D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00A867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</w:rPr>
              <w:t>公车运行维护</w:t>
            </w:r>
          </w:p>
        </w:tc>
        <w:tc>
          <w:tcPr>
            <w:tcW w:w="2116" w:type="dxa"/>
            <w:gridSpan w:val="2"/>
          </w:tcPr>
          <w:p w14:paraId="78CE3C5C">
            <w:pPr>
              <w:pStyle w:val="14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94143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A638A1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2A2D3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647E214D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  <w:r>
              <w:rPr>
                <w:rFonts w:hint="eastAsia" w:ascii="仿宋_GB2312" w:hAnsi="宋体" w:eastAsia="仿宋_GB2312" w:cs="宋体"/>
              </w:rPr>
              <w:t>、出国经费</w:t>
            </w:r>
          </w:p>
        </w:tc>
        <w:tc>
          <w:tcPr>
            <w:tcW w:w="2116" w:type="dxa"/>
            <w:gridSpan w:val="2"/>
          </w:tcPr>
          <w:p w14:paraId="3A8DFAF4">
            <w:pPr>
              <w:pStyle w:val="14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5A3222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3852C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4D33B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15321F4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  <w:r>
              <w:rPr>
                <w:rFonts w:hint="eastAsia" w:ascii="仿宋_GB2312" w:hAnsi="宋体" w:eastAsia="仿宋_GB2312" w:cs="宋体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3CA59626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2039" w:type="dxa"/>
            <w:gridSpan w:val="2"/>
            <w:vAlign w:val="center"/>
          </w:tcPr>
          <w:p w14:paraId="303E2382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12.4</w:t>
            </w:r>
          </w:p>
        </w:tc>
        <w:tc>
          <w:tcPr>
            <w:tcW w:w="1983" w:type="dxa"/>
            <w:gridSpan w:val="2"/>
            <w:vAlign w:val="center"/>
          </w:tcPr>
          <w:p w14:paraId="03788EB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11.9</w:t>
            </w:r>
          </w:p>
        </w:tc>
      </w:tr>
      <w:tr w14:paraId="203E0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79A69D23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C4514FF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984.68</w:t>
            </w:r>
          </w:p>
        </w:tc>
        <w:tc>
          <w:tcPr>
            <w:tcW w:w="2039" w:type="dxa"/>
            <w:gridSpan w:val="2"/>
            <w:vAlign w:val="center"/>
          </w:tcPr>
          <w:p w14:paraId="3188C37C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94BFF6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987.53</w:t>
            </w:r>
          </w:p>
        </w:tc>
      </w:tr>
      <w:tr w14:paraId="70998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21864409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  <w:r>
              <w:rPr>
                <w:rFonts w:hint="eastAsia" w:ascii="仿宋_GB2312" w:hAnsi="宋体" w:eastAsia="仿宋_GB2312" w:cs="宋体"/>
              </w:rPr>
              <w:t>、业务工作经费</w:t>
            </w:r>
          </w:p>
        </w:tc>
        <w:tc>
          <w:tcPr>
            <w:tcW w:w="2116" w:type="dxa"/>
            <w:gridSpan w:val="2"/>
          </w:tcPr>
          <w:p w14:paraId="17377FF5">
            <w:pPr>
              <w:pStyle w:val="14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EDFD7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B0A18E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755.1</w:t>
            </w:r>
          </w:p>
        </w:tc>
      </w:tr>
      <w:tr w14:paraId="09B81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2585A09A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  <w:r>
              <w:rPr>
                <w:rFonts w:hint="eastAsia" w:ascii="仿宋_GB2312" w:hAnsi="宋体" w:eastAsia="仿宋_GB2312" w:cs="宋体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612D25E7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984.68</w:t>
            </w:r>
          </w:p>
        </w:tc>
        <w:tc>
          <w:tcPr>
            <w:tcW w:w="2039" w:type="dxa"/>
            <w:gridSpan w:val="2"/>
            <w:vAlign w:val="center"/>
          </w:tcPr>
          <w:p w14:paraId="0F5F0D9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89306B7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232.43</w:t>
            </w:r>
          </w:p>
        </w:tc>
      </w:tr>
      <w:tr w14:paraId="4BB17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1D5044DB">
            <w:pPr>
              <w:ind w:firstLine="420"/>
              <w:jc w:val="both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、县级专项资金</w:t>
            </w:r>
          </w:p>
          <w:p w14:paraId="56696595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4466E96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9F9F9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9CA721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14:paraId="2891A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7F501DCE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2758BA28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583.23</w:t>
            </w:r>
          </w:p>
        </w:tc>
        <w:tc>
          <w:tcPr>
            <w:tcW w:w="2039" w:type="dxa"/>
            <w:gridSpan w:val="2"/>
            <w:vAlign w:val="center"/>
          </w:tcPr>
          <w:p w14:paraId="014E828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234.89</w:t>
            </w:r>
          </w:p>
        </w:tc>
        <w:tc>
          <w:tcPr>
            <w:tcW w:w="1983" w:type="dxa"/>
            <w:gridSpan w:val="2"/>
            <w:vAlign w:val="center"/>
          </w:tcPr>
          <w:p w14:paraId="27FFB14D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497.31</w:t>
            </w:r>
          </w:p>
        </w:tc>
      </w:tr>
      <w:tr w14:paraId="56BB5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FEF2DF7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368E40C2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14.40</w:t>
            </w:r>
          </w:p>
        </w:tc>
        <w:tc>
          <w:tcPr>
            <w:tcW w:w="2039" w:type="dxa"/>
            <w:gridSpan w:val="2"/>
            <w:vAlign w:val="center"/>
          </w:tcPr>
          <w:p w14:paraId="4483130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24.8</w:t>
            </w:r>
          </w:p>
        </w:tc>
        <w:tc>
          <w:tcPr>
            <w:tcW w:w="1983" w:type="dxa"/>
            <w:gridSpan w:val="2"/>
            <w:vAlign w:val="center"/>
          </w:tcPr>
          <w:p w14:paraId="625C993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25.22</w:t>
            </w:r>
          </w:p>
        </w:tc>
      </w:tr>
      <w:tr w14:paraId="10A9E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248E842B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3D604C9C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33.60</w:t>
            </w:r>
          </w:p>
        </w:tc>
        <w:tc>
          <w:tcPr>
            <w:tcW w:w="2039" w:type="dxa"/>
            <w:gridSpan w:val="2"/>
            <w:vAlign w:val="center"/>
          </w:tcPr>
          <w:p w14:paraId="4D9682B8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37.2</w:t>
            </w:r>
          </w:p>
        </w:tc>
        <w:tc>
          <w:tcPr>
            <w:tcW w:w="1983" w:type="dxa"/>
            <w:gridSpan w:val="2"/>
            <w:vAlign w:val="center"/>
          </w:tcPr>
          <w:p w14:paraId="1340D603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37.7</w:t>
            </w:r>
          </w:p>
        </w:tc>
      </w:tr>
      <w:tr w14:paraId="1C947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770C3A8A">
            <w:pPr>
              <w:ind w:firstLine="1050" w:firstLineChars="5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41A91241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12.00</w:t>
            </w:r>
          </w:p>
        </w:tc>
        <w:tc>
          <w:tcPr>
            <w:tcW w:w="2039" w:type="dxa"/>
            <w:gridSpan w:val="2"/>
            <w:vAlign w:val="center"/>
          </w:tcPr>
          <w:p w14:paraId="752BB938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12.4</w:t>
            </w:r>
          </w:p>
        </w:tc>
        <w:tc>
          <w:tcPr>
            <w:tcW w:w="1983" w:type="dxa"/>
            <w:gridSpan w:val="2"/>
            <w:vAlign w:val="center"/>
          </w:tcPr>
          <w:p w14:paraId="305F6C6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12</w:t>
            </w:r>
          </w:p>
        </w:tc>
      </w:tr>
      <w:tr w14:paraId="08CD9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52F468D4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5FF15219"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1325</w:t>
            </w:r>
          </w:p>
        </w:tc>
        <w:tc>
          <w:tcPr>
            <w:tcW w:w="2039" w:type="dxa"/>
            <w:gridSpan w:val="2"/>
            <w:vAlign w:val="center"/>
          </w:tcPr>
          <w:p w14:paraId="4EF0B139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1488</w:t>
            </w:r>
          </w:p>
        </w:tc>
        <w:tc>
          <w:tcPr>
            <w:tcW w:w="1983" w:type="dxa"/>
            <w:gridSpan w:val="2"/>
            <w:vAlign w:val="center"/>
          </w:tcPr>
          <w:p w14:paraId="4E4C95A4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1365</w:t>
            </w:r>
          </w:p>
        </w:tc>
      </w:tr>
      <w:tr w14:paraId="638D3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6095894E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127D425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C900382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E07CCE8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14:paraId="6DFA8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2191FA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14:paraId="77A63ED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楼堂馆所控制情况</w:t>
            </w:r>
          </w:p>
          <w:p w14:paraId="40A121C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(2023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4BBF681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批复规模</w:t>
            </w:r>
            <w:r>
              <w:rPr>
                <w:rFonts w:hint="eastAsia" w:ascii="仿宋_GB2312" w:eastAsia="仿宋_GB2312"/>
              </w:rPr>
              <w:t xml:space="preserve"> (m</w:t>
            </w:r>
            <w:r>
              <w:rPr>
                <w:rFonts w:hint="eastAsia" w:eastAsia="仿宋_GB2312"/>
              </w:rPr>
              <w:t>²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958" w:type="dxa"/>
            <w:vAlign w:val="center"/>
          </w:tcPr>
          <w:p w14:paraId="1299535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实际规模</w:t>
            </w:r>
            <w:r>
              <w:rPr>
                <w:rFonts w:hint="eastAsia" w:ascii="仿宋_GB2312" w:eastAsia="仿宋_GB2312"/>
              </w:rPr>
              <w:t>(m</w:t>
            </w:r>
            <w:r>
              <w:rPr>
                <w:rFonts w:hint="eastAsia" w:eastAsia="仿宋_GB2312"/>
              </w:rPr>
              <w:t>²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960" w:type="dxa"/>
            <w:vAlign w:val="center"/>
          </w:tcPr>
          <w:p w14:paraId="6984C2A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44525DB3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预算投资</w:t>
            </w:r>
          </w:p>
          <w:p w14:paraId="1527FEF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39" w:type="dxa"/>
            <w:vAlign w:val="center"/>
          </w:tcPr>
          <w:p w14:paraId="3F2EB33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实际投资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944" w:type="dxa"/>
            <w:vAlign w:val="center"/>
          </w:tcPr>
          <w:p w14:paraId="75362E6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</w:rPr>
              <w:t>资概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</w:rPr>
              <w:t>制率</w:t>
            </w:r>
          </w:p>
        </w:tc>
      </w:tr>
      <w:tr w14:paraId="2851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5BCE93DE">
            <w:pPr>
              <w:ind w:firstLine="420"/>
              <w:jc w:val="center"/>
            </w:pPr>
          </w:p>
        </w:tc>
        <w:tc>
          <w:tcPr>
            <w:tcW w:w="1158" w:type="dxa"/>
            <w:vAlign w:val="center"/>
          </w:tcPr>
          <w:p w14:paraId="1141BCA9">
            <w:pPr>
              <w:ind w:firstLine="420"/>
              <w:jc w:val="center"/>
            </w:pPr>
          </w:p>
        </w:tc>
        <w:tc>
          <w:tcPr>
            <w:tcW w:w="958" w:type="dxa"/>
            <w:vAlign w:val="center"/>
          </w:tcPr>
          <w:p w14:paraId="3185BBAD">
            <w:pPr>
              <w:ind w:firstLine="420"/>
              <w:jc w:val="center"/>
            </w:pPr>
          </w:p>
        </w:tc>
        <w:tc>
          <w:tcPr>
            <w:tcW w:w="960" w:type="dxa"/>
            <w:vAlign w:val="center"/>
          </w:tcPr>
          <w:p w14:paraId="6E66E85D">
            <w:pPr>
              <w:ind w:firstLine="420"/>
              <w:jc w:val="center"/>
            </w:pPr>
          </w:p>
        </w:tc>
        <w:tc>
          <w:tcPr>
            <w:tcW w:w="1079" w:type="dxa"/>
            <w:vAlign w:val="center"/>
          </w:tcPr>
          <w:p w14:paraId="4FD4695F">
            <w:pPr>
              <w:ind w:firstLine="420"/>
              <w:jc w:val="center"/>
            </w:pPr>
          </w:p>
        </w:tc>
        <w:tc>
          <w:tcPr>
            <w:tcW w:w="1039" w:type="dxa"/>
            <w:vAlign w:val="center"/>
          </w:tcPr>
          <w:p w14:paraId="3DF89B05">
            <w:pPr>
              <w:ind w:firstLine="420"/>
              <w:jc w:val="center"/>
            </w:pPr>
          </w:p>
        </w:tc>
        <w:tc>
          <w:tcPr>
            <w:tcW w:w="944" w:type="dxa"/>
            <w:vAlign w:val="center"/>
          </w:tcPr>
          <w:p w14:paraId="416F819C">
            <w:pPr>
              <w:ind w:firstLine="420"/>
              <w:jc w:val="center"/>
            </w:pPr>
          </w:p>
        </w:tc>
      </w:tr>
      <w:tr w14:paraId="06664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70D7E658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ascii="仿宋_GB2312" w:hAnsi="宋体" w:eastAsia="仿宋_GB2312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9FC933E">
            <w:pPr>
              <w:ind w:firstLine="4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严控三公经费，压缩非必要开支。</w:t>
            </w:r>
          </w:p>
        </w:tc>
      </w:tr>
    </w:tbl>
    <w:p w14:paraId="6EEAB446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填报基本支出中的一般商品和服务支出。</w:t>
      </w:r>
    </w:p>
    <w:p w14:paraId="40739AEB">
      <w:pPr>
        <w:spacing w:before="65" w:line="228" w:lineRule="auto"/>
        <w:ind w:firstLine="102" w:firstLineChars="49"/>
        <w:rPr>
          <w:rFonts w:ascii="仿宋_GB2312" w:hAnsi="宋体" w:eastAsia="仿宋_GB2312" w:cs="宋体"/>
          <w:lang w:eastAsia="zh-CN"/>
        </w:rPr>
      </w:pPr>
      <w:r>
        <w:rPr>
          <w:rFonts w:ascii="仿宋_GB2312" w:hAnsi="宋体" w:eastAsia="仿宋_GB2312" w:cs="宋体"/>
          <w:lang w:eastAsia="zh-CN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lang w:eastAsia="zh-CN"/>
        </w:rPr>
        <w:t xml:space="preserve">  </w:t>
      </w:r>
      <w:r>
        <w:rPr>
          <w:rFonts w:ascii="仿宋_GB2312" w:hAnsi="宋体" w:eastAsia="仿宋_GB2312" w:cs="宋体"/>
          <w:lang w:eastAsia="zh-CN"/>
        </w:rPr>
        <w:t>联系电话：            单位负责人签字：</w:t>
      </w:r>
    </w:p>
    <w:p w14:paraId="293A0585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0C75DC9C">
      <w:pPr>
        <w:spacing w:before="117" w:line="219" w:lineRule="auto"/>
        <w:ind w:firstLine="616"/>
        <w:rPr>
          <w:rFonts w:ascii="仿宋_GB2312" w:hAnsi="宋体" w:eastAsia="仿宋_GB2312" w:cs="宋体"/>
          <w:bCs/>
          <w:spacing w:val="8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sz w:val="30"/>
          <w:szCs w:val="30"/>
          <w:lang w:eastAsia="zh-CN"/>
        </w:rPr>
        <w:t>附件2</w:t>
      </w:r>
    </w:p>
    <w:p w14:paraId="76F6320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年度部门整体支出绩效自评表</w:t>
      </w:r>
    </w:p>
    <w:p w14:paraId="3197F16F">
      <w:pPr>
        <w:spacing w:line="237" w:lineRule="exact"/>
        <w:ind w:firstLine="420"/>
        <w:rPr>
          <w:lang w:eastAsia="zh-CN"/>
        </w:rPr>
      </w:pPr>
    </w:p>
    <w:tbl>
      <w:tblPr>
        <w:tblStyle w:val="13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508"/>
        <w:gridCol w:w="1133"/>
        <w:gridCol w:w="454"/>
        <w:gridCol w:w="1248"/>
        <w:gridCol w:w="2129"/>
        <w:gridCol w:w="853"/>
        <w:gridCol w:w="293"/>
        <w:gridCol w:w="415"/>
        <w:gridCol w:w="453"/>
        <w:gridCol w:w="540"/>
        <w:gridCol w:w="882"/>
      </w:tblGrid>
      <w:tr w14:paraId="13C91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1" w:type="dxa"/>
            <w:vAlign w:val="center"/>
          </w:tcPr>
          <w:p w14:paraId="4BDC51DC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预算部门</w:t>
            </w:r>
          </w:p>
          <w:p w14:paraId="379DF4B4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名称</w:t>
            </w:r>
          </w:p>
        </w:tc>
        <w:tc>
          <w:tcPr>
            <w:tcW w:w="8908" w:type="dxa"/>
            <w:gridSpan w:val="11"/>
            <w:vAlign w:val="center"/>
          </w:tcPr>
          <w:p w14:paraId="13C5E4A8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汨罗市归义街道办事处</w:t>
            </w:r>
          </w:p>
        </w:tc>
      </w:tr>
      <w:tr w14:paraId="32A43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1" w:type="dxa"/>
            <w:vMerge w:val="restart"/>
            <w:tcBorders>
              <w:bottom w:val="nil"/>
            </w:tcBorders>
            <w:vAlign w:val="center"/>
          </w:tcPr>
          <w:p w14:paraId="2E6EFE03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14:paraId="4A50D4AA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年度预算申请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095" w:type="dxa"/>
            <w:gridSpan w:val="3"/>
            <w:vAlign w:val="center"/>
          </w:tcPr>
          <w:p w14:paraId="1CF93F7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8" w:type="dxa"/>
            <w:vAlign w:val="center"/>
          </w:tcPr>
          <w:p w14:paraId="5FDEE5DC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年初</w:t>
            </w:r>
          </w:p>
          <w:p w14:paraId="61FD136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预算数</w:t>
            </w:r>
          </w:p>
        </w:tc>
        <w:tc>
          <w:tcPr>
            <w:tcW w:w="2129" w:type="dxa"/>
            <w:vAlign w:val="center"/>
          </w:tcPr>
          <w:p w14:paraId="53529BC4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全年</w:t>
            </w:r>
          </w:p>
          <w:p w14:paraId="5D69AF2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预算数</w:t>
            </w:r>
          </w:p>
        </w:tc>
        <w:tc>
          <w:tcPr>
            <w:tcW w:w="853" w:type="dxa"/>
            <w:vAlign w:val="center"/>
          </w:tcPr>
          <w:p w14:paraId="2E5A00EB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全年</w:t>
            </w:r>
          </w:p>
          <w:p w14:paraId="53D4668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执行数</w:t>
            </w:r>
          </w:p>
        </w:tc>
        <w:tc>
          <w:tcPr>
            <w:tcW w:w="293" w:type="dxa"/>
            <w:vAlign w:val="center"/>
          </w:tcPr>
          <w:p w14:paraId="53D8552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68" w:type="dxa"/>
            <w:gridSpan w:val="2"/>
            <w:vAlign w:val="center"/>
          </w:tcPr>
          <w:p w14:paraId="150E1E1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执行率</w:t>
            </w:r>
          </w:p>
        </w:tc>
        <w:tc>
          <w:tcPr>
            <w:tcW w:w="1422" w:type="dxa"/>
            <w:gridSpan w:val="2"/>
            <w:vAlign w:val="center"/>
          </w:tcPr>
          <w:p w14:paraId="6ECF38F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</w:tr>
      <w:tr w14:paraId="190A1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vAlign w:val="center"/>
          </w:tcPr>
          <w:p w14:paraId="648EC01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7879A019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年度资金总额</w:t>
            </w:r>
          </w:p>
        </w:tc>
        <w:tc>
          <w:tcPr>
            <w:tcW w:w="1248" w:type="dxa"/>
            <w:vAlign w:val="center"/>
          </w:tcPr>
          <w:p w14:paraId="5F95D2E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1299.93</w:t>
            </w:r>
          </w:p>
        </w:tc>
        <w:tc>
          <w:tcPr>
            <w:tcW w:w="2129" w:type="dxa"/>
            <w:vAlign w:val="center"/>
          </w:tcPr>
          <w:p w14:paraId="025A7A7D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2752.06</w:t>
            </w:r>
          </w:p>
        </w:tc>
        <w:tc>
          <w:tcPr>
            <w:tcW w:w="853" w:type="dxa"/>
            <w:vAlign w:val="center"/>
          </w:tcPr>
          <w:p w14:paraId="5EE69013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2752.06</w:t>
            </w:r>
          </w:p>
        </w:tc>
        <w:tc>
          <w:tcPr>
            <w:tcW w:w="293" w:type="dxa"/>
            <w:vAlign w:val="center"/>
          </w:tcPr>
          <w:p w14:paraId="12C9A6C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868" w:type="dxa"/>
            <w:gridSpan w:val="2"/>
            <w:vAlign w:val="center"/>
          </w:tcPr>
          <w:p w14:paraId="7D2656E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100%</w:t>
            </w:r>
          </w:p>
        </w:tc>
        <w:tc>
          <w:tcPr>
            <w:tcW w:w="1422" w:type="dxa"/>
            <w:gridSpan w:val="2"/>
            <w:vAlign w:val="center"/>
          </w:tcPr>
          <w:p w14:paraId="48CB0A02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</w:tr>
      <w:tr w14:paraId="4FC85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vAlign w:val="center"/>
          </w:tcPr>
          <w:p w14:paraId="552D58A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472" w:type="dxa"/>
            <w:gridSpan w:val="5"/>
            <w:vAlign w:val="center"/>
          </w:tcPr>
          <w:p w14:paraId="72F2C3DA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按收入性质分：</w:t>
            </w:r>
          </w:p>
        </w:tc>
        <w:tc>
          <w:tcPr>
            <w:tcW w:w="3436" w:type="dxa"/>
            <w:gridSpan w:val="6"/>
            <w:vAlign w:val="center"/>
          </w:tcPr>
          <w:p w14:paraId="27ED0B17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按支出性质分：</w:t>
            </w:r>
          </w:p>
        </w:tc>
      </w:tr>
      <w:tr w14:paraId="05FB5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vAlign w:val="center"/>
          </w:tcPr>
          <w:p w14:paraId="5820B2D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472" w:type="dxa"/>
            <w:gridSpan w:val="5"/>
            <w:vAlign w:val="center"/>
          </w:tcPr>
          <w:p w14:paraId="4E7C5673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其中：一般公共预算：2732.06</w:t>
            </w:r>
          </w:p>
        </w:tc>
        <w:tc>
          <w:tcPr>
            <w:tcW w:w="3436" w:type="dxa"/>
            <w:gridSpan w:val="6"/>
            <w:vAlign w:val="center"/>
          </w:tcPr>
          <w:p w14:paraId="48F4D453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1615.9</w:t>
            </w:r>
          </w:p>
        </w:tc>
      </w:tr>
      <w:tr w14:paraId="2FF53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vAlign w:val="center"/>
          </w:tcPr>
          <w:p w14:paraId="54601C6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472" w:type="dxa"/>
            <w:gridSpan w:val="5"/>
            <w:vAlign w:val="center"/>
          </w:tcPr>
          <w:p w14:paraId="52055C55">
            <w:pPr>
              <w:ind w:firstLine="1050" w:firstLineChars="5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20</w:t>
            </w:r>
          </w:p>
        </w:tc>
        <w:tc>
          <w:tcPr>
            <w:tcW w:w="3436" w:type="dxa"/>
            <w:gridSpan w:val="6"/>
            <w:vAlign w:val="center"/>
          </w:tcPr>
          <w:p w14:paraId="3326CCBD">
            <w:pPr>
              <w:ind w:firstLine="1050" w:firstLineChars="5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项目支出：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1136.16</w:t>
            </w:r>
          </w:p>
        </w:tc>
      </w:tr>
      <w:tr w14:paraId="4608A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vAlign w:val="center"/>
          </w:tcPr>
          <w:p w14:paraId="27F4A69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472" w:type="dxa"/>
            <w:gridSpan w:val="5"/>
            <w:vAlign w:val="center"/>
          </w:tcPr>
          <w:p w14:paraId="623FE17B">
            <w:pPr>
              <w:ind w:firstLine="1050" w:firstLineChars="5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纳入专户管理的非税收入拨款：0</w:t>
            </w:r>
          </w:p>
        </w:tc>
        <w:tc>
          <w:tcPr>
            <w:tcW w:w="3436" w:type="dxa"/>
            <w:gridSpan w:val="6"/>
            <w:vAlign w:val="center"/>
          </w:tcPr>
          <w:p w14:paraId="3B799CC6">
            <w:pPr>
              <w:ind w:firstLine="420"/>
              <w:rPr>
                <w:rFonts w:ascii="仿宋_GB2312" w:eastAsia="仿宋_GB2312"/>
                <w:lang w:eastAsia="zh-CN"/>
              </w:rPr>
            </w:pPr>
          </w:p>
        </w:tc>
      </w:tr>
      <w:tr w14:paraId="1C5CF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1" w:type="dxa"/>
            <w:vMerge w:val="continue"/>
            <w:tcBorders>
              <w:top w:val="nil"/>
            </w:tcBorders>
            <w:vAlign w:val="center"/>
          </w:tcPr>
          <w:p w14:paraId="0644A74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5472" w:type="dxa"/>
            <w:gridSpan w:val="5"/>
            <w:vAlign w:val="center"/>
          </w:tcPr>
          <w:p w14:paraId="63C013CD">
            <w:pPr>
              <w:ind w:firstLine="1050" w:firstLineChars="5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其他资金：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0</w:t>
            </w:r>
          </w:p>
        </w:tc>
        <w:tc>
          <w:tcPr>
            <w:tcW w:w="3436" w:type="dxa"/>
            <w:gridSpan w:val="6"/>
            <w:vAlign w:val="center"/>
          </w:tcPr>
          <w:p w14:paraId="6A4149C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7A8E7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1" w:type="dxa"/>
            <w:vMerge w:val="restart"/>
            <w:tcBorders>
              <w:bottom w:val="nil"/>
            </w:tcBorders>
            <w:vAlign w:val="center"/>
          </w:tcPr>
          <w:p w14:paraId="2F083526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年度总体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</w:rPr>
              <w:t>目标</w:t>
            </w:r>
          </w:p>
        </w:tc>
        <w:tc>
          <w:tcPr>
            <w:tcW w:w="5472" w:type="dxa"/>
            <w:gridSpan w:val="5"/>
            <w:vAlign w:val="center"/>
          </w:tcPr>
          <w:p w14:paraId="132C34B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预期目标</w:t>
            </w:r>
          </w:p>
        </w:tc>
        <w:tc>
          <w:tcPr>
            <w:tcW w:w="3436" w:type="dxa"/>
            <w:gridSpan w:val="6"/>
            <w:vAlign w:val="center"/>
          </w:tcPr>
          <w:p w14:paraId="2BFDC383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实际完成情况</w:t>
            </w:r>
          </w:p>
        </w:tc>
      </w:tr>
      <w:tr w14:paraId="22B94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1" w:type="dxa"/>
            <w:vMerge w:val="continue"/>
            <w:tcBorders>
              <w:top w:val="nil"/>
            </w:tcBorders>
            <w:vAlign w:val="center"/>
          </w:tcPr>
          <w:p w14:paraId="0B24176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472" w:type="dxa"/>
            <w:gridSpan w:val="5"/>
            <w:vAlign w:val="center"/>
          </w:tcPr>
          <w:p w14:paraId="61292913">
            <w:pPr>
              <w:pStyle w:val="14"/>
              <w:ind w:firstLine="4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目标1：保障全单位干职工工资及运转经费</w:t>
            </w:r>
          </w:p>
          <w:p w14:paraId="0F4B1FBC">
            <w:pPr>
              <w:pStyle w:val="14"/>
              <w:ind w:firstLine="4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目标2：村（社区）运转经费保障</w:t>
            </w:r>
          </w:p>
          <w:p w14:paraId="5CF088EA">
            <w:pPr>
              <w:pStyle w:val="14"/>
              <w:ind w:firstLine="400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目标3：保障社会民生</w:t>
            </w:r>
          </w:p>
          <w:p w14:paraId="4991030E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目标4：保障其他基本公共服务</w:t>
            </w:r>
          </w:p>
        </w:tc>
        <w:tc>
          <w:tcPr>
            <w:tcW w:w="3436" w:type="dxa"/>
            <w:gridSpan w:val="6"/>
            <w:vAlign w:val="center"/>
          </w:tcPr>
          <w:p w14:paraId="3FBCE23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宋体"/>
                <w:sz w:val="20"/>
                <w:szCs w:val="20"/>
                <w:lang w:eastAsia="zh-CN"/>
              </w:rPr>
              <w:t>1、保障单位</w:t>
            </w:r>
            <w:r>
              <w:rPr>
                <w:rFonts w:hint="eastAsia" w:ascii="FangSong_GB2312" w:eastAsia="宋体"/>
                <w:sz w:val="20"/>
                <w:szCs w:val="20"/>
                <w:lang w:eastAsia="zh-CN"/>
              </w:rPr>
              <w:t>103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名干职工的办公正常运转，2、保障村（社区）干部140人、20个社区基层组织活动和公共服务运行工作经费。 3、保障全镇农村五保、农村低保</w:t>
            </w:r>
            <w:r>
              <w:rPr>
                <w:rFonts w:hint="eastAsia" w:ascii="FangSong_GB2312" w:eastAsia="宋体"/>
                <w:sz w:val="20"/>
                <w:szCs w:val="20"/>
                <w:lang w:eastAsia="zh-CN"/>
              </w:rPr>
              <w:t>950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人。4、开展安全隐患排查、环境卫生整治，安排文体活动，及时排查及化解矛盾纠纷5、按照相关规规定及时安排经费支出6、严格按20</w:t>
            </w:r>
            <w:r>
              <w:rPr>
                <w:rFonts w:hint="eastAsia" w:ascii="FangSong_GB2312" w:eastAsia="宋体"/>
                <w:sz w:val="20"/>
                <w:szCs w:val="20"/>
                <w:lang w:eastAsia="zh-CN"/>
              </w:rPr>
              <w:t>24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年预算执行，202</w:t>
            </w:r>
            <w:r>
              <w:rPr>
                <w:rFonts w:hint="eastAsia" w:ascii="FangSong_GB2312" w:eastAsia="宋体"/>
                <w:sz w:val="20"/>
                <w:szCs w:val="20"/>
                <w:lang w:eastAsia="zh-CN"/>
              </w:rPr>
              <w:t>4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年全年支出</w:t>
            </w:r>
            <w:r>
              <w:rPr>
                <w:rFonts w:hint="eastAsia" w:ascii="FangSong_GB2312" w:eastAsia="宋体"/>
                <w:sz w:val="20"/>
                <w:szCs w:val="20"/>
                <w:lang w:eastAsia="zh-CN"/>
              </w:rPr>
              <w:t>2732.06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万元，其中基本支出</w:t>
            </w:r>
            <w:r>
              <w:rPr>
                <w:rFonts w:hint="eastAsia" w:ascii="FangSong_GB2312" w:eastAsia="宋体"/>
                <w:sz w:val="20"/>
                <w:szCs w:val="20"/>
                <w:lang w:eastAsia="zh-CN"/>
              </w:rPr>
              <w:t>1615.9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万元，项目支出</w:t>
            </w:r>
            <w:r>
              <w:rPr>
                <w:rFonts w:hint="eastAsia" w:ascii="FangSong_GB2312" w:eastAsia="宋体"/>
                <w:sz w:val="20"/>
                <w:szCs w:val="20"/>
                <w:lang w:eastAsia="zh-CN"/>
              </w:rPr>
              <w:t>1136.16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万元</w:t>
            </w:r>
          </w:p>
        </w:tc>
      </w:tr>
      <w:tr w14:paraId="2AB3F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1" w:type="dxa"/>
            <w:vMerge w:val="restart"/>
            <w:textDirection w:val="tbRlV"/>
            <w:vAlign w:val="center"/>
          </w:tcPr>
          <w:p w14:paraId="5CD8853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14:paraId="2755CDA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绩效指标</w:t>
            </w:r>
          </w:p>
          <w:p w14:paraId="18FDA610">
            <w:pPr>
              <w:ind w:firstLine="420"/>
              <w:jc w:val="center"/>
              <w:rPr>
                <w:rFonts w:ascii="仿宋_GB2312" w:eastAsia="仿宋_GB2312"/>
              </w:rPr>
            </w:pPr>
          </w:p>
          <w:p w14:paraId="380D55B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08" w:type="dxa"/>
            <w:vAlign w:val="center"/>
          </w:tcPr>
          <w:p w14:paraId="53DCBD3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一级指标</w:t>
            </w:r>
          </w:p>
        </w:tc>
        <w:tc>
          <w:tcPr>
            <w:tcW w:w="1133" w:type="dxa"/>
            <w:vAlign w:val="center"/>
          </w:tcPr>
          <w:p w14:paraId="34AB82A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1702" w:type="dxa"/>
            <w:gridSpan w:val="2"/>
            <w:vAlign w:val="center"/>
          </w:tcPr>
          <w:p w14:paraId="18124A5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三级指标</w:t>
            </w:r>
          </w:p>
        </w:tc>
        <w:tc>
          <w:tcPr>
            <w:tcW w:w="2129" w:type="dxa"/>
            <w:vAlign w:val="center"/>
          </w:tcPr>
          <w:p w14:paraId="156FF13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年度指标值</w:t>
            </w:r>
          </w:p>
        </w:tc>
        <w:tc>
          <w:tcPr>
            <w:tcW w:w="853" w:type="dxa"/>
            <w:vAlign w:val="center"/>
          </w:tcPr>
          <w:p w14:paraId="3B842B3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实际完成值</w:t>
            </w:r>
          </w:p>
        </w:tc>
        <w:tc>
          <w:tcPr>
            <w:tcW w:w="708" w:type="dxa"/>
            <w:gridSpan w:val="2"/>
            <w:vAlign w:val="center"/>
          </w:tcPr>
          <w:p w14:paraId="0853CAD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993" w:type="dxa"/>
            <w:gridSpan w:val="2"/>
            <w:vAlign w:val="center"/>
          </w:tcPr>
          <w:p w14:paraId="4C44BA4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  <w:tc>
          <w:tcPr>
            <w:tcW w:w="882" w:type="dxa"/>
            <w:vAlign w:val="center"/>
          </w:tcPr>
          <w:p w14:paraId="17811575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偏差原因</w:t>
            </w:r>
          </w:p>
          <w:p w14:paraId="77BB8515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分析及</w:t>
            </w:r>
          </w:p>
          <w:p w14:paraId="1C8278AD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改进措施</w:t>
            </w:r>
          </w:p>
        </w:tc>
      </w:tr>
      <w:tr w14:paraId="441BB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327A4F6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508" w:type="dxa"/>
            <w:vMerge w:val="restart"/>
            <w:tcBorders>
              <w:bottom w:val="nil"/>
            </w:tcBorders>
            <w:vAlign w:val="center"/>
          </w:tcPr>
          <w:p w14:paraId="1C91006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产出指标</w:t>
            </w:r>
          </w:p>
          <w:p w14:paraId="5049859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eastAsia="仿宋_GB2312"/>
                <w:lang w:eastAsia="zh-CN"/>
              </w:rPr>
              <w:t>3</w:t>
            </w:r>
            <w:r>
              <w:rPr>
                <w:rFonts w:hint="eastAsia" w:ascii="仿宋_GB2312" w:eastAsia="仿宋_GB2312"/>
              </w:rPr>
              <w:t>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14:paraId="3FD4199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数量指标</w:t>
            </w:r>
          </w:p>
        </w:tc>
        <w:tc>
          <w:tcPr>
            <w:tcW w:w="1702" w:type="dxa"/>
            <w:gridSpan w:val="2"/>
            <w:vAlign w:val="center"/>
          </w:tcPr>
          <w:p w14:paraId="453A193F">
            <w:pPr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指标1.保障全单位干职工工资及运转经费</w:t>
            </w:r>
          </w:p>
          <w:p w14:paraId="447A1E8A">
            <w:pPr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指标2.保障村（社区）运转经费</w:t>
            </w:r>
          </w:p>
          <w:p w14:paraId="45B6FF9F">
            <w:pPr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指标3.保障社会民生指标4.保障其他基本公共服务</w:t>
            </w:r>
          </w:p>
        </w:tc>
        <w:tc>
          <w:tcPr>
            <w:tcW w:w="2129" w:type="dxa"/>
            <w:vAlign w:val="center"/>
          </w:tcPr>
          <w:p w14:paraId="590E365D">
            <w:pPr>
              <w:ind w:firstLine="402"/>
              <w:jc w:val="both"/>
              <w:rPr>
                <w:rFonts w:ascii="FangSong_GB2312" w:eastAsia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eastAsia="FangSong_GB2312"/>
                <w:sz w:val="20"/>
                <w:szCs w:val="20"/>
                <w:lang w:eastAsia="zh-CN"/>
              </w:rPr>
              <w:t>保障单位</w:t>
            </w:r>
            <w:r>
              <w:rPr>
                <w:rFonts w:hint="eastAsia" w:ascii="FangSong_GB2312" w:eastAsia="宋体"/>
                <w:sz w:val="20"/>
                <w:szCs w:val="20"/>
                <w:lang w:eastAsia="zh-CN"/>
              </w:rPr>
              <w:t>103</w:t>
            </w:r>
            <w:r>
              <w:rPr>
                <w:rFonts w:hint="eastAsia" w:ascii="FangSong_GB2312" w:eastAsia="FangSong_GB2312"/>
                <w:sz w:val="20"/>
                <w:szCs w:val="20"/>
                <w:lang w:eastAsia="zh-CN"/>
              </w:rPr>
              <w:t>名干职工的办公正常运转，村（社区）干部</w:t>
            </w:r>
            <w:r>
              <w:rPr>
                <w:rFonts w:hint="eastAsia" w:ascii="FangSong_GB2312" w:eastAsia="宋体"/>
                <w:sz w:val="20"/>
                <w:szCs w:val="20"/>
                <w:lang w:eastAsia="zh-CN"/>
              </w:rPr>
              <w:t>140</w:t>
            </w:r>
            <w:r>
              <w:rPr>
                <w:rFonts w:hint="eastAsia" w:ascii="FangSong_GB2312" w:eastAsia="FangSong_GB2312"/>
                <w:sz w:val="20"/>
                <w:szCs w:val="20"/>
                <w:lang w:eastAsia="zh-CN"/>
              </w:rPr>
              <w:t>人、</w:t>
            </w:r>
            <w:r>
              <w:rPr>
                <w:rFonts w:hint="eastAsia" w:ascii="FangSong_GB2312" w:eastAsia="宋体"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="FangSong_GB2312" w:eastAsia="FangSong_GB2312"/>
                <w:sz w:val="20"/>
                <w:szCs w:val="20"/>
                <w:lang w:eastAsia="zh-CN"/>
              </w:rPr>
              <w:t>个社区基层组织活动和公共服务运行工作经费。保障全</w:t>
            </w:r>
            <w:r>
              <w:rPr>
                <w:rFonts w:hint="eastAsia" w:ascii="FangSong_GB2312" w:eastAsiaTheme="minorEastAsia"/>
                <w:sz w:val="20"/>
                <w:szCs w:val="20"/>
                <w:lang w:eastAsia="zh-CN"/>
              </w:rPr>
              <w:t>街道</w:t>
            </w:r>
            <w:r>
              <w:rPr>
                <w:rFonts w:hint="eastAsia" w:ascii="FangSong_GB2312" w:eastAsia="FangSong_GB2312"/>
                <w:sz w:val="20"/>
                <w:szCs w:val="20"/>
                <w:lang w:eastAsia="zh-CN"/>
              </w:rPr>
              <w:t>农村五保</w:t>
            </w:r>
            <w:r>
              <w:rPr>
                <w:rFonts w:hint="eastAsia" w:ascii="FangSong_GB2312" w:eastAsia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FangSong_GB2312" w:eastAsia="FangSong_GB2312"/>
                <w:sz w:val="20"/>
                <w:szCs w:val="20"/>
                <w:lang w:eastAsia="zh-CN"/>
              </w:rPr>
              <w:t>农村低保</w:t>
            </w:r>
            <w:r>
              <w:rPr>
                <w:rFonts w:hint="eastAsia" w:ascii="FangSong_GB2312" w:eastAsia="宋体"/>
                <w:sz w:val="20"/>
                <w:szCs w:val="20"/>
                <w:lang w:eastAsia="zh-CN"/>
              </w:rPr>
              <w:t>950</w:t>
            </w:r>
            <w:r>
              <w:rPr>
                <w:rFonts w:hint="eastAsia" w:ascii="FangSong_GB2312" w:eastAsia="FangSong_GB2312"/>
                <w:sz w:val="20"/>
                <w:szCs w:val="20"/>
                <w:lang w:eastAsia="zh-CN"/>
              </w:rPr>
              <w:t>人。开展安全隐患排查、环境卫生整治，安排文体活动，及时排查及化解矛盾纠纷</w:t>
            </w:r>
          </w:p>
        </w:tc>
        <w:tc>
          <w:tcPr>
            <w:tcW w:w="853" w:type="dxa"/>
            <w:vAlign w:val="center"/>
          </w:tcPr>
          <w:p w14:paraId="77653B5A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100%保障了工资及运转、民生和基本公共服务</w:t>
            </w:r>
          </w:p>
        </w:tc>
        <w:tc>
          <w:tcPr>
            <w:tcW w:w="708" w:type="dxa"/>
            <w:gridSpan w:val="2"/>
            <w:vAlign w:val="center"/>
          </w:tcPr>
          <w:p w14:paraId="3DE9C320">
            <w:pPr>
              <w:ind w:firstLine="210" w:firstLineChars="100"/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14:paraId="36F72CBB">
            <w:pPr>
              <w:ind w:firstLine="643"/>
              <w:jc w:val="center"/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10</w:t>
            </w:r>
          </w:p>
        </w:tc>
        <w:tc>
          <w:tcPr>
            <w:tcW w:w="882" w:type="dxa"/>
            <w:vAlign w:val="center"/>
          </w:tcPr>
          <w:p w14:paraId="1A3A06E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051F3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39312FB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vAlign w:val="center"/>
          </w:tcPr>
          <w:p w14:paraId="4025C58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center"/>
          </w:tcPr>
          <w:p w14:paraId="56277B4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1340102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9" w:type="dxa"/>
            <w:vAlign w:val="center"/>
          </w:tcPr>
          <w:p w14:paraId="5DA36EB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14:paraId="49C5824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A1C914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58DC2A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82" w:type="dxa"/>
            <w:vAlign w:val="center"/>
          </w:tcPr>
          <w:p w14:paraId="2B4FF4E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42FD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1CEA0A6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vAlign w:val="center"/>
          </w:tcPr>
          <w:p w14:paraId="3822339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14:paraId="3DF0E3B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质量指标</w:t>
            </w:r>
          </w:p>
        </w:tc>
        <w:tc>
          <w:tcPr>
            <w:tcW w:w="1702" w:type="dxa"/>
            <w:gridSpan w:val="2"/>
            <w:vAlign w:val="center"/>
          </w:tcPr>
          <w:p w14:paraId="56D53BA8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按照«预算法»、«会计法»等财务法律法规规定控制支出；按照党风廉政建设规定规范支出。</w:t>
            </w:r>
          </w:p>
        </w:tc>
        <w:tc>
          <w:tcPr>
            <w:tcW w:w="2129" w:type="dxa"/>
            <w:vAlign w:val="center"/>
          </w:tcPr>
          <w:p w14:paraId="706A1EC0">
            <w:pPr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确保归义</w:t>
            </w:r>
            <w:bookmarkStart w:id="0" w:name="OLE_LINK10"/>
            <w:bookmarkStart w:id="1" w:name="OLE_LINK9"/>
            <w:r>
              <w:rPr>
                <w:rFonts w:hint="eastAsia" w:ascii="FangSong_GB2312" w:eastAsiaTheme="minorEastAsia"/>
                <w:lang w:eastAsia="zh-CN"/>
              </w:rPr>
              <w:t>街道办事处</w:t>
            </w:r>
            <w:bookmarkEnd w:id="0"/>
            <w:bookmarkEnd w:id="1"/>
            <w:r>
              <w:rPr>
                <w:rFonts w:hint="eastAsia" w:ascii="FangSong_GB2312" w:eastAsia="FangSong_GB2312"/>
                <w:lang w:eastAsia="zh-CN"/>
              </w:rPr>
              <w:t>各项基本支出、项目支出合规合法。</w:t>
            </w:r>
          </w:p>
        </w:tc>
        <w:tc>
          <w:tcPr>
            <w:tcW w:w="853" w:type="dxa"/>
            <w:vAlign w:val="center"/>
          </w:tcPr>
          <w:p w14:paraId="7335A540">
            <w:pPr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确保</w:t>
            </w:r>
            <w:r>
              <w:rPr>
                <w:rFonts w:hint="eastAsia" w:ascii="FangSong_GB2312" w:eastAsia="宋体"/>
                <w:lang w:eastAsia="zh-CN"/>
              </w:rPr>
              <w:t>归义</w:t>
            </w:r>
            <w:r>
              <w:rPr>
                <w:rFonts w:hint="eastAsia" w:ascii="仿宋_GB2312" w:eastAsiaTheme="minorEastAsia"/>
                <w:lang w:eastAsia="zh-CN"/>
              </w:rPr>
              <w:t>街道办事处</w:t>
            </w:r>
            <w:r>
              <w:rPr>
                <w:rFonts w:hint="eastAsia" w:ascii="FangSong_GB2312" w:eastAsia="FangSong_GB2312"/>
                <w:lang w:eastAsia="zh-CN"/>
              </w:rPr>
              <w:t>各项基本支出、项目支出合规合法。</w:t>
            </w:r>
          </w:p>
        </w:tc>
        <w:tc>
          <w:tcPr>
            <w:tcW w:w="708" w:type="dxa"/>
            <w:gridSpan w:val="2"/>
            <w:vAlign w:val="center"/>
          </w:tcPr>
          <w:p w14:paraId="0D6506A7">
            <w:pPr>
              <w:ind w:firstLine="210" w:firstLineChars="100"/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14:paraId="01AF4354">
            <w:pPr>
              <w:ind w:firstLine="643"/>
              <w:jc w:val="center"/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10</w:t>
            </w:r>
          </w:p>
        </w:tc>
        <w:tc>
          <w:tcPr>
            <w:tcW w:w="882" w:type="dxa"/>
            <w:vAlign w:val="center"/>
          </w:tcPr>
          <w:p w14:paraId="1AE1F8D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C383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44DA6A0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vAlign w:val="center"/>
          </w:tcPr>
          <w:p w14:paraId="12CB5F5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center"/>
          </w:tcPr>
          <w:p w14:paraId="6646F8E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F234C1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9" w:type="dxa"/>
            <w:vAlign w:val="center"/>
          </w:tcPr>
          <w:p w14:paraId="0E1D5E7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14:paraId="0994BD0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052A03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2852DC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82" w:type="dxa"/>
            <w:vAlign w:val="center"/>
          </w:tcPr>
          <w:p w14:paraId="4D6CA39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099C7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1E3D3C3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vAlign w:val="center"/>
          </w:tcPr>
          <w:p w14:paraId="2728E71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14:paraId="5614BAB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时效指标</w:t>
            </w:r>
          </w:p>
        </w:tc>
        <w:tc>
          <w:tcPr>
            <w:tcW w:w="1702" w:type="dxa"/>
            <w:gridSpan w:val="2"/>
            <w:vAlign w:val="center"/>
          </w:tcPr>
          <w:p w14:paraId="3860627B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按照相关规规定及时安排经费支出。</w:t>
            </w:r>
          </w:p>
        </w:tc>
        <w:tc>
          <w:tcPr>
            <w:tcW w:w="2129" w:type="dxa"/>
            <w:vAlign w:val="center"/>
          </w:tcPr>
          <w:p w14:paraId="4810C29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确保各项支出合规合法，及时到位，促进各项工作任务顺利完成。</w:t>
            </w:r>
          </w:p>
        </w:tc>
        <w:tc>
          <w:tcPr>
            <w:tcW w:w="853" w:type="dxa"/>
            <w:vAlign w:val="center"/>
          </w:tcPr>
          <w:p w14:paraId="0094B434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确保各项支出合规合法，及时到位，促进各项工作任务顺利完成。</w:t>
            </w:r>
          </w:p>
        </w:tc>
        <w:tc>
          <w:tcPr>
            <w:tcW w:w="708" w:type="dxa"/>
            <w:gridSpan w:val="2"/>
            <w:vAlign w:val="center"/>
          </w:tcPr>
          <w:p w14:paraId="69D2958A">
            <w:pPr>
              <w:ind w:firstLine="210" w:firstLineChars="100"/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14:paraId="37E04A63">
            <w:pPr>
              <w:ind w:firstLine="643"/>
              <w:jc w:val="center"/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10</w:t>
            </w:r>
          </w:p>
        </w:tc>
        <w:tc>
          <w:tcPr>
            <w:tcW w:w="882" w:type="dxa"/>
            <w:vAlign w:val="center"/>
          </w:tcPr>
          <w:p w14:paraId="3A20ECE6">
            <w:pPr>
              <w:ind w:firstLine="643"/>
              <w:jc w:val="center"/>
              <w:rPr>
                <w:rFonts w:ascii="FangSong_GB2312" w:eastAsia="FangSong_GB2312"/>
              </w:rPr>
            </w:pPr>
          </w:p>
        </w:tc>
      </w:tr>
      <w:tr w14:paraId="288F6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267CC24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vAlign w:val="center"/>
          </w:tcPr>
          <w:p w14:paraId="5BEAD41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center"/>
          </w:tcPr>
          <w:p w14:paraId="3F18A5F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3334EED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9" w:type="dxa"/>
            <w:vAlign w:val="center"/>
          </w:tcPr>
          <w:p w14:paraId="09C4B1F4">
            <w:pPr>
              <w:jc w:val="both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14:paraId="5C93A39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1829C5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B05751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82" w:type="dxa"/>
            <w:vAlign w:val="center"/>
          </w:tcPr>
          <w:p w14:paraId="332C00D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51FB9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3979ECF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08" w:type="dxa"/>
            <w:vMerge w:val="restart"/>
            <w:tcBorders>
              <w:bottom w:val="nil"/>
            </w:tcBorders>
            <w:vAlign w:val="center"/>
          </w:tcPr>
          <w:p w14:paraId="08C3699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效益指标</w:t>
            </w:r>
            <w:r>
              <w:rPr>
                <w:rFonts w:hint="eastAsia" w:ascii="仿宋_GB2312" w:eastAsia="仿宋_GB2312"/>
              </w:rPr>
              <w:t>(30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14:paraId="5D69007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经济效益指标</w:t>
            </w:r>
          </w:p>
        </w:tc>
        <w:tc>
          <w:tcPr>
            <w:tcW w:w="1702" w:type="dxa"/>
            <w:gridSpan w:val="2"/>
            <w:vAlign w:val="center"/>
          </w:tcPr>
          <w:p w14:paraId="18DE5245">
            <w:pPr>
              <w:jc w:val="both"/>
              <w:rPr>
                <w:rFonts w:ascii="FangSong_GB2312" w:eastAsia="FangSong_GB2312"/>
              </w:rPr>
            </w:pPr>
            <w:r>
              <w:rPr>
                <w:rFonts w:ascii="FangSong_GB2312" w:eastAsia="FangSong_GB2312"/>
              </w:rPr>
              <w:t>促进产业发展</w:t>
            </w:r>
          </w:p>
        </w:tc>
        <w:tc>
          <w:tcPr>
            <w:tcW w:w="2129" w:type="dxa"/>
            <w:vAlign w:val="center"/>
          </w:tcPr>
          <w:p w14:paraId="5045E4B3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通过基础设施等改善，促进城乡产业发展，群众可通过形成或加入合作社等形式受益，致富能力持续增强。</w:t>
            </w:r>
          </w:p>
        </w:tc>
        <w:tc>
          <w:tcPr>
            <w:tcW w:w="853" w:type="dxa"/>
            <w:vAlign w:val="center"/>
          </w:tcPr>
          <w:p w14:paraId="636FD2AA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完成通过基础设施等改善，促进城乡产业发展，群众可通过形成或加入合作社等形式受益，致富能力持续增强</w:t>
            </w:r>
          </w:p>
        </w:tc>
        <w:tc>
          <w:tcPr>
            <w:tcW w:w="708" w:type="dxa"/>
            <w:gridSpan w:val="2"/>
            <w:vAlign w:val="center"/>
          </w:tcPr>
          <w:p w14:paraId="14FD3EA6">
            <w:pPr>
              <w:ind w:firstLine="210" w:firstLineChars="100"/>
              <w:jc w:val="both"/>
              <w:rPr>
                <w:rFonts w:ascii="FangSong_GB2312" w:eastAsia="宋体"/>
                <w:lang w:eastAsia="zh-CN"/>
              </w:rPr>
            </w:pPr>
            <w:r>
              <w:rPr>
                <w:rFonts w:hint="eastAsia" w:ascii="FangSong_GB2312" w:eastAsia="宋体"/>
                <w:lang w:eastAsia="zh-CN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14:paraId="33F0F586">
            <w:pPr>
              <w:ind w:firstLine="643"/>
              <w:jc w:val="center"/>
              <w:rPr>
                <w:rFonts w:ascii="FangSong_GB2312" w:eastAsia="宋体"/>
                <w:lang w:eastAsia="zh-CN"/>
              </w:rPr>
            </w:pPr>
            <w:r>
              <w:rPr>
                <w:rFonts w:hint="eastAsia" w:ascii="FangSong_GB2312" w:eastAsia="宋体"/>
                <w:lang w:eastAsia="zh-CN"/>
              </w:rPr>
              <w:t>10</w:t>
            </w:r>
          </w:p>
        </w:tc>
        <w:tc>
          <w:tcPr>
            <w:tcW w:w="882" w:type="dxa"/>
            <w:vAlign w:val="center"/>
          </w:tcPr>
          <w:p w14:paraId="750FE362">
            <w:pPr>
              <w:ind w:firstLine="643"/>
              <w:jc w:val="center"/>
              <w:rPr>
                <w:rFonts w:ascii="FangSong_GB2312" w:eastAsia="FangSong_GB2312"/>
              </w:rPr>
            </w:pPr>
          </w:p>
        </w:tc>
      </w:tr>
      <w:tr w14:paraId="00AB2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73E6B3F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vAlign w:val="center"/>
          </w:tcPr>
          <w:p w14:paraId="168D1F5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center"/>
          </w:tcPr>
          <w:p w14:paraId="05B070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9F536E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9" w:type="dxa"/>
            <w:vAlign w:val="center"/>
          </w:tcPr>
          <w:p w14:paraId="77F20CB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14:paraId="2DC88DF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D5B239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3CB145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82" w:type="dxa"/>
            <w:vAlign w:val="center"/>
          </w:tcPr>
          <w:p w14:paraId="3D095F6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1842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4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0E4EB90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vAlign w:val="center"/>
          </w:tcPr>
          <w:p w14:paraId="28720CB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14:paraId="76F9C83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社会效益指标</w:t>
            </w:r>
          </w:p>
        </w:tc>
        <w:tc>
          <w:tcPr>
            <w:tcW w:w="1702" w:type="dxa"/>
            <w:gridSpan w:val="2"/>
            <w:vAlign w:val="center"/>
          </w:tcPr>
          <w:p w14:paraId="2FF4162B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基本民生保障，道路基础设施，安全保障和社会和谐</w:t>
            </w:r>
          </w:p>
        </w:tc>
        <w:tc>
          <w:tcPr>
            <w:tcW w:w="2129" w:type="dxa"/>
            <w:vAlign w:val="center"/>
          </w:tcPr>
          <w:p w14:paraId="3B53ED4A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确保社会特殊困难人群的基本生活保障，如五保、孤儿等。改善农村道路基础设施建设，保障村组公路运行。通过排查化解安全隐患、矛盾纠纷，确保社会安定和谐</w:t>
            </w:r>
          </w:p>
        </w:tc>
        <w:tc>
          <w:tcPr>
            <w:tcW w:w="853" w:type="dxa"/>
            <w:vAlign w:val="center"/>
          </w:tcPr>
          <w:p w14:paraId="3CE9CAD6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完成社会特殊困难人群的基本生活保障，如五保、孤儿等。改善农村道路基础设施建设，保障村组公路运行。通过排查化解安全隐患、矛盾纠纷，确保社会安定和谐</w:t>
            </w:r>
          </w:p>
        </w:tc>
        <w:tc>
          <w:tcPr>
            <w:tcW w:w="708" w:type="dxa"/>
            <w:gridSpan w:val="2"/>
            <w:vAlign w:val="center"/>
          </w:tcPr>
          <w:p w14:paraId="33249A32">
            <w:pPr>
              <w:ind w:firstLine="210" w:firstLineChars="100"/>
              <w:jc w:val="both"/>
              <w:rPr>
                <w:rFonts w:ascii="FangSong_GB2312" w:eastAsia="宋体"/>
                <w:lang w:eastAsia="zh-CN"/>
              </w:rPr>
            </w:pPr>
            <w:r>
              <w:rPr>
                <w:rFonts w:hint="eastAsia" w:ascii="FangSong_GB2312" w:eastAsia="宋体"/>
                <w:lang w:eastAsia="zh-CN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14:paraId="216DB618">
            <w:pPr>
              <w:ind w:firstLine="643"/>
              <w:jc w:val="center"/>
              <w:rPr>
                <w:rFonts w:ascii="FangSong_GB2312" w:eastAsia="宋体"/>
                <w:lang w:eastAsia="zh-CN"/>
              </w:rPr>
            </w:pPr>
            <w:r>
              <w:rPr>
                <w:rFonts w:hint="eastAsia" w:ascii="FangSong_GB2312" w:eastAsia="宋体"/>
                <w:lang w:eastAsia="zh-CN"/>
              </w:rPr>
              <w:t>10</w:t>
            </w:r>
          </w:p>
        </w:tc>
        <w:tc>
          <w:tcPr>
            <w:tcW w:w="882" w:type="dxa"/>
            <w:vAlign w:val="center"/>
          </w:tcPr>
          <w:p w14:paraId="19FDA89B">
            <w:pPr>
              <w:ind w:firstLine="643"/>
              <w:jc w:val="center"/>
              <w:rPr>
                <w:rFonts w:ascii="FangSong_GB2312" w:eastAsia="FangSong_GB2312"/>
              </w:rPr>
            </w:pPr>
          </w:p>
        </w:tc>
      </w:tr>
      <w:tr w14:paraId="70AB2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506758E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vAlign w:val="center"/>
          </w:tcPr>
          <w:p w14:paraId="4E11FC3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center"/>
          </w:tcPr>
          <w:p w14:paraId="59CFA3D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A6E44F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9" w:type="dxa"/>
            <w:vAlign w:val="center"/>
          </w:tcPr>
          <w:p w14:paraId="5DF2452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14:paraId="428C3DA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B8E368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B49888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82" w:type="dxa"/>
            <w:vAlign w:val="center"/>
          </w:tcPr>
          <w:p w14:paraId="13B8DDF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744BE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3CB431C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vAlign w:val="center"/>
          </w:tcPr>
          <w:p w14:paraId="70B5E97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14:paraId="4D81F61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生态效益指标</w:t>
            </w:r>
          </w:p>
        </w:tc>
        <w:tc>
          <w:tcPr>
            <w:tcW w:w="1702" w:type="dxa"/>
            <w:gridSpan w:val="2"/>
            <w:vAlign w:val="center"/>
          </w:tcPr>
          <w:p w14:paraId="6A0FAA30">
            <w:pPr>
              <w:jc w:val="both"/>
              <w:rPr>
                <w:rFonts w:ascii="FangSong_GB2312" w:eastAsia="FangSong_GB2312"/>
              </w:rPr>
            </w:pPr>
            <w:r>
              <w:rPr>
                <w:rFonts w:ascii="FangSong_GB2312" w:eastAsia="FangSong_GB2312"/>
              </w:rPr>
              <w:t>生态文明</w:t>
            </w:r>
          </w:p>
        </w:tc>
        <w:tc>
          <w:tcPr>
            <w:tcW w:w="2129" w:type="dxa"/>
            <w:vAlign w:val="center"/>
          </w:tcPr>
          <w:p w14:paraId="16E0D932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将卫生环境保护贯穿到辖区村（社区）、丰富文化生活，加强乡风文明建设着力建设生态环保、节能高效的社会环境</w:t>
            </w:r>
          </w:p>
        </w:tc>
        <w:tc>
          <w:tcPr>
            <w:tcW w:w="853" w:type="dxa"/>
            <w:vAlign w:val="center"/>
          </w:tcPr>
          <w:p w14:paraId="0DE31793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完成将卫生环境保护贯穿到辖区村（社区）、丰富文化生活，加强乡风文明建设着力建设生态环保、节能高效的社会环境</w:t>
            </w:r>
          </w:p>
        </w:tc>
        <w:tc>
          <w:tcPr>
            <w:tcW w:w="708" w:type="dxa"/>
            <w:gridSpan w:val="2"/>
            <w:vAlign w:val="center"/>
          </w:tcPr>
          <w:p w14:paraId="786FD143">
            <w:pPr>
              <w:ind w:firstLine="210" w:firstLineChars="100"/>
              <w:jc w:val="both"/>
              <w:rPr>
                <w:rFonts w:ascii="FangSong_GB2312" w:eastAsia="宋体"/>
                <w:lang w:eastAsia="zh-CN"/>
              </w:rPr>
            </w:pPr>
            <w:r>
              <w:rPr>
                <w:rFonts w:hint="eastAsia" w:ascii="FangSong_GB2312" w:eastAsia="宋体"/>
                <w:lang w:eastAsia="zh-CN"/>
              </w:rPr>
              <w:t>5</w:t>
            </w:r>
          </w:p>
        </w:tc>
        <w:tc>
          <w:tcPr>
            <w:tcW w:w="993" w:type="dxa"/>
            <w:gridSpan w:val="2"/>
            <w:vAlign w:val="center"/>
          </w:tcPr>
          <w:p w14:paraId="2C7A9A25">
            <w:pPr>
              <w:ind w:firstLine="210" w:firstLineChars="100"/>
              <w:jc w:val="both"/>
              <w:rPr>
                <w:rFonts w:ascii="FangSong_GB2312" w:eastAsia="宋体"/>
                <w:lang w:eastAsia="zh-CN"/>
              </w:rPr>
            </w:pPr>
            <w:r>
              <w:rPr>
                <w:rFonts w:hint="eastAsia" w:ascii="FangSong_GB2312" w:eastAsia="宋体"/>
                <w:lang w:eastAsia="zh-CN"/>
              </w:rPr>
              <w:t xml:space="preserve">5 </w:t>
            </w:r>
          </w:p>
        </w:tc>
        <w:tc>
          <w:tcPr>
            <w:tcW w:w="882" w:type="dxa"/>
            <w:vAlign w:val="center"/>
          </w:tcPr>
          <w:p w14:paraId="4FAB3D6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5B7B1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285AEB3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vAlign w:val="center"/>
          </w:tcPr>
          <w:p w14:paraId="4DED8A7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center"/>
          </w:tcPr>
          <w:p w14:paraId="0E4F379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153A92F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9" w:type="dxa"/>
            <w:vAlign w:val="center"/>
          </w:tcPr>
          <w:p w14:paraId="04F47A7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14:paraId="4E41959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E05F41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2ED848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82" w:type="dxa"/>
            <w:vAlign w:val="center"/>
          </w:tcPr>
          <w:p w14:paraId="0C3A580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3D8A3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08F4BED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vAlign w:val="center"/>
          </w:tcPr>
          <w:p w14:paraId="1D815AD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14:paraId="2FAF2E9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可持续影响指标</w:t>
            </w:r>
          </w:p>
        </w:tc>
        <w:tc>
          <w:tcPr>
            <w:tcW w:w="1702" w:type="dxa"/>
            <w:gridSpan w:val="2"/>
            <w:vAlign w:val="center"/>
          </w:tcPr>
          <w:p w14:paraId="6B288616">
            <w:pPr>
              <w:jc w:val="both"/>
              <w:rPr>
                <w:rFonts w:ascii="FangSong_GB2312" w:eastAsia="FangSong_GB2312"/>
              </w:rPr>
            </w:pPr>
            <w:r>
              <w:rPr>
                <w:rFonts w:ascii="FangSong_GB2312" w:eastAsia="FangSong_GB2312"/>
              </w:rPr>
              <w:t>项目进展顺利</w:t>
            </w:r>
          </w:p>
        </w:tc>
        <w:tc>
          <w:tcPr>
            <w:tcW w:w="2129" w:type="dxa"/>
            <w:vAlign w:val="center"/>
          </w:tcPr>
          <w:p w14:paraId="080E9651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体现政策导向，长期保障工作和项目平稳进行，经济持续增长</w:t>
            </w:r>
          </w:p>
        </w:tc>
        <w:tc>
          <w:tcPr>
            <w:tcW w:w="853" w:type="dxa"/>
            <w:vAlign w:val="center"/>
          </w:tcPr>
          <w:p w14:paraId="6FFE0D33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完成体现政策导向，长期保障工作和项目平稳进行，经济持续增长</w:t>
            </w:r>
          </w:p>
        </w:tc>
        <w:tc>
          <w:tcPr>
            <w:tcW w:w="708" w:type="dxa"/>
            <w:gridSpan w:val="2"/>
            <w:vAlign w:val="center"/>
          </w:tcPr>
          <w:p w14:paraId="51741F78">
            <w:pPr>
              <w:ind w:firstLine="210" w:firstLineChars="100"/>
              <w:jc w:val="both"/>
              <w:rPr>
                <w:rFonts w:ascii="FangSong_GB2312" w:eastAsia="宋体"/>
                <w:lang w:eastAsia="zh-CN"/>
              </w:rPr>
            </w:pPr>
            <w:r>
              <w:rPr>
                <w:rFonts w:hint="eastAsia" w:ascii="FangSong_GB2312" w:eastAsia="宋体"/>
                <w:lang w:eastAsia="zh-CN"/>
              </w:rPr>
              <w:t>5</w:t>
            </w:r>
          </w:p>
        </w:tc>
        <w:tc>
          <w:tcPr>
            <w:tcW w:w="993" w:type="dxa"/>
            <w:gridSpan w:val="2"/>
            <w:vAlign w:val="center"/>
          </w:tcPr>
          <w:p w14:paraId="0B5B1CAB">
            <w:pPr>
              <w:ind w:firstLine="420" w:firstLineChars="200"/>
              <w:jc w:val="both"/>
              <w:rPr>
                <w:rFonts w:ascii="FangSong_GB2312" w:eastAsia="宋体"/>
                <w:lang w:eastAsia="zh-CN"/>
              </w:rPr>
            </w:pPr>
            <w:r>
              <w:rPr>
                <w:rFonts w:hint="eastAsia" w:ascii="FangSong_GB2312" w:eastAsia="宋体"/>
                <w:lang w:eastAsia="zh-CN"/>
              </w:rPr>
              <w:t>5</w:t>
            </w:r>
          </w:p>
        </w:tc>
        <w:tc>
          <w:tcPr>
            <w:tcW w:w="882" w:type="dxa"/>
            <w:vAlign w:val="center"/>
          </w:tcPr>
          <w:p w14:paraId="23006AAB">
            <w:pPr>
              <w:ind w:firstLine="643"/>
              <w:jc w:val="center"/>
              <w:rPr>
                <w:rFonts w:ascii="FangSong_GB2312" w:eastAsia="FangSong_GB2312"/>
              </w:rPr>
            </w:pPr>
          </w:p>
        </w:tc>
      </w:tr>
      <w:tr w14:paraId="40206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687BE8D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  <w:vAlign w:val="center"/>
          </w:tcPr>
          <w:p w14:paraId="535B9A0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center"/>
          </w:tcPr>
          <w:p w14:paraId="4C1E7C4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428D6A0C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9" w:type="dxa"/>
            <w:vAlign w:val="center"/>
          </w:tcPr>
          <w:p w14:paraId="1271540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14:paraId="07901B8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22C1060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B8BF87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82" w:type="dxa"/>
            <w:vAlign w:val="center"/>
          </w:tcPr>
          <w:p w14:paraId="050D22A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6BEC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4DE738D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08" w:type="dxa"/>
            <w:vMerge w:val="restart"/>
            <w:tcBorders>
              <w:bottom w:val="nil"/>
            </w:tcBorders>
            <w:vAlign w:val="center"/>
          </w:tcPr>
          <w:p w14:paraId="236E652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满意度指标</w:t>
            </w:r>
          </w:p>
          <w:p w14:paraId="0161EAB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center"/>
          </w:tcPr>
          <w:p w14:paraId="1379890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服务对象满意度指标</w:t>
            </w:r>
          </w:p>
        </w:tc>
        <w:tc>
          <w:tcPr>
            <w:tcW w:w="1702" w:type="dxa"/>
            <w:gridSpan w:val="2"/>
            <w:vAlign w:val="center"/>
          </w:tcPr>
          <w:p w14:paraId="65D282AE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相关部门和单位及群众满意度</w:t>
            </w:r>
          </w:p>
        </w:tc>
        <w:tc>
          <w:tcPr>
            <w:tcW w:w="2129" w:type="dxa"/>
            <w:vAlign w:val="center"/>
          </w:tcPr>
          <w:p w14:paraId="6B073F15">
            <w:pPr>
              <w:ind w:firstLine="643"/>
              <w:jc w:val="center"/>
              <w:rPr>
                <w:rFonts w:ascii="FangSong_GB2312" w:eastAsia="FangSong_GB2312"/>
              </w:rPr>
            </w:pPr>
            <w:r>
              <w:rPr>
                <w:rFonts w:hint="eastAsia" w:ascii="FangSong_GB2312" w:eastAsia="FangSong_GB2312"/>
              </w:rPr>
              <w:t>≧95%</w:t>
            </w:r>
          </w:p>
        </w:tc>
        <w:tc>
          <w:tcPr>
            <w:tcW w:w="853" w:type="dxa"/>
            <w:vAlign w:val="center"/>
          </w:tcPr>
          <w:p w14:paraId="23ACD036">
            <w:pPr>
              <w:ind w:firstLine="643"/>
              <w:jc w:val="center"/>
              <w:rPr>
                <w:rFonts w:ascii="FangSong_GB2312" w:eastAsia="FangSong_GB2312"/>
              </w:rPr>
            </w:pPr>
            <w:r>
              <w:rPr>
                <w:rFonts w:hint="eastAsia" w:ascii="FangSong_GB2312" w:eastAsia="FangSong_GB2312"/>
              </w:rPr>
              <w:t>≧95%</w:t>
            </w:r>
          </w:p>
        </w:tc>
        <w:tc>
          <w:tcPr>
            <w:tcW w:w="708" w:type="dxa"/>
            <w:gridSpan w:val="2"/>
            <w:vAlign w:val="center"/>
          </w:tcPr>
          <w:p w14:paraId="33FCD8B0">
            <w:pPr>
              <w:ind w:firstLine="210" w:firstLineChars="100"/>
              <w:jc w:val="both"/>
              <w:rPr>
                <w:rFonts w:ascii="FangSong_GB2312" w:eastAsia="宋体"/>
                <w:lang w:eastAsia="zh-CN"/>
              </w:rPr>
            </w:pPr>
            <w:r>
              <w:rPr>
                <w:rFonts w:hint="eastAsia" w:ascii="FangSong_GB2312" w:eastAsia="宋体"/>
                <w:lang w:eastAsia="zh-CN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14:paraId="106D5D83">
            <w:pPr>
              <w:ind w:firstLine="643"/>
              <w:jc w:val="center"/>
              <w:rPr>
                <w:rFonts w:ascii="FangSong_GB2312" w:eastAsia="宋体"/>
                <w:lang w:eastAsia="zh-CN"/>
              </w:rPr>
            </w:pPr>
            <w:r>
              <w:rPr>
                <w:rFonts w:hint="eastAsia" w:ascii="FangSong_GB2312" w:eastAsia="宋体"/>
                <w:lang w:eastAsia="zh-CN"/>
              </w:rPr>
              <w:t>10</w:t>
            </w:r>
          </w:p>
        </w:tc>
        <w:tc>
          <w:tcPr>
            <w:tcW w:w="882" w:type="dxa"/>
            <w:vAlign w:val="center"/>
          </w:tcPr>
          <w:p w14:paraId="6CE642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BF31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41D1D21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08" w:type="dxa"/>
            <w:vMerge w:val="continue"/>
            <w:tcBorders>
              <w:top w:val="nil"/>
              <w:bottom w:val="nil"/>
            </w:tcBorders>
            <w:vAlign w:val="center"/>
          </w:tcPr>
          <w:p w14:paraId="61AD61D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center"/>
          </w:tcPr>
          <w:p w14:paraId="5DC59F4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6236EF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9" w:type="dxa"/>
            <w:vAlign w:val="center"/>
          </w:tcPr>
          <w:p w14:paraId="7EB138A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14:paraId="6A8F1B4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DE56A8B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12D079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82" w:type="dxa"/>
            <w:vAlign w:val="center"/>
          </w:tcPr>
          <w:p w14:paraId="54E4DBC8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165A2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6280931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  <w:vAlign w:val="center"/>
          </w:tcPr>
          <w:p w14:paraId="66741B7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center"/>
          </w:tcPr>
          <w:p w14:paraId="64D2AD3D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473B1C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29" w:type="dxa"/>
            <w:vAlign w:val="center"/>
          </w:tcPr>
          <w:p w14:paraId="4774C27F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3" w:type="dxa"/>
            <w:vAlign w:val="center"/>
          </w:tcPr>
          <w:p w14:paraId="73232EE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1EE5A23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1ED1DFE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82" w:type="dxa"/>
            <w:vAlign w:val="center"/>
          </w:tcPr>
          <w:p w14:paraId="4FF60F59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14:paraId="65B0F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3E33F0B5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08" w:type="dxa"/>
            <w:vMerge w:val="restart"/>
            <w:tcBorders>
              <w:top w:val="nil"/>
            </w:tcBorders>
            <w:vAlign w:val="center"/>
          </w:tcPr>
          <w:p w14:paraId="1D0B8908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成本指标</w:t>
            </w:r>
          </w:p>
          <w:p w14:paraId="1FE30C53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（20分）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0DF96B54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经济成本指标</w:t>
            </w:r>
          </w:p>
        </w:tc>
        <w:tc>
          <w:tcPr>
            <w:tcW w:w="1702" w:type="dxa"/>
            <w:gridSpan w:val="2"/>
            <w:vAlign w:val="center"/>
          </w:tcPr>
          <w:p w14:paraId="27F8E7FA">
            <w:pPr>
              <w:jc w:val="both"/>
              <w:rPr>
                <w:rFonts w:ascii="FangSong_GB2312" w:eastAsia="FangSong_GB2312"/>
              </w:rPr>
            </w:pPr>
            <w:r>
              <w:rPr>
                <w:rFonts w:hint="eastAsia" w:ascii="FangSong_GB2312" w:eastAsia="FangSong_GB2312"/>
              </w:rPr>
              <w:t>严格按20</w:t>
            </w:r>
            <w:r>
              <w:rPr>
                <w:rFonts w:hint="eastAsia" w:ascii="FangSong_GB2312" w:eastAsia="FangSong_GB2312"/>
                <w:lang w:eastAsia="zh-CN"/>
              </w:rPr>
              <w:t>2</w:t>
            </w:r>
            <w:r>
              <w:rPr>
                <w:rFonts w:hint="eastAsia" w:ascii="FangSong_GB2312" w:eastAsia="FangSong_GB2312"/>
                <w:lang w:val="en-US" w:eastAsia="zh-CN"/>
              </w:rPr>
              <w:t>4</w:t>
            </w:r>
            <w:r>
              <w:rPr>
                <w:rFonts w:hint="eastAsia" w:ascii="FangSong_GB2312" w:eastAsia="FangSong_GB2312"/>
              </w:rPr>
              <w:t>年预算执行</w:t>
            </w:r>
          </w:p>
        </w:tc>
        <w:tc>
          <w:tcPr>
            <w:tcW w:w="2129" w:type="dxa"/>
            <w:vAlign w:val="center"/>
          </w:tcPr>
          <w:p w14:paraId="3CD32559">
            <w:pPr>
              <w:rPr>
                <w:rFonts w:hint="eastAsia" w:ascii="CESI仿宋-GB2312" w:hAnsi="CESI仿宋-GB2312" w:eastAsia="CESI仿宋-GB2312" w:cs="CESI仿宋-GB231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年全年支出2743.27万元，其中基本支出1758.59万元，项目支出984.68万元</w:t>
            </w:r>
          </w:p>
        </w:tc>
        <w:tc>
          <w:tcPr>
            <w:tcW w:w="853" w:type="dxa"/>
            <w:vAlign w:val="center"/>
          </w:tcPr>
          <w:p w14:paraId="0545CE3B">
            <w:pPr>
              <w:rPr>
                <w:rFonts w:hint="eastAsia" w:ascii="CESI仿宋-GB2312" w:hAnsi="CESI仿宋-GB2312" w:eastAsia="CESI仿宋-GB2312" w:cs="CESI仿宋-GB231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完成了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严格按202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年预算执行，202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年全年支出2743.27万元，其中基本支出1758.59万元，项目支出984.68万元</w:t>
            </w:r>
          </w:p>
        </w:tc>
        <w:tc>
          <w:tcPr>
            <w:tcW w:w="708" w:type="dxa"/>
            <w:gridSpan w:val="2"/>
            <w:vAlign w:val="center"/>
          </w:tcPr>
          <w:p w14:paraId="3B69DE4A">
            <w:pPr>
              <w:ind w:firstLine="210" w:firstLineChars="100"/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14:paraId="7D202514">
            <w:pPr>
              <w:ind w:firstLine="643"/>
              <w:jc w:val="center"/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10</w:t>
            </w:r>
          </w:p>
        </w:tc>
        <w:tc>
          <w:tcPr>
            <w:tcW w:w="882" w:type="dxa"/>
            <w:vAlign w:val="center"/>
          </w:tcPr>
          <w:p w14:paraId="17A15151">
            <w:pPr>
              <w:ind w:firstLine="643"/>
              <w:jc w:val="center"/>
              <w:rPr>
                <w:rFonts w:ascii="FangSong_GB2312" w:eastAsia="FangSong_GB2312"/>
              </w:rPr>
            </w:pPr>
          </w:p>
        </w:tc>
      </w:tr>
      <w:tr w14:paraId="3AE6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589A8726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76767252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09E12AE3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社会成本指标</w:t>
            </w:r>
          </w:p>
        </w:tc>
        <w:tc>
          <w:tcPr>
            <w:tcW w:w="1702" w:type="dxa"/>
            <w:gridSpan w:val="2"/>
            <w:vAlign w:val="center"/>
          </w:tcPr>
          <w:p w14:paraId="411E5A2B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项目支出对社会造成影响程度</w:t>
            </w:r>
          </w:p>
        </w:tc>
        <w:tc>
          <w:tcPr>
            <w:tcW w:w="2129" w:type="dxa"/>
            <w:vAlign w:val="center"/>
          </w:tcPr>
          <w:p w14:paraId="0BC91B59">
            <w:pPr>
              <w:jc w:val="both"/>
              <w:rPr>
                <w:rFonts w:hint="eastAsia" w:ascii="CESI仿宋-GB2312" w:hAnsi="CESI仿宋-GB2312" w:eastAsia="CESI仿宋-GB2312" w:cs="CESI仿宋-GB231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群众福利和资源的合理分配</w:t>
            </w:r>
          </w:p>
        </w:tc>
        <w:tc>
          <w:tcPr>
            <w:tcW w:w="853" w:type="dxa"/>
            <w:vAlign w:val="center"/>
          </w:tcPr>
          <w:p w14:paraId="2A0826A1">
            <w:pPr>
              <w:jc w:val="both"/>
              <w:rPr>
                <w:rFonts w:hint="eastAsia" w:ascii="CESI仿宋-GB2312" w:hAnsi="CESI仿宋-GB2312" w:eastAsia="CESI仿宋-GB2312" w:cs="CESI仿宋-GB231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群众福利和资源的合理分配</w:t>
            </w:r>
          </w:p>
        </w:tc>
        <w:tc>
          <w:tcPr>
            <w:tcW w:w="708" w:type="dxa"/>
            <w:gridSpan w:val="2"/>
            <w:vAlign w:val="center"/>
          </w:tcPr>
          <w:p w14:paraId="15552240">
            <w:pPr>
              <w:ind w:firstLine="210" w:firstLineChars="100"/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5</w:t>
            </w:r>
          </w:p>
        </w:tc>
        <w:tc>
          <w:tcPr>
            <w:tcW w:w="993" w:type="dxa"/>
            <w:gridSpan w:val="2"/>
            <w:vAlign w:val="center"/>
          </w:tcPr>
          <w:p w14:paraId="1D41DA95">
            <w:pPr>
              <w:ind w:firstLine="643"/>
              <w:jc w:val="center"/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5</w:t>
            </w:r>
          </w:p>
        </w:tc>
        <w:tc>
          <w:tcPr>
            <w:tcW w:w="882" w:type="dxa"/>
            <w:vAlign w:val="center"/>
          </w:tcPr>
          <w:p w14:paraId="42AAF707">
            <w:pPr>
              <w:ind w:firstLine="643"/>
              <w:jc w:val="center"/>
              <w:rPr>
                <w:rFonts w:ascii="FangSong_GB2312" w:eastAsia="FangSong_GB2312"/>
              </w:rPr>
            </w:pPr>
          </w:p>
        </w:tc>
      </w:tr>
      <w:tr w14:paraId="050A5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" w:type="dxa"/>
            <w:vMerge w:val="continue"/>
            <w:textDirection w:val="tbRlV"/>
            <w:vAlign w:val="center"/>
          </w:tcPr>
          <w:p w14:paraId="7A814AF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1F1CC94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58FA4875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生态环境成本指标</w:t>
            </w:r>
          </w:p>
        </w:tc>
        <w:tc>
          <w:tcPr>
            <w:tcW w:w="1702" w:type="dxa"/>
            <w:gridSpan w:val="2"/>
            <w:vAlign w:val="center"/>
          </w:tcPr>
          <w:p w14:paraId="1B17C5E1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生态环境可持续发展</w:t>
            </w:r>
          </w:p>
        </w:tc>
        <w:tc>
          <w:tcPr>
            <w:tcW w:w="2129" w:type="dxa"/>
            <w:vAlign w:val="center"/>
          </w:tcPr>
          <w:p w14:paraId="467FD34A">
            <w:pPr>
              <w:jc w:val="both"/>
              <w:rPr>
                <w:rFonts w:hint="eastAsia" w:ascii="CESI仿宋-GB2312" w:hAnsi="CESI仿宋-GB2312" w:eastAsia="CESI仿宋-GB2312" w:cs="CESI仿宋-GB231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政策对生态环境的影响造成的财务损失或财务受益</w:t>
            </w:r>
          </w:p>
        </w:tc>
        <w:tc>
          <w:tcPr>
            <w:tcW w:w="853" w:type="dxa"/>
            <w:vAlign w:val="center"/>
          </w:tcPr>
          <w:p w14:paraId="513F044F">
            <w:pPr>
              <w:jc w:val="both"/>
              <w:rPr>
                <w:rFonts w:hint="eastAsia" w:ascii="CESI仿宋-GB2312" w:hAnsi="CESI仿宋-GB2312" w:eastAsia="CESI仿宋-GB2312" w:cs="CESI仿宋-GB231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无不良影响</w:t>
            </w:r>
          </w:p>
        </w:tc>
        <w:tc>
          <w:tcPr>
            <w:tcW w:w="708" w:type="dxa"/>
            <w:gridSpan w:val="2"/>
            <w:vAlign w:val="center"/>
          </w:tcPr>
          <w:p w14:paraId="1C72BCE4">
            <w:pPr>
              <w:ind w:firstLine="210" w:firstLineChars="100"/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5</w:t>
            </w:r>
          </w:p>
        </w:tc>
        <w:tc>
          <w:tcPr>
            <w:tcW w:w="993" w:type="dxa"/>
            <w:gridSpan w:val="2"/>
            <w:vAlign w:val="center"/>
          </w:tcPr>
          <w:p w14:paraId="6FA7BE5A">
            <w:pPr>
              <w:ind w:firstLine="643"/>
              <w:jc w:val="center"/>
              <w:rPr>
                <w:rFonts w:ascii="FangSong_GB2312" w:eastAsia="FangSong_GB2312"/>
                <w:lang w:eastAsia="zh-CN"/>
              </w:rPr>
            </w:pPr>
            <w:r>
              <w:rPr>
                <w:rFonts w:hint="eastAsia" w:ascii="FangSong_GB2312" w:eastAsia="FangSong_GB2312"/>
                <w:lang w:eastAsia="zh-CN"/>
              </w:rPr>
              <w:t>5</w:t>
            </w:r>
          </w:p>
        </w:tc>
        <w:tc>
          <w:tcPr>
            <w:tcW w:w="882" w:type="dxa"/>
            <w:vAlign w:val="center"/>
          </w:tcPr>
          <w:p w14:paraId="0A94EB84">
            <w:pPr>
              <w:ind w:firstLine="643"/>
              <w:jc w:val="center"/>
              <w:rPr>
                <w:rFonts w:ascii="FangSong_GB2312" w:eastAsia="FangSong_GB2312"/>
              </w:rPr>
            </w:pPr>
          </w:p>
        </w:tc>
      </w:tr>
      <w:tr w14:paraId="2973E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396" w:type="dxa"/>
            <w:gridSpan w:val="7"/>
            <w:vAlign w:val="center"/>
          </w:tcPr>
          <w:p w14:paraId="43098BE3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总分</w:t>
            </w:r>
          </w:p>
        </w:tc>
        <w:tc>
          <w:tcPr>
            <w:tcW w:w="708" w:type="dxa"/>
            <w:gridSpan w:val="2"/>
            <w:vAlign w:val="center"/>
          </w:tcPr>
          <w:p w14:paraId="7B1400B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100</w:t>
            </w:r>
          </w:p>
        </w:tc>
        <w:tc>
          <w:tcPr>
            <w:tcW w:w="993" w:type="dxa"/>
            <w:gridSpan w:val="2"/>
            <w:vAlign w:val="center"/>
          </w:tcPr>
          <w:p w14:paraId="2B12E47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82" w:type="dxa"/>
            <w:vAlign w:val="center"/>
          </w:tcPr>
          <w:p w14:paraId="7A16F80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14:paraId="311C2145">
      <w:pPr>
        <w:spacing w:before="293" w:line="236" w:lineRule="auto"/>
        <w:rPr>
          <w:rFonts w:ascii="仿宋_GB2312" w:hAnsi="宋体" w:eastAsia="仿宋_GB2312" w:cs="宋体"/>
          <w:sz w:val="35"/>
          <w:szCs w:val="35"/>
          <w:lang w:eastAsia="zh-CN"/>
        </w:rPr>
      </w:pPr>
      <w:r>
        <w:rPr>
          <w:rFonts w:ascii="仿宋_GB2312" w:hAnsi="宋体" w:eastAsia="仿宋_GB2312" w:cs="宋体"/>
          <w:lang w:eastAsia="zh-CN"/>
        </w:rPr>
        <w:t xml:space="preserve">填表人：       </w:t>
      </w:r>
      <w:r>
        <w:rPr>
          <w:rFonts w:hint="eastAsia" w:ascii="仿宋_GB2312" w:hAnsi="宋体" w:eastAsia="仿宋_GB2312" w:cs="宋体"/>
          <w:lang w:eastAsia="zh-CN"/>
        </w:rPr>
        <w:t xml:space="preserve">  </w:t>
      </w:r>
      <w:r>
        <w:rPr>
          <w:rFonts w:ascii="仿宋_GB2312" w:hAnsi="宋体" w:eastAsia="仿宋_GB2312" w:cs="宋体"/>
          <w:lang w:eastAsia="zh-CN"/>
        </w:rPr>
        <w:t xml:space="preserve"> 填报日期：            </w:t>
      </w:r>
      <w:r>
        <w:rPr>
          <w:rFonts w:hint="eastAsia" w:ascii="仿宋_GB2312" w:hAnsi="宋体" w:eastAsia="仿宋_GB2312" w:cs="宋体"/>
          <w:lang w:eastAsia="zh-CN"/>
        </w:rPr>
        <w:t xml:space="preserve">  </w:t>
      </w:r>
      <w:r>
        <w:rPr>
          <w:rFonts w:ascii="仿宋_GB2312" w:hAnsi="宋体" w:eastAsia="仿宋_GB2312" w:cs="宋体"/>
          <w:lang w:eastAsia="zh-CN"/>
        </w:rPr>
        <w:t xml:space="preserve">联系电话：   </w:t>
      </w:r>
      <w:r>
        <w:rPr>
          <w:rFonts w:hint="eastAsia" w:ascii="仿宋_GB2312" w:hAnsi="宋体" w:eastAsia="仿宋_GB2312" w:cs="宋体"/>
          <w:lang w:eastAsia="zh-CN"/>
        </w:rPr>
        <w:t xml:space="preserve">       </w:t>
      </w:r>
      <w:r>
        <w:rPr>
          <w:rFonts w:ascii="仿宋_GB2312" w:hAnsi="宋体" w:eastAsia="仿宋_GB2312" w:cs="宋体"/>
          <w:lang w:eastAsia="zh-CN"/>
        </w:rPr>
        <w:t xml:space="preserve"> 单位负责人签字：</w:t>
      </w:r>
      <w:r>
        <w:rPr>
          <w:rFonts w:ascii="仿宋_GB2312" w:hAnsi="宋体" w:eastAsia="仿宋_GB2312" w:cs="宋体"/>
          <w:sz w:val="35"/>
          <w:szCs w:val="35"/>
          <w:lang w:eastAsia="zh-CN"/>
        </w:rPr>
        <w:t xml:space="preserve"> </w:t>
      </w:r>
    </w:p>
    <w:p w14:paraId="27615F60">
      <w:pPr>
        <w:spacing w:before="293" w:line="236" w:lineRule="auto"/>
        <w:ind w:firstLine="552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1D33B0E3">
      <w:pPr>
        <w:spacing w:before="293" w:line="236" w:lineRule="auto"/>
        <w:ind w:firstLine="552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6CBA038E">
      <w:pPr>
        <w:spacing w:before="293" w:line="236" w:lineRule="auto"/>
        <w:ind w:firstLine="552"/>
        <w:rPr>
          <w:rFonts w:ascii="仿宋_GB2312" w:hAnsi="宋体" w:eastAsia="仿宋_GB2312" w:cs="宋体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  <w:t>附件3</w:t>
      </w:r>
    </w:p>
    <w:p w14:paraId="6FF48824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年度项目支出绩效自评表</w:t>
      </w:r>
    </w:p>
    <w:p w14:paraId="79CBEB3C">
      <w:pPr>
        <w:spacing w:line="95" w:lineRule="exact"/>
        <w:ind w:firstLine="420"/>
        <w:rPr>
          <w:lang w:eastAsia="zh-CN"/>
        </w:rPr>
      </w:pPr>
    </w:p>
    <w:tbl>
      <w:tblPr>
        <w:tblStyle w:val="13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1054"/>
        <w:gridCol w:w="604"/>
        <w:gridCol w:w="1383"/>
      </w:tblGrid>
      <w:tr w14:paraId="475D9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13803C9E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5AC4A5EB">
            <w:pPr>
              <w:ind w:firstLine="420"/>
              <w:jc w:val="center"/>
              <w:rPr>
                <w:rFonts w:ascii="仿宋_GB2312" w:hAnsi="宋体" w:cs="宋体" w:eastAsiaTheme="minorEastAsia"/>
                <w:lang w:eastAsia="zh-CN"/>
              </w:rPr>
            </w:pPr>
            <w:bookmarkStart w:id="2" w:name="OLE_LINK15"/>
            <w:bookmarkStart w:id="3" w:name="OLE_LINK16"/>
            <w:r>
              <w:rPr>
                <w:rFonts w:hint="eastAsia" w:ascii="FangSong_GB2312" w:hAnsi="宋体" w:cs="宋体" w:eastAsiaTheme="minorEastAsia"/>
                <w:lang w:eastAsia="zh-CN"/>
              </w:rPr>
              <w:t>文昌阁路</w:t>
            </w:r>
            <w:r>
              <w:rPr>
                <w:rFonts w:hint="eastAsia" w:ascii="FangSong_GB2312" w:hAnsi="宋体" w:eastAsia="FangSong_GB2312" w:cs="宋体"/>
                <w:lang w:eastAsia="zh-CN"/>
              </w:rPr>
              <w:t>人居环境</w:t>
            </w:r>
            <w:r>
              <w:rPr>
                <w:rFonts w:hint="eastAsia" w:ascii="FangSong_GB2312" w:hAnsi="宋体" w:cs="宋体" w:eastAsiaTheme="minorEastAsia"/>
                <w:lang w:eastAsia="zh-CN"/>
              </w:rPr>
              <w:t>提质改造</w:t>
            </w:r>
            <w:bookmarkEnd w:id="2"/>
            <w:bookmarkEnd w:id="3"/>
          </w:p>
        </w:tc>
      </w:tr>
      <w:tr w14:paraId="455DC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1CF8F4A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10E0B0E5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汨罗市农业农村局</w:t>
            </w:r>
          </w:p>
        </w:tc>
        <w:tc>
          <w:tcPr>
            <w:tcW w:w="1099" w:type="dxa"/>
            <w:vAlign w:val="center"/>
          </w:tcPr>
          <w:p w14:paraId="5038E6A7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实施</w:t>
            </w:r>
          </w:p>
          <w:p w14:paraId="0D3413B0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09478B90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bookmarkStart w:id="4" w:name="OLE_LINK19"/>
            <w:bookmarkStart w:id="5" w:name="OLE_LINK18"/>
            <w:r>
              <w:rPr>
                <w:rFonts w:hint="eastAsia" w:ascii="仿宋_GB2312" w:hAnsi="宋体" w:eastAsia="仿宋_GB2312" w:cs="宋体"/>
                <w:lang w:eastAsia="zh-CN"/>
              </w:rPr>
              <w:t>归义街道办事处</w:t>
            </w:r>
            <w:bookmarkEnd w:id="4"/>
            <w:bookmarkEnd w:id="5"/>
          </w:p>
        </w:tc>
      </w:tr>
      <w:tr w14:paraId="2E642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2F801B5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03CFB55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431A5D4B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年初</w:t>
            </w:r>
          </w:p>
          <w:p w14:paraId="6732AA22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1323E5D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全年</w:t>
            </w:r>
          </w:p>
          <w:p w14:paraId="5D1BE69D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02EDB3E3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全年</w:t>
            </w:r>
          </w:p>
          <w:p w14:paraId="47A0F108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执行数</w:t>
            </w:r>
          </w:p>
        </w:tc>
        <w:tc>
          <w:tcPr>
            <w:tcW w:w="1054" w:type="dxa"/>
            <w:vAlign w:val="center"/>
          </w:tcPr>
          <w:p w14:paraId="56B6A569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分值</w:t>
            </w:r>
          </w:p>
        </w:tc>
        <w:tc>
          <w:tcPr>
            <w:tcW w:w="604" w:type="dxa"/>
            <w:vAlign w:val="center"/>
          </w:tcPr>
          <w:p w14:paraId="5DF58D74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56947157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得分</w:t>
            </w:r>
          </w:p>
        </w:tc>
      </w:tr>
      <w:tr w14:paraId="77346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4EA1E94F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8A94B2A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73E6A60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5AE5DD71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20</w:t>
            </w:r>
          </w:p>
        </w:tc>
        <w:tc>
          <w:tcPr>
            <w:tcW w:w="1099" w:type="dxa"/>
            <w:vAlign w:val="center"/>
          </w:tcPr>
          <w:p w14:paraId="47128642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20</w:t>
            </w:r>
          </w:p>
        </w:tc>
        <w:tc>
          <w:tcPr>
            <w:tcW w:w="1054" w:type="dxa"/>
            <w:vAlign w:val="center"/>
          </w:tcPr>
          <w:p w14:paraId="77BA1FB8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604" w:type="dxa"/>
            <w:vAlign w:val="center"/>
          </w:tcPr>
          <w:p w14:paraId="2BAAB3D9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351193CF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</w:tr>
      <w:tr w14:paraId="0FAB6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6A3D02B7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613F63A9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241E6FB0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A677303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20</w:t>
            </w:r>
          </w:p>
        </w:tc>
        <w:tc>
          <w:tcPr>
            <w:tcW w:w="1099" w:type="dxa"/>
            <w:vAlign w:val="center"/>
          </w:tcPr>
          <w:p w14:paraId="32C31F7B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20</w:t>
            </w:r>
          </w:p>
        </w:tc>
        <w:tc>
          <w:tcPr>
            <w:tcW w:w="1054" w:type="dxa"/>
            <w:vAlign w:val="center"/>
          </w:tcPr>
          <w:p w14:paraId="76D8FE0E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604" w:type="dxa"/>
            <w:vAlign w:val="center"/>
          </w:tcPr>
          <w:p w14:paraId="33A0993D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2C0FBE6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48A72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B6D9DC6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EB1FE1A">
            <w:pPr>
              <w:ind w:firstLine="630" w:firstLineChars="3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7D75A76A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07F3172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2AEEE694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54" w:type="dxa"/>
            <w:vAlign w:val="center"/>
          </w:tcPr>
          <w:p w14:paraId="47314C63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604" w:type="dxa"/>
            <w:vAlign w:val="center"/>
          </w:tcPr>
          <w:p w14:paraId="5B576CDC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485D56CE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3B8D2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3D7DD271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4DC067B">
            <w:pPr>
              <w:ind w:firstLine="630" w:firstLineChars="30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2C2478F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2BAEFE2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647D8AA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4" w:type="dxa"/>
            <w:vAlign w:val="center"/>
          </w:tcPr>
          <w:p w14:paraId="3F4E460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604" w:type="dxa"/>
            <w:vAlign w:val="center"/>
          </w:tcPr>
          <w:p w14:paraId="7A98146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4050276B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0267E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6941F8FC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7A57A44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387C88B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实际完成情况</w:t>
            </w:r>
          </w:p>
        </w:tc>
      </w:tr>
      <w:tr w14:paraId="4F92F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3DA26E9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11977534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路面白改黑，管网改造，划分停车位，受益人口约</w:t>
            </w:r>
            <w:r>
              <w:rPr>
                <w:rFonts w:ascii="仿宋_GB2312" w:hAnsi="宋体" w:eastAsia="仿宋_GB2312" w:cs="宋体"/>
                <w:lang w:eastAsia="zh-CN"/>
              </w:rPr>
              <w:t>1200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人。</w:t>
            </w:r>
          </w:p>
        </w:tc>
        <w:tc>
          <w:tcPr>
            <w:tcW w:w="4140" w:type="dxa"/>
            <w:gridSpan w:val="4"/>
            <w:vAlign w:val="center"/>
          </w:tcPr>
          <w:p w14:paraId="613903D6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已完成路面白改黑，管网改造，划分停车位，受益人口约</w:t>
            </w:r>
            <w:r>
              <w:rPr>
                <w:rFonts w:ascii="仿宋_GB2312" w:hAnsi="宋体" w:eastAsia="仿宋_GB2312" w:cs="宋体"/>
                <w:lang w:eastAsia="zh-CN"/>
              </w:rPr>
              <w:t>1200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人。</w:t>
            </w:r>
          </w:p>
        </w:tc>
      </w:tr>
      <w:tr w14:paraId="27456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01A398FC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  <w:p w14:paraId="2F2F707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24699E3E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54D797AC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7D67E9FA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6122072B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13DCEFBA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实际完成值</w:t>
            </w:r>
          </w:p>
        </w:tc>
        <w:tc>
          <w:tcPr>
            <w:tcW w:w="1054" w:type="dxa"/>
            <w:vAlign w:val="center"/>
          </w:tcPr>
          <w:p w14:paraId="384A8FE6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604" w:type="dxa"/>
            <w:vAlign w:val="center"/>
          </w:tcPr>
          <w:p w14:paraId="6C259BB8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  <w:tc>
          <w:tcPr>
            <w:tcW w:w="1383" w:type="dxa"/>
            <w:vAlign w:val="center"/>
          </w:tcPr>
          <w:p w14:paraId="774AFF4F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偏差原因分析及改进措施</w:t>
            </w:r>
          </w:p>
        </w:tc>
      </w:tr>
      <w:tr w14:paraId="28E85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D90221F">
            <w:pPr>
              <w:ind w:firstLine="42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54876ADB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产出指标</w:t>
            </w:r>
          </w:p>
          <w:p w14:paraId="4BAC6AC5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(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3</w:t>
            </w:r>
            <w:r>
              <w:rPr>
                <w:rFonts w:ascii="仿宋_GB2312" w:hAnsi="宋体" w:eastAsia="仿宋_GB2312" w:cs="宋体"/>
              </w:rPr>
              <w:t>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80EDDC5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6B8E5835">
            <w:pPr>
              <w:jc w:val="both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文昌阁路人居环境提质改造</w:t>
            </w:r>
          </w:p>
        </w:tc>
        <w:tc>
          <w:tcPr>
            <w:tcW w:w="1099" w:type="dxa"/>
            <w:vAlign w:val="center"/>
          </w:tcPr>
          <w:p w14:paraId="1802D511">
            <w:pPr>
              <w:jc w:val="both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文昌阁路人居环境提质改造</w:t>
            </w:r>
          </w:p>
        </w:tc>
        <w:tc>
          <w:tcPr>
            <w:tcW w:w="1099" w:type="dxa"/>
            <w:vAlign w:val="center"/>
          </w:tcPr>
          <w:p w14:paraId="4055FC7F">
            <w:pPr>
              <w:ind w:firstLine="643"/>
              <w:jc w:val="both"/>
              <w:rPr>
                <w:rFonts w:ascii="FangSong_GB2312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054" w:type="dxa"/>
            <w:vAlign w:val="center"/>
          </w:tcPr>
          <w:p w14:paraId="15C6097C">
            <w:pPr>
              <w:ind w:firstLine="643"/>
              <w:jc w:val="both"/>
              <w:rPr>
                <w:rFonts w:ascii="FangSong_GB2312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04" w:type="dxa"/>
            <w:vAlign w:val="center"/>
          </w:tcPr>
          <w:p w14:paraId="459CBD5D">
            <w:pPr>
              <w:ind w:firstLine="643"/>
              <w:jc w:val="both"/>
              <w:rPr>
                <w:rFonts w:ascii="FangSong_GB2312" w:hAnsi="宋体" w:eastAsia="FangSong_GB2312" w:cs="宋体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72B1C59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65B04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6E1A0E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079756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293A5F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3AADD3E2">
            <w:pPr>
              <w:ind w:firstLine="643"/>
              <w:jc w:val="both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66B749B5">
            <w:pPr>
              <w:ind w:firstLine="643"/>
              <w:jc w:val="both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71190EAF">
            <w:pPr>
              <w:ind w:firstLine="643"/>
              <w:jc w:val="both"/>
              <w:rPr>
                <w:rFonts w:ascii="FangSong_GB2312" w:hAnsi="宋体" w:eastAsia="FangSong_GB2312" w:cs="宋体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7D3CBA1E">
            <w:pPr>
              <w:ind w:firstLine="643"/>
              <w:jc w:val="both"/>
              <w:rPr>
                <w:rFonts w:ascii="FangSong_GB2312" w:hAnsi="宋体" w:eastAsia="FangSong_GB2312" w:cs="宋体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14:paraId="6DB1A7A6">
            <w:pPr>
              <w:ind w:firstLine="643"/>
              <w:jc w:val="both"/>
              <w:rPr>
                <w:rFonts w:ascii="FangSong_GB2312" w:hAnsi="宋体" w:eastAsia="FangSong_GB2312" w:cs="宋体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8584D9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29D48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89FD2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A14C4B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78B22EA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52219B35">
            <w:pPr>
              <w:jc w:val="both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22E7BE1C">
            <w:pPr>
              <w:jc w:val="both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5C651EAF">
            <w:pPr>
              <w:ind w:firstLine="643"/>
              <w:jc w:val="both"/>
              <w:rPr>
                <w:rFonts w:ascii="FangSong_GB2312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054" w:type="dxa"/>
            <w:vAlign w:val="center"/>
          </w:tcPr>
          <w:p w14:paraId="11F6126F">
            <w:pPr>
              <w:ind w:firstLine="643"/>
              <w:jc w:val="both"/>
              <w:rPr>
                <w:rFonts w:ascii="FangSong_GB2312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04" w:type="dxa"/>
            <w:vAlign w:val="center"/>
          </w:tcPr>
          <w:p w14:paraId="6CDFD091">
            <w:pPr>
              <w:ind w:firstLine="643"/>
              <w:jc w:val="both"/>
              <w:rPr>
                <w:rFonts w:ascii="FangSong_GB2312" w:hAnsi="宋体" w:eastAsia="FangSong_GB2312" w:cs="宋体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7F798AD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75694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325A3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DC2A2B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EACFA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18DB0C2E">
            <w:pPr>
              <w:ind w:firstLine="643"/>
              <w:jc w:val="both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3F9A5994">
            <w:pPr>
              <w:ind w:firstLine="643"/>
              <w:jc w:val="both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3377FF02">
            <w:pPr>
              <w:ind w:firstLine="643"/>
              <w:jc w:val="both"/>
              <w:rPr>
                <w:rFonts w:ascii="FangSong_GB2312" w:hAnsi="宋体" w:eastAsia="FangSong_GB2312" w:cs="宋体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71B8DA63">
            <w:pPr>
              <w:ind w:firstLine="643"/>
              <w:jc w:val="both"/>
              <w:rPr>
                <w:rFonts w:ascii="FangSong_GB2312" w:hAnsi="宋体" w:eastAsia="FangSong_GB2312" w:cs="宋体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14:paraId="355019EA">
            <w:pPr>
              <w:ind w:firstLine="643"/>
              <w:jc w:val="both"/>
              <w:rPr>
                <w:rFonts w:ascii="FangSong_GB2312" w:hAnsi="宋体" w:eastAsia="FangSong_GB2312" w:cs="宋体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1187E4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3A5DC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0B59F7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FF04C9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CA1063E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276862B0">
            <w:pPr>
              <w:jc w:val="both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1E54CB04">
            <w:pPr>
              <w:jc w:val="both"/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54599761">
            <w:pPr>
              <w:ind w:firstLine="643"/>
              <w:jc w:val="both"/>
              <w:rPr>
                <w:rFonts w:ascii="FangSong_GB2312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054" w:type="dxa"/>
            <w:vAlign w:val="center"/>
          </w:tcPr>
          <w:p w14:paraId="3746E89D">
            <w:pPr>
              <w:ind w:firstLine="643"/>
              <w:jc w:val="both"/>
              <w:rPr>
                <w:rFonts w:ascii="FangSong_GB2312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04" w:type="dxa"/>
            <w:vAlign w:val="center"/>
          </w:tcPr>
          <w:p w14:paraId="6D873CBF">
            <w:pPr>
              <w:ind w:firstLine="643"/>
              <w:jc w:val="both"/>
              <w:rPr>
                <w:rFonts w:ascii="FangSong_GB2312" w:hAnsi="宋体" w:eastAsia="FangSong_GB2312" w:cs="宋体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65E086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72EA5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EA644F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702630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56089A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5E012AD3">
            <w:pPr>
              <w:ind w:firstLine="643"/>
              <w:jc w:val="both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62A55D10">
            <w:pPr>
              <w:ind w:firstLine="643"/>
              <w:jc w:val="both"/>
              <w:rPr>
                <w:rFonts w:hint="eastAsia" w:ascii="CESI仿宋-GB2312" w:hAnsi="CESI仿宋-GB2312" w:eastAsia="CESI仿宋-GB2312" w:cs="CESI仿宋-GB2312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360F677E">
            <w:pPr>
              <w:ind w:firstLine="643"/>
              <w:jc w:val="both"/>
              <w:rPr>
                <w:rFonts w:ascii="FangSong_GB2312" w:hAnsi="宋体" w:eastAsia="FangSong_GB2312" w:cs="宋体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0F5455BF">
            <w:pPr>
              <w:ind w:firstLine="643"/>
              <w:jc w:val="both"/>
              <w:rPr>
                <w:rFonts w:ascii="FangSong_GB2312" w:hAnsi="宋体" w:eastAsia="FangSong_GB2312" w:cs="宋体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14:paraId="600E2019">
            <w:pPr>
              <w:ind w:firstLine="643"/>
              <w:jc w:val="both"/>
              <w:rPr>
                <w:rFonts w:ascii="FangSong_GB2312" w:hAnsi="宋体" w:eastAsia="FangSong_GB2312" w:cs="宋体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948BB3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6E55B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439B2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5CFA3EB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效益指标</w:t>
            </w:r>
          </w:p>
          <w:p w14:paraId="00F2B104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(30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031D806B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0C18F6E5">
            <w:pPr>
              <w:rPr>
                <w:rFonts w:hint="eastAsia" w:ascii="CESI仿宋-GB2312" w:hAnsi="CESI仿宋-GB2312" w:eastAsia="CESI仿宋-GB2312" w:cs="CESI仿宋-GB231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缓解道路拥堵，改善居民方便出行，增加居民收入。</w:t>
            </w:r>
          </w:p>
          <w:p w14:paraId="6D5ADCB3">
            <w:pPr>
              <w:jc w:val="both"/>
              <w:rPr>
                <w:rFonts w:hint="eastAsia" w:ascii="CESI仿宋-GB2312" w:hAnsi="CESI仿宋-GB2312" w:eastAsia="CESI仿宋-GB2312" w:cs="CESI仿宋-GB2312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6188DC89">
            <w:pPr>
              <w:rPr>
                <w:rFonts w:hint="eastAsia" w:ascii="CESI仿宋-GB2312" w:hAnsi="CESI仿宋-GB2312" w:eastAsia="CESI仿宋-GB2312" w:cs="CESI仿宋-GB231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缓解道路拥堵，改善居民方便出行，增加居民收入。</w:t>
            </w:r>
          </w:p>
          <w:p w14:paraId="38BDCAC5">
            <w:pPr>
              <w:jc w:val="both"/>
              <w:rPr>
                <w:rFonts w:hint="eastAsia" w:ascii="CESI仿宋-GB2312" w:hAnsi="CESI仿宋-GB2312" w:eastAsia="CESI仿宋-GB2312" w:cs="CESI仿宋-GB2312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1737A2D8">
            <w:pPr>
              <w:ind w:firstLine="643"/>
              <w:jc w:val="both"/>
              <w:rPr>
                <w:rFonts w:ascii="FangSong_GB2312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054" w:type="dxa"/>
            <w:vAlign w:val="center"/>
          </w:tcPr>
          <w:p w14:paraId="4197BB0D">
            <w:pPr>
              <w:ind w:firstLine="643"/>
              <w:jc w:val="both"/>
              <w:rPr>
                <w:rFonts w:ascii="FangSong_GB2312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宋体" w:eastAsia="宋体" w:cs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04" w:type="dxa"/>
            <w:vAlign w:val="center"/>
          </w:tcPr>
          <w:p w14:paraId="00CF97FC">
            <w:pPr>
              <w:ind w:firstLine="643"/>
              <w:jc w:val="both"/>
              <w:rPr>
                <w:rFonts w:ascii="FangSong_GB2312" w:hAnsi="宋体" w:eastAsia="FangSong_GB2312" w:cs="宋体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7D31426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32DA7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0A0DF0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8A3A88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24BC81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1C29FDE6">
            <w:pPr>
              <w:ind w:firstLine="643"/>
              <w:jc w:val="both"/>
              <w:rPr>
                <w:rFonts w:hint="eastAsia" w:ascii="CESI仿宋-GB2312" w:hAnsi="CESI仿宋-GB2312" w:eastAsia="CESI仿宋-GB2312" w:cs="CESI仿宋-GB2312"/>
              </w:rPr>
            </w:pPr>
          </w:p>
        </w:tc>
        <w:tc>
          <w:tcPr>
            <w:tcW w:w="1099" w:type="dxa"/>
            <w:vAlign w:val="center"/>
          </w:tcPr>
          <w:p w14:paraId="4BB341DC">
            <w:pPr>
              <w:ind w:firstLine="643"/>
              <w:jc w:val="both"/>
              <w:rPr>
                <w:rFonts w:hint="eastAsia" w:ascii="CESI仿宋-GB2312" w:hAnsi="CESI仿宋-GB2312" w:eastAsia="CESI仿宋-GB2312" w:cs="CESI仿宋-GB2312"/>
              </w:rPr>
            </w:pPr>
          </w:p>
        </w:tc>
        <w:tc>
          <w:tcPr>
            <w:tcW w:w="1099" w:type="dxa"/>
            <w:vAlign w:val="center"/>
          </w:tcPr>
          <w:p w14:paraId="6A75B188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054" w:type="dxa"/>
            <w:vAlign w:val="center"/>
          </w:tcPr>
          <w:p w14:paraId="34C16B20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604" w:type="dxa"/>
            <w:vAlign w:val="center"/>
          </w:tcPr>
          <w:p w14:paraId="486003F9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383" w:type="dxa"/>
            <w:vAlign w:val="center"/>
          </w:tcPr>
          <w:p w14:paraId="29521FC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78158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A8D99D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385E14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0159CB4A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33512D14">
            <w:pPr>
              <w:jc w:val="both"/>
              <w:rPr>
                <w:rFonts w:hint="eastAsia" w:ascii="CESI仿宋-GB2312" w:hAnsi="CESI仿宋-GB2312" w:eastAsia="CESI仿宋-GB2312" w:cs="CESI仿宋-GB231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1200人</w:t>
            </w:r>
          </w:p>
        </w:tc>
        <w:tc>
          <w:tcPr>
            <w:tcW w:w="1099" w:type="dxa"/>
            <w:vAlign w:val="center"/>
          </w:tcPr>
          <w:p w14:paraId="5DBC20C2">
            <w:pPr>
              <w:jc w:val="both"/>
              <w:rPr>
                <w:rFonts w:hint="eastAsia" w:ascii="CESI仿宋-GB2312" w:hAnsi="CESI仿宋-GB2312" w:eastAsia="CESI仿宋-GB2312" w:cs="CESI仿宋-GB231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1200人</w:t>
            </w:r>
          </w:p>
        </w:tc>
        <w:tc>
          <w:tcPr>
            <w:tcW w:w="1099" w:type="dxa"/>
            <w:vAlign w:val="center"/>
          </w:tcPr>
          <w:p w14:paraId="1B0C989C">
            <w:pPr>
              <w:ind w:firstLine="643"/>
              <w:jc w:val="both"/>
              <w:rPr>
                <w:rFonts w:ascii="FangSong_GB2312" w:hAnsi="宋体" w:eastAsia="宋体" w:cs="宋体"/>
                <w:lang w:eastAsia="zh-CN"/>
              </w:rPr>
            </w:pPr>
            <w:r>
              <w:rPr>
                <w:rFonts w:hint="eastAsia" w:ascii="FangSong_GB2312" w:hAnsi="宋体" w:eastAsia="宋体" w:cs="宋体"/>
                <w:lang w:eastAsia="zh-CN"/>
              </w:rPr>
              <w:t>10</w:t>
            </w:r>
          </w:p>
        </w:tc>
        <w:tc>
          <w:tcPr>
            <w:tcW w:w="1054" w:type="dxa"/>
            <w:vAlign w:val="center"/>
          </w:tcPr>
          <w:p w14:paraId="2A2BFFBE">
            <w:pPr>
              <w:ind w:firstLine="643"/>
              <w:jc w:val="both"/>
              <w:rPr>
                <w:rFonts w:ascii="FangSong_GB2312" w:hAnsi="宋体" w:eastAsia="宋体" w:cs="宋体"/>
                <w:lang w:eastAsia="zh-CN"/>
              </w:rPr>
            </w:pPr>
            <w:r>
              <w:rPr>
                <w:rFonts w:hint="eastAsia" w:ascii="FangSong_GB2312" w:hAnsi="宋体" w:eastAsia="宋体" w:cs="宋体"/>
                <w:lang w:eastAsia="zh-CN"/>
              </w:rPr>
              <w:t>10</w:t>
            </w:r>
          </w:p>
        </w:tc>
        <w:tc>
          <w:tcPr>
            <w:tcW w:w="604" w:type="dxa"/>
            <w:vAlign w:val="center"/>
          </w:tcPr>
          <w:p w14:paraId="358418F7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383" w:type="dxa"/>
            <w:vAlign w:val="center"/>
          </w:tcPr>
          <w:p w14:paraId="4627FED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7B103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3F4983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701A5F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C28FBE6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32A28A92">
            <w:pPr>
              <w:ind w:firstLine="643"/>
              <w:jc w:val="both"/>
              <w:rPr>
                <w:rFonts w:hint="eastAsia" w:ascii="CESI仿宋-GB2312" w:hAnsi="CESI仿宋-GB2312" w:eastAsia="CESI仿宋-GB2312" w:cs="CESI仿宋-GB2312"/>
              </w:rPr>
            </w:pPr>
          </w:p>
        </w:tc>
        <w:tc>
          <w:tcPr>
            <w:tcW w:w="1099" w:type="dxa"/>
            <w:vAlign w:val="center"/>
          </w:tcPr>
          <w:p w14:paraId="062F0202">
            <w:pPr>
              <w:ind w:firstLine="643"/>
              <w:jc w:val="both"/>
              <w:rPr>
                <w:rFonts w:hint="eastAsia" w:ascii="CESI仿宋-GB2312" w:hAnsi="CESI仿宋-GB2312" w:eastAsia="CESI仿宋-GB2312" w:cs="CESI仿宋-GB2312"/>
              </w:rPr>
            </w:pPr>
          </w:p>
        </w:tc>
        <w:tc>
          <w:tcPr>
            <w:tcW w:w="1099" w:type="dxa"/>
            <w:vAlign w:val="center"/>
          </w:tcPr>
          <w:p w14:paraId="29EF7A69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054" w:type="dxa"/>
            <w:vAlign w:val="center"/>
          </w:tcPr>
          <w:p w14:paraId="3357F44F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604" w:type="dxa"/>
            <w:vAlign w:val="center"/>
          </w:tcPr>
          <w:p w14:paraId="4F6C66E8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383" w:type="dxa"/>
            <w:vAlign w:val="center"/>
          </w:tcPr>
          <w:p w14:paraId="0D2DBE1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460CB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62AF130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9538C7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E6732A0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1060CA">
            <w:pPr>
              <w:jc w:val="both"/>
              <w:rPr>
                <w:rFonts w:hint="eastAsia" w:ascii="CESI仿宋-GB2312" w:hAnsi="CESI仿宋-GB2312" w:eastAsia="CESI仿宋-GB2312" w:cs="CESI仿宋-GB231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4285DE91">
            <w:pPr>
              <w:jc w:val="both"/>
              <w:rPr>
                <w:rFonts w:hint="eastAsia" w:ascii="CESI仿宋-GB2312" w:hAnsi="CESI仿宋-GB2312" w:eastAsia="CESI仿宋-GB2312" w:cs="CESI仿宋-GB231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142D5850">
            <w:pPr>
              <w:ind w:firstLine="643"/>
              <w:jc w:val="both"/>
              <w:rPr>
                <w:rFonts w:ascii="FangSong_GB2312" w:hAnsi="宋体" w:eastAsia="宋体" w:cs="宋体"/>
                <w:lang w:eastAsia="zh-CN"/>
              </w:rPr>
            </w:pPr>
            <w:r>
              <w:rPr>
                <w:rFonts w:hint="eastAsia" w:ascii="FangSong_GB2312" w:hAnsi="宋体" w:eastAsia="宋体" w:cs="宋体"/>
                <w:lang w:eastAsia="zh-CN"/>
              </w:rPr>
              <w:t>5</w:t>
            </w:r>
          </w:p>
        </w:tc>
        <w:tc>
          <w:tcPr>
            <w:tcW w:w="1054" w:type="dxa"/>
            <w:vAlign w:val="center"/>
          </w:tcPr>
          <w:p w14:paraId="6F12E9E5">
            <w:pPr>
              <w:ind w:firstLine="643"/>
              <w:jc w:val="both"/>
              <w:rPr>
                <w:rFonts w:ascii="FangSong_GB2312" w:hAnsi="宋体" w:eastAsia="宋体" w:cs="宋体"/>
                <w:lang w:eastAsia="zh-CN"/>
              </w:rPr>
            </w:pPr>
            <w:r>
              <w:rPr>
                <w:rFonts w:hint="eastAsia" w:ascii="FangSong_GB2312" w:hAnsi="宋体" w:eastAsia="宋体" w:cs="宋体"/>
                <w:lang w:eastAsia="zh-CN"/>
              </w:rPr>
              <w:t>5</w:t>
            </w:r>
          </w:p>
        </w:tc>
        <w:tc>
          <w:tcPr>
            <w:tcW w:w="604" w:type="dxa"/>
            <w:vAlign w:val="center"/>
          </w:tcPr>
          <w:p w14:paraId="6FA45627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383" w:type="dxa"/>
            <w:vAlign w:val="center"/>
          </w:tcPr>
          <w:p w14:paraId="08EAF4E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37819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10E013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C108A8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EB3BDE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58780EF2">
            <w:pPr>
              <w:ind w:firstLine="643"/>
              <w:jc w:val="both"/>
              <w:rPr>
                <w:rFonts w:hint="eastAsia" w:ascii="CESI仿宋-GB2312" w:hAnsi="CESI仿宋-GB2312" w:eastAsia="CESI仿宋-GB2312" w:cs="CESI仿宋-GB2312"/>
              </w:rPr>
            </w:pPr>
          </w:p>
        </w:tc>
        <w:tc>
          <w:tcPr>
            <w:tcW w:w="1099" w:type="dxa"/>
            <w:vAlign w:val="center"/>
          </w:tcPr>
          <w:p w14:paraId="019497F9">
            <w:pPr>
              <w:ind w:firstLine="643"/>
              <w:jc w:val="both"/>
              <w:rPr>
                <w:rFonts w:hint="eastAsia" w:ascii="CESI仿宋-GB2312" w:hAnsi="CESI仿宋-GB2312" w:eastAsia="CESI仿宋-GB2312" w:cs="CESI仿宋-GB2312"/>
              </w:rPr>
            </w:pPr>
          </w:p>
        </w:tc>
        <w:tc>
          <w:tcPr>
            <w:tcW w:w="1099" w:type="dxa"/>
            <w:vAlign w:val="center"/>
          </w:tcPr>
          <w:p w14:paraId="2C2CBB16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054" w:type="dxa"/>
            <w:vAlign w:val="center"/>
          </w:tcPr>
          <w:p w14:paraId="0F2C4DAC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604" w:type="dxa"/>
            <w:vAlign w:val="center"/>
          </w:tcPr>
          <w:p w14:paraId="483CA2E5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383" w:type="dxa"/>
            <w:vAlign w:val="center"/>
          </w:tcPr>
          <w:p w14:paraId="26208B0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0C0FC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164EB3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435056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39DDEB7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DDD09C7">
            <w:pPr>
              <w:jc w:val="both"/>
              <w:rPr>
                <w:rFonts w:hint="eastAsia" w:ascii="CESI仿宋-GB2312" w:hAnsi="CESI仿宋-GB2312" w:eastAsia="CESI仿宋-GB2312" w:cs="CESI仿宋-GB231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体现政策向导，长期保障项目顺利进展</w:t>
            </w:r>
          </w:p>
        </w:tc>
        <w:tc>
          <w:tcPr>
            <w:tcW w:w="1099" w:type="dxa"/>
            <w:vAlign w:val="center"/>
          </w:tcPr>
          <w:p w14:paraId="76862425">
            <w:pPr>
              <w:jc w:val="both"/>
              <w:rPr>
                <w:rFonts w:hint="eastAsia" w:ascii="CESI仿宋-GB2312" w:hAnsi="CESI仿宋-GB2312" w:eastAsia="CESI仿宋-GB2312" w:cs="CESI仿宋-GB231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lang w:eastAsia="zh-CN"/>
              </w:rPr>
              <w:t>项目进展顺利</w:t>
            </w:r>
          </w:p>
        </w:tc>
        <w:tc>
          <w:tcPr>
            <w:tcW w:w="1099" w:type="dxa"/>
            <w:vAlign w:val="center"/>
          </w:tcPr>
          <w:p w14:paraId="393CC040">
            <w:pPr>
              <w:ind w:firstLine="643"/>
              <w:jc w:val="both"/>
              <w:rPr>
                <w:rFonts w:ascii="FangSong_GB2312" w:hAnsi="宋体" w:eastAsia="FangSong_GB2312" w:cs="宋体"/>
                <w:lang w:eastAsia="zh-CN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5</w:t>
            </w:r>
          </w:p>
        </w:tc>
        <w:tc>
          <w:tcPr>
            <w:tcW w:w="1054" w:type="dxa"/>
            <w:vAlign w:val="center"/>
          </w:tcPr>
          <w:p w14:paraId="6686AE19">
            <w:pPr>
              <w:ind w:firstLine="643"/>
              <w:jc w:val="both"/>
              <w:rPr>
                <w:rFonts w:ascii="FangSong_GB2312" w:hAnsi="宋体" w:eastAsia="FangSong_GB2312" w:cs="宋体"/>
                <w:lang w:eastAsia="zh-CN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5</w:t>
            </w:r>
          </w:p>
        </w:tc>
        <w:tc>
          <w:tcPr>
            <w:tcW w:w="604" w:type="dxa"/>
            <w:vAlign w:val="center"/>
          </w:tcPr>
          <w:p w14:paraId="420C6077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383" w:type="dxa"/>
            <w:vAlign w:val="center"/>
          </w:tcPr>
          <w:p w14:paraId="6766117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23CC8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F94D7CF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3826642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ECBC29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51143EDA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099" w:type="dxa"/>
            <w:vAlign w:val="center"/>
          </w:tcPr>
          <w:p w14:paraId="36502B1A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099" w:type="dxa"/>
            <w:vAlign w:val="center"/>
          </w:tcPr>
          <w:p w14:paraId="4BF7F90E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054" w:type="dxa"/>
            <w:vAlign w:val="center"/>
          </w:tcPr>
          <w:p w14:paraId="46F5AFC9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604" w:type="dxa"/>
            <w:vAlign w:val="center"/>
          </w:tcPr>
          <w:p w14:paraId="4130D8C1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383" w:type="dxa"/>
            <w:vAlign w:val="center"/>
          </w:tcPr>
          <w:p w14:paraId="7EFBD77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0A193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F00F76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175989ED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满意度指标</w:t>
            </w:r>
            <w:r>
              <w:rPr>
                <w:rFonts w:ascii="仿宋_GB2312" w:hAnsi="宋体" w:eastAsia="仿宋_GB2312" w:cs="宋体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D73FB3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268A300C">
            <w:pPr>
              <w:jc w:val="both"/>
              <w:rPr>
                <w:rFonts w:ascii="FangSong_GB2312" w:hAnsi="宋体" w:eastAsia="FangSong_GB2312" w:cs="宋体"/>
              </w:rPr>
            </w:pPr>
            <w:r>
              <w:rPr>
                <w:rFonts w:hint="eastAsia" w:ascii="FangSong_GB2312" w:hAnsi="宋体" w:eastAsia="FangSong_GB2312" w:cs="宋体"/>
              </w:rPr>
              <w:t>0%~100%</w:t>
            </w:r>
          </w:p>
        </w:tc>
        <w:tc>
          <w:tcPr>
            <w:tcW w:w="1099" w:type="dxa"/>
            <w:vAlign w:val="center"/>
          </w:tcPr>
          <w:p w14:paraId="068A0FBC">
            <w:pPr>
              <w:jc w:val="both"/>
              <w:rPr>
                <w:rFonts w:ascii="FangSong_GB2312" w:hAnsi="宋体" w:eastAsia="FangSong_GB2312" w:cs="宋体"/>
                <w:lang w:eastAsia="zh-CN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15B8C77D">
            <w:pPr>
              <w:ind w:firstLine="643"/>
              <w:jc w:val="both"/>
              <w:rPr>
                <w:rFonts w:ascii="FangSong_GB2312" w:hAnsi="宋体" w:eastAsia="FangSong_GB2312" w:cs="宋体"/>
                <w:lang w:eastAsia="zh-CN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10</w:t>
            </w:r>
          </w:p>
        </w:tc>
        <w:tc>
          <w:tcPr>
            <w:tcW w:w="1054" w:type="dxa"/>
            <w:vAlign w:val="center"/>
          </w:tcPr>
          <w:p w14:paraId="567255C3">
            <w:pPr>
              <w:ind w:firstLine="643"/>
              <w:jc w:val="both"/>
              <w:rPr>
                <w:rFonts w:ascii="FangSong_GB2312" w:hAnsi="宋体" w:eastAsia="FangSong_GB2312" w:cs="宋体"/>
                <w:lang w:eastAsia="zh-CN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10</w:t>
            </w:r>
          </w:p>
        </w:tc>
        <w:tc>
          <w:tcPr>
            <w:tcW w:w="604" w:type="dxa"/>
            <w:vAlign w:val="center"/>
          </w:tcPr>
          <w:p w14:paraId="60109E76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383" w:type="dxa"/>
            <w:vAlign w:val="center"/>
          </w:tcPr>
          <w:p w14:paraId="4F7C633E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6841B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8502F5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C6B63D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0B81A30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2C042E59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099" w:type="dxa"/>
            <w:vAlign w:val="center"/>
          </w:tcPr>
          <w:p w14:paraId="6513A0CD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099" w:type="dxa"/>
            <w:vAlign w:val="center"/>
          </w:tcPr>
          <w:p w14:paraId="25E781BC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054" w:type="dxa"/>
            <w:vAlign w:val="center"/>
          </w:tcPr>
          <w:p w14:paraId="202E6E18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604" w:type="dxa"/>
            <w:vAlign w:val="center"/>
          </w:tcPr>
          <w:p w14:paraId="7732D3DD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383" w:type="dxa"/>
            <w:vAlign w:val="center"/>
          </w:tcPr>
          <w:p w14:paraId="2E93EDF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06390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2BA05D4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3808D64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A52984D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20D4653E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099" w:type="dxa"/>
            <w:vAlign w:val="center"/>
          </w:tcPr>
          <w:p w14:paraId="07C9CFCF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099" w:type="dxa"/>
            <w:vAlign w:val="center"/>
          </w:tcPr>
          <w:p w14:paraId="571CAB90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054" w:type="dxa"/>
            <w:vAlign w:val="center"/>
          </w:tcPr>
          <w:p w14:paraId="7AF3DCBC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604" w:type="dxa"/>
            <w:vAlign w:val="center"/>
          </w:tcPr>
          <w:p w14:paraId="2B5F0B50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383" w:type="dxa"/>
            <w:vAlign w:val="center"/>
          </w:tcPr>
          <w:p w14:paraId="70A86F82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49537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E545E91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579D0D5B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成本指标</w:t>
            </w:r>
          </w:p>
          <w:p w14:paraId="2E65FE42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eastAsia="仿宋_GB2312"/>
                <w:lang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126CCF6C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eastAsia="仿宋_GB2312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02B00367">
            <w:pPr>
              <w:jc w:val="both"/>
              <w:rPr>
                <w:rFonts w:ascii="FangSong_GB2312" w:hAnsi="宋体" w:eastAsia="宋体" w:cs="宋体"/>
                <w:lang w:eastAsia="zh-CN"/>
              </w:rPr>
            </w:pPr>
            <w:r>
              <w:rPr>
                <w:rFonts w:hint="eastAsia" w:ascii="FangSong_GB2312" w:hAnsi="宋体" w:eastAsia="宋体" w:cs="宋体"/>
                <w:lang w:eastAsia="zh-CN"/>
              </w:rPr>
              <w:t>=30.5万元</w:t>
            </w:r>
          </w:p>
        </w:tc>
        <w:tc>
          <w:tcPr>
            <w:tcW w:w="1099" w:type="dxa"/>
            <w:vAlign w:val="center"/>
          </w:tcPr>
          <w:p w14:paraId="456A9495">
            <w:pPr>
              <w:jc w:val="both"/>
              <w:rPr>
                <w:rFonts w:ascii="FangSong_GB2312" w:hAnsi="宋体" w:eastAsia="FangSong_GB2312" w:cs="宋体"/>
              </w:rPr>
            </w:pPr>
            <w:r>
              <w:rPr>
                <w:rFonts w:hint="eastAsia" w:ascii="FangSong_GB2312" w:hAnsi="宋体" w:eastAsia="宋体" w:cs="宋体"/>
                <w:lang w:eastAsia="zh-CN"/>
              </w:rPr>
              <w:t>=30.5万元</w:t>
            </w:r>
          </w:p>
        </w:tc>
        <w:tc>
          <w:tcPr>
            <w:tcW w:w="1099" w:type="dxa"/>
            <w:vAlign w:val="center"/>
          </w:tcPr>
          <w:p w14:paraId="233F2EDB">
            <w:pPr>
              <w:ind w:firstLine="643"/>
              <w:jc w:val="both"/>
              <w:rPr>
                <w:rFonts w:ascii="FangSong_GB2312" w:hAnsi="宋体" w:eastAsia="宋体" w:cs="宋体"/>
                <w:lang w:eastAsia="zh-CN"/>
              </w:rPr>
            </w:pPr>
            <w:r>
              <w:rPr>
                <w:rFonts w:hint="eastAsia" w:ascii="FangSong_GB2312" w:hAnsi="宋体" w:eastAsia="宋体" w:cs="宋体"/>
                <w:lang w:eastAsia="zh-CN"/>
              </w:rPr>
              <w:t>10</w:t>
            </w:r>
          </w:p>
        </w:tc>
        <w:tc>
          <w:tcPr>
            <w:tcW w:w="1054" w:type="dxa"/>
            <w:vAlign w:val="center"/>
          </w:tcPr>
          <w:p w14:paraId="01631DF5">
            <w:pPr>
              <w:ind w:firstLine="643"/>
              <w:jc w:val="both"/>
              <w:rPr>
                <w:rFonts w:ascii="FangSong_GB2312" w:hAnsi="宋体" w:eastAsia="宋体" w:cs="宋体"/>
                <w:lang w:eastAsia="zh-CN"/>
              </w:rPr>
            </w:pPr>
            <w:r>
              <w:rPr>
                <w:rFonts w:hint="eastAsia" w:ascii="FangSong_GB2312" w:hAnsi="宋体" w:eastAsia="宋体" w:cs="宋体"/>
                <w:lang w:eastAsia="zh-CN"/>
              </w:rPr>
              <w:t>10</w:t>
            </w:r>
          </w:p>
        </w:tc>
        <w:tc>
          <w:tcPr>
            <w:tcW w:w="604" w:type="dxa"/>
            <w:vAlign w:val="center"/>
          </w:tcPr>
          <w:p w14:paraId="75BD7119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383" w:type="dxa"/>
            <w:vAlign w:val="center"/>
          </w:tcPr>
          <w:p w14:paraId="173A7F1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3CFAB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58266F9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5B08F097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280BC43F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eastAsia="仿宋_GB2312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006B58FB">
            <w:pPr>
              <w:jc w:val="both"/>
              <w:rPr>
                <w:rFonts w:ascii="FangSong_GB2312" w:hAnsi="宋体" w:eastAsia="FangSong_GB2312" w:cs="宋体"/>
                <w:lang w:eastAsia="zh-CN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改善基础设施，改善人居环境方便出行</w:t>
            </w:r>
          </w:p>
        </w:tc>
        <w:tc>
          <w:tcPr>
            <w:tcW w:w="1099" w:type="dxa"/>
            <w:vAlign w:val="center"/>
          </w:tcPr>
          <w:p w14:paraId="115193E9">
            <w:pPr>
              <w:jc w:val="both"/>
              <w:rPr>
                <w:rFonts w:ascii="FangSong_GB2312" w:hAnsi="宋体" w:eastAsia="FangSong_GB2312" w:cs="宋体"/>
                <w:lang w:eastAsia="zh-CN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基础设施的到改善，改善人居环境方便出行</w:t>
            </w:r>
          </w:p>
        </w:tc>
        <w:tc>
          <w:tcPr>
            <w:tcW w:w="1099" w:type="dxa"/>
            <w:vAlign w:val="center"/>
          </w:tcPr>
          <w:p w14:paraId="1332F8EC">
            <w:pPr>
              <w:ind w:firstLine="643"/>
              <w:jc w:val="both"/>
              <w:rPr>
                <w:rFonts w:ascii="FangSong_GB2312" w:hAnsi="宋体" w:eastAsia="FangSong_GB2312" w:cs="宋体"/>
                <w:lang w:eastAsia="zh-CN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5</w:t>
            </w:r>
          </w:p>
        </w:tc>
        <w:tc>
          <w:tcPr>
            <w:tcW w:w="1054" w:type="dxa"/>
            <w:vAlign w:val="center"/>
          </w:tcPr>
          <w:p w14:paraId="474475E5">
            <w:pPr>
              <w:ind w:firstLine="643"/>
              <w:jc w:val="both"/>
              <w:rPr>
                <w:rFonts w:ascii="FangSong_GB2312" w:hAnsi="宋体" w:eastAsia="FangSong_GB2312" w:cs="宋体"/>
                <w:lang w:eastAsia="zh-CN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5</w:t>
            </w:r>
          </w:p>
        </w:tc>
        <w:tc>
          <w:tcPr>
            <w:tcW w:w="604" w:type="dxa"/>
            <w:vAlign w:val="center"/>
          </w:tcPr>
          <w:p w14:paraId="6BE5FD4D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383" w:type="dxa"/>
            <w:vAlign w:val="center"/>
          </w:tcPr>
          <w:p w14:paraId="4ADC0858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69609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26E3AD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3189465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3302F6F2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eastAsia="仿宋_GB2312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55AA4DF6">
            <w:pPr>
              <w:jc w:val="both"/>
              <w:rPr>
                <w:rFonts w:ascii="FangSong_GB2312" w:hAnsi="宋体" w:eastAsia="FangSong_GB2312" w:cs="宋体"/>
                <w:lang w:eastAsia="zh-CN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改善人居环境方便出行</w:t>
            </w:r>
          </w:p>
        </w:tc>
        <w:tc>
          <w:tcPr>
            <w:tcW w:w="1099" w:type="dxa"/>
            <w:vAlign w:val="center"/>
          </w:tcPr>
          <w:p w14:paraId="03FA2C7C">
            <w:pPr>
              <w:jc w:val="both"/>
              <w:rPr>
                <w:rFonts w:ascii="FangSong_GB2312" w:hAnsi="宋体" w:eastAsia="FangSong_GB2312" w:cs="宋体"/>
                <w:lang w:eastAsia="zh-CN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无不良影响</w:t>
            </w:r>
          </w:p>
        </w:tc>
        <w:tc>
          <w:tcPr>
            <w:tcW w:w="1099" w:type="dxa"/>
            <w:vAlign w:val="center"/>
          </w:tcPr>
          <w:p w14:paraId="0F506FE2">
            <w:pPr>
              <w:ind w:firstLine="643"/>
              <w:jc w:val="both"/>
              <w:rPr>
                <w:rFonts w:ascii="FangSong_GB2312" w:hAnsi="宋体" w:eastAsia="FangSong_GB2312" w:cs="宋体"/>
                <w:lang w:eastAsia="zh-CN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5</w:t>
            </w:r>
          </w:p>
        </w:tc>
        <w:tc>
          <w:tcPr>
            <w:tcW w:w="1054" w:type="dxa"/>
            <w:vAlign w:val="center"/>
          </w:tcPr>
          <w:p w14:paraId="76EE5899">
            <w:pPr>
              <w:ind w:firstLine="643"/>
              <w:jc w:val="both"/>
              <w:rPr>
                <w:rFonts w:ascii="FangSong_GB2312" w:hAnsi="宋体" w:eastAsia="FangSong_GB2312" w:cs="宋体"/>
                <w:lang w:eastAsia="zh-CN"/>
              </w:rPr>
            </w:pPr>
            <w:r>
              <w:rPr>
                <w:rFonts w:hint="eastAsia" w:ascii="FangSong_GB2312" w:hAnsi="宋体" w:eastAsia="FangSong_GB2312" w:cs="宋体"/>
                <w:lang w:eastAsia="zh-CN"/>
              </w:rPr>
              <w:t>5</w:t>
            </w:r>
          </w:p>
        </w:tc>
        <w:tc>
          <w:tcPr>
            <w:tcW w:w="604" w:type="dxa"/>
            <w:vAlign w:val="center"/>
          </w:tcPr>
          <w:p w14:paraId="5D27BCD3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  <w:tc>
          <w:tcPr>
            <w:tcW w:w="1383" w:type="dxa"/>
            <w:vAlign w:val="center"/>
          </w:tcPr>
          <w:p w14:paraId="418D0EDA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321F2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7CFDDE1C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总分</w:t>
            </w:r>
          </w:p>
        </w:tc>
        <w:tc>
          <w:tcPr>
            <w:tcW w:w="1054" w:type="dxa"/>
            <w:vAlign w:val="center"/>
          </w:tcPr>
          <w:p w14:paraId="4CA224E3">
            <w:pPr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100</w:t>
            </w:r>
          </w:p>
        </w:tc>
        <w:tc>
          <w:tcPr>
            <w:tcW w:w="604" w:type="dxa"/>
            <w:vAlign w:val="center"/>
          </w:tcPr>
          <w:p w14:paraId="49788A85">
            <w:pPr>
              <w:ind w:firstLine="42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4FD1A038">
            <w:pPr>
              <w:ind w:firstLine="643"/>
              <w:jc w:val="both"/>
              <w:rPr>
                <w:rFonts w:ascii="FangSong_GB2312" w:hAnsi="宋体" w:eastAsia="FangSong_GB2312" w:cs="宋体"/>
              </w:rPr>
            </w:pPr>
          </w:p>
        </w:tc>
      </w:tr>
    </w:tbl>
    <w:p w14:paraId="65E28A62">
      <w:pPr>
        <w:spacing w:before="52" w:line="219" w:lineRule="auto"/>
        <w:rPr>
          <w:rFonts w:ascii="仿宋_GB2312" w:hAnsi="宋体" w:eastAsia="仿宋_GB2312" w:cs="宋体"/>
          <w:lang w:eastAsia="zh-CN"/>
        </w:rPr>
      </w:pPr>
      <w:r>
        <w:rPr>
          <w:rFonts w:ascii="仿宋_GB2312" w:hAnsi="宋体" w:eastAsia="仿宋_GB2312" w:cs="宋体"/>
          <w:lang w:eastAsia="zh-CN"/>
        </w:rPr>
        <w:t>备注： 一个一级项目支出一张表。如，业务工作经费，运行维护经费，其他事业发展类资金…各一张表.</w:t>
      </w:r>
    </w:p>
    <w:p w14:paraId="5CCE64BC">
      <w:pPr>
        <w:ind w:firstLine="420"/>
        <w:rPr>
          <w:rFonts w:ascii="宋体" w:hAnsi="宋体" w:eastAsia="宋体" w:cs="宋体"/>
          <w:lang w:eastAsia="zh-CN"/>
        </w:rPr>
      </w:pPr>
    </w:p>
    <w:p w14:paraId="6A6FEDAF">
      <w:pPr>
        <w:rPr>
          <w:rFonts w:ascii="仿宋_GB2312" w:hAnsi="宋体" w:eastAsia="仿宋_GB2312" w:cs="宋体"/>
          <w:lang w:eastAsia="zh-CN"/>
        </w:rPr>
        <w:sectPr>
          <w:footerReference r:id="rId9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lang w:eastAsia="zh-CN"/>
        </w:rPr>
        <w:t>填表人：</w:t>
      </w:r>
      <w:r>
        <w:rPr>
          <w:rFonts w:ascii="仿宋_GB2312" w:hAnsi="宋体" w:eastAsia="仿宋_GB2312" w:cs="宋体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lang w:eastAsia="zh-CN"/>
        </w:rPr>
        <w:t>填报日期：</w:t>
      </w:r>
      <w:r>
        <w:rPr>
          <w:rFonts w:ascii="仿宋_GB2312" w:hAnsi="宋体" w:eastAsia="仿宋_GB2312" w:cs="宋体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lang w:eastAsia="zh-CN"/>
        </w:rPr>
        <w:t>联系电话：</w:t>
      </w:r>
      <w:r>
        <w:rPr>
          <w:rFonts w:ascii="仿宋_GB2312" w:hAnsi="宋体" w:eastAsia="仿宋_GB2312" w:cs="宋体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lang w:eastAsia="zh-CN"/>
        </w:rPr>
        <w:t>单位负责人签字:</w:t>
      </w:r>
    </w:p>
    <w:p w14:paraId="65A1FCE1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  <w:t>附件4</w:t>
      </w:r>
    </w:p>
    <w:p w14:paraId="5A011C46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14:paraId="517CAAF0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14:paraId="429D0279">
      <w:pPr>
        <w:ind w:firstLine="880"/>
        <w:jc w:val="center"/>
        <w:rPr>
          <w:rFonts w:cs="宋体" w:asciiTheme="minorEastAsia" w:hAnsiTheme="minorEastAsia" w:eastAsiaTheme="minorEastAsia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/>
          <w:sz w:val="44"/>
          <w:szCs w:val="44"/>
          <w:lang w:eastAsia="zh-CN"/>
        </w:rPr>
        <w:t>2024</w:t>
      </w:r>
      <w:r>
        <w:rPr>
          <w:rFonts w:hint="eastAsia" w:cs="宋体" w:asciiTheme="minorEastAsia" w:hAnsiTheme="minorEastAsia" w:eastAsiaTheme="minorEastAsia"/>
          <w:sz w:val="44"/>
          <w:szCs w:val="44"/>
          <w:lang w:eastAsia="zh-CN"/>
        </w:rPr>
        <w:t>年度</w:t>
      </w:r>
      <w:bookmarkStart w:id="6" w:name="OLE_LINK20"/>
      <w:r>
        <w:rPr>
          <w:rFonts w:hint="eastAsia" w:cs="宋体" w:asciiTheme="minorEastAsia" w:hAnsiTheme="minorEastAsia" w:eastAsiaTheme="minorEastAsia"/>
          <w:b/>
          <w:sz w:val="44"/>
          <w:szCs w:val="44"/>
          <w:lang w:eastAsia="zh-CN"/>
        </w:rPr>
        <w:t>归义街道办事处</w:t>
      </w:r>
      <w:bookmarkEnd w:id="6"/>
      <w:r>
        <w:rPr>
          <w:rFonts w:hint="eastAsia" w:cs="宋体" w:asciiTheme="minorEastAsia" w:hAnsiTheme="minorEastAsia" w:eastAsiaTheme="minorEastAsia"/>
          <w:sz w:val="44"/>
          <w:szCs w:val="44"/>
          <w:lang w:eastAsia="zh-CN"/>
        </w:rPr>
        <w:t>部门（单位）整体支出</w:t>
      </w:r>
    </w:p>
    <w:p w14:paraId="20F725F2">
      <w:pPr>
        <w:ind w:firstLine="880"/>
        <w:jc w:val="center"/>
        <w:rPr>
          <w:rFonts w:asciiTheme="minorEastAsia" w:hAnsiTheme="minorEastAsia" w:eastAsiaTheme="minorEastAsia"/>
          <w:sz w:val="44"/>
          <w:szCs w:val="44"/>
          <w:lang w:eastAsia="zh-CN"/>
        </w:rPr>
      </w:pPr>
      <w:r>
        <w:rPr>
          <w:rFonts w:hint="eastAsia" w:cs="宋体" w:asciiTheme="minorEastAsia" w:hAnsiTheme="minorEastAsia" w:eastAsiaTheme="minorEastAsia"/>
          <w:sz w:val="44"/>
          <w:szCs w:val="44"/>
          <w:lang w:eastAsia="zh-CN"/>
        </w:rPr>
        <w:t>绩效自评报告</w:t>
      </w:r>
    </w:p>
    <w:p w14:paraId="7AECB0A0"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 w14:paraId="0BCC7E55"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 w14:paraId="4C034F8A"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 w14:paraId="711C254F"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 w14:paraId="7026D26B"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 w14:paraId="62E77DC1"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 w14:paraId="246E06CA"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 w14:paraId="471844E3"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 w14:paraId="558D4B0B"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 w14:paraId="202C0109"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 w14:paraId="69888592"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 w14:paraId="29E016F8"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 w14:paraId="44932BBD"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 w14:paraId="669C598F"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sz w:val="32"/>
          <w:szCs w:val="32"/>
          <w:lang w:eastAsia="zh-CN"/>
        </w:rPr>
      </w:pPr>
      <w:r>
        <w:rPr>
          <w:rFonts w:hint="eastAsia" w:ascii="楷体_GB2312" w:hAnsi="仿宋" w:eastAsia="楷体_GB2312" w:cs="仿宋"/>
          <w:b/>
          <w:bCs/>
          <w:spacing w:val="-28"/>
          <w:sz w:val="32"/>
          <w:szCs w:val="32"/>
          <w:lang w:eastAsia="zh-CN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 w14:paraId="32CEAEC9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 xml:space="preserve">2025年 6  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eastAsia="zh-CN"/>
        </w:rPr>
        <w:t xml:space="preserve">月  20  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日</w:t>
      </w:r>
    </w:p>
    <w:p w14:paraId="3CA5D8D4">
      <w:pPr>
        <w:spacing w:before="211" w:line="224" w:lineRule="auto"/>
        <w:ind w:firstLine="638"/>
        <w:jc w:val="center"/>
        <w:rPr>
          <w:rFonts w:ascii="仿宋" w:hAnsi="仿宋" w:eastAsia="仿宋" w:cs="仿宋"/>
          <w:b/>
          <w:bCs/>
          <w:spacing w:val="18"/>
          <w:sz w:val="30"/>
          <w:szCs w:val="30"/>
          <w:lang w:eastAsia="zh-CN"/>
        </w:rPr>
      </w:pPr>
      <w:r>
        <w:rPr>
          <w:rFonts w:ascii="仿宋" w:hAnsi="仿宋" w:eastAsia="仿宋" w:cs="仿宋"/>
          <w:b/>
          <w:bCs/>
          <w:spacing w:val="18"/>
          <w:sz w:val="30"/>
          <w:szCs w:val="30"/>
          <w:lang w:eastAsia="zh-CN"/>
        </w:rPr>
        <w:t>(此页为封面)</w:t>
      </w:r>
    </w:p>
    <w:p w14:paraId="4F28F8B3">
      <w:pPr>
        <w:spacing w:before="211" w:line="224" w:lineRule="auto"/>
        <w:ind w:firstLine="638"/>
        <w:jc w:val="center"/>
        <w:rPr>
          <w:rFonts w:ascii="仿宋" w:hAnsi="仿宋" w:eastAsia="仿宋" w:cs="仿宋"/>
          <w:b/>
          <w:bCs/>
          <w:spacing w:val="18"/>
          <w:sz w:val="30"/>
          <w:szCs w:val="30"/>
          <w:lang w:eastAsia="zh-CN"/>
        </w:rPr>
      </w:pPr>
    </w:p>
    <w:p w14:paraId="1845133D">
      <w:pPr>
        <w:spacing w:before="211" w:line="224" w:lineRule="auto"/>
        <w:ind w:firstLine="638"/>
        <w:jc w:val="center"/>
        <w:rPr>
          <w:rFonts w:ascii="仿宋" w:hAnsi="仿宋" w:eastAsia="仿宋" w:cs="仿宋"/>
          <w:b/>
          <w:bCs/>
          <w:spacing w:val="18"/>
          <w:sz w:val="30"/>
          <w:szCs w:val="30"/>
          <w:lang w:eastAsia="zh-CN"/>
        </w:rPr>
      </w:pPr>
    </w:p>
    <w:p w14:paraId="14384C5A">
      <w:pPr>
        <w:spacing w:before="211" w:line="224" w:lineRule="auto"/>
        <w:ind w:firstLine="638"/>
        <w:jc w:val="center"/>
        <w:rPr>
          <w:rFonts w:ascii="仿宋" w:hAnsi="仿宋" w:eastAsia="仿宋" w:cs="仿宋"/>
          <w:b/>
          <w:bCs/>
          <w:spacing w:val="18"/>
          <w:sz w:val="30"/>
          <w:szCs w:val="30"/>
          <w:lang w:eastAsia="zh-CN"/>
        </w:rPr>
      </w:pPr>
    </w:p>
    <w:p w14:paraId="560E2E5B">
      <w:pPr>
        <w:spacing w:before="211" w:line="224" w:lineRule="auto"/>
        <w:ind w:firstLine="638"/>
        <w:jc w:val="center"/>
        <w:rPr>
          <w:rFonts w:ascii="仿宋" w:hAnsi="仿宋" w:eastAsia="仿宋" w:cs="仿宋"/>
          <w:b/>
          <w:bCs/>
          <w:spacing w:val="18"/>
          <w:sz w:val="30"/>
          <w:szCs w:val="30"/>
          <w:lang w:eastAsia="zh-CN"/>
        </w:rPr>
      </w:pPr>
    </w:p>
    <w:p w14:paraId="424EA008">
      <w:pPr>
        <w:spacing w:before="211" w:line="224" w:lineRule="auto"/>
        <w:ind w:firstLine="638"/>
        <w:jc w:val="both"/>
        <w:rPr>
          <w:rFonts w:ascii="仿宋" w:hAnsi="仿宋" w:eastAsia="仿宋" w:cs="仿宋"/>
          <w:b/>
          <w:bCs/>
          <w:spacing w:val="18"/>
          <w:sz w:val="30"/>
          <w:szCs w:val="30"/>
          <w:lang w:eastAsia="zh-CN"/>
        </w:rPr>
      </w:pPr>
    </w:p>
    <w:sdt>
      <w:sdtPr>
        <w:rPr>
          <w:sz w:val="21"/>
          <w:szCs w:val="21"/>
        </w:rPr>
        <w:id w:val="3580075"/>
      </w:sdtPr>
      <w:sdtEndPr>
        <w:rPr>
          <w:rFonts w:hint="eastAsia" w:asciiTheme="minorEastAsia" w:hAnsiTheme="minorEastAsia" w:eastAsiaTheme="minorEastAsia"/>
          <w:sz w:val="28"/>
          <w:szCs w:val="28"/>
        </w:rPr>
      </w:sdtEndPr>
      <w:sdtContent>
        <w:p w14:paraId="7DE98C52">
          <w:pPr>
            <w:pStyle w:val="8"/>
            <w:ind w:firstLine="360"/>
            <w:rPr>
              <w:rFonts w:asciiTheme="minorEastAsia" w:hAnsiTheme="minorEastAsia" w:eastAsiaTheme="minorEastAsia"/>
              <w:lang w:eastAsia="zh-CN"/>
            </w:rPr>
          </w:pPr>
        </w:p>
      </w:sdtContent>
    </w:sdt>
    <w:p w14:paraId="5B71589E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  <w:lang w:eastAsia="zh-CN"/>
        </w:rPr>
      </w:pPr>
      <w:r>
        <w:rPr>
          <w:rFonts w:ascii="黑体" w:hAnsi="黑体" w:eastAsia="黑体" w:cs="黑体"/>
          <w:spacing w:val="16"/>
          <w:sz w:val="40"/>
          <w:szCs w:val="40"/>
          <w:lang w:eastAsia="zh-CN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  <w:lang w:eastAsia="zh-CN"/>
        </w:rPr>
        <w:t xml:space="preserve"> 年度</w:t>
      </w:r>
      <w:r>
        <w:rPr>
          <w:rFonts w:hint="eastAsia" w:cs="宋体" w:asciiTheme="minorEastAsia" w:hAnsiTheme="minorEastAsia" w:eastAsiaTheme="minorEastAsia"/>
          <w:b/>
          <w:sz w:val="44"/>
          <w:szCs w:val="44"/>
          <w:lang w:eastAsia="zh-CN"/>
        </w:rPr>
        <w:t>归义街道办事处</w:t>
      </w:r>
      <w:r>
        <w:rPr>
          <w:rFonts w:ascii="黑体" w:hAnsi="黑体" w:eastAsia="黑体" w:cs="黑体"/>
          <w:spacing w:val="16"/>
          <w:sz w:val="40"/>
          <w:szCs w:val="40"/>
          <w:lang w:eastAsia="zh-CN"/>
        </w:rPr>
        <w:t>部门整体支出绩效</w:t>
      </w:r>
    </w:p>
    <w:p w14:paraId="7A9F0CA8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  <w:lang w:eastAsia="zh-CN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  <w:lang w:eastAsia="zh-CN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  <w:lang w:eastAsia="zh-CN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  <w:lang w:eastAsia="zh-CN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  <w:lang w:eastAsia="zh-CN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  <w:lang w:eastAsia="zh-CN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  <w:lang w:eastAsia="zh-CN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  <w:lang w:eastAsia="zh-CN"/>
        </w:rPr>
        <w:t>告</w:t>
      </w:r>
    </w:p>
    <w:p w14:paraId="03887A31">
      <w:pPr>
        <w:spacing w:before="211" w:line="224" w:lineRule="auto"/>
        <w:ind w:firstLine="638"/>
        <w:jc w:val="both"/>
        <w:rPr>
          <w:rFonts w:ascii="仿宋" w:hAnsi="仿宋" w:eastAsia="仿宋" w:cs="仿宋"/>
          <w:b/>
          <w:bCs/>
          <w:spacing w:val="18"/>
          <w:sz w:val="30"/>
          <w:szCs w:val="30"/>
          <w:lang w:eastAsia="zh-CN"/>
        </w:rPr>
      </w:pPr>
    </w:p>
    <w:p w14:paraId="21BD0DD0">
      <w:pPr>
        <w:spacing w:before="211" w:line="224" w:lineRule="auto"/>
        <w:ind w:firstLine="640"/>
        <w:jc w:val="both"/>
        <w:rPr>
          <w:rFonts w:ascii="方正黑体_GBK" w:hAnsi="仿宋" w:eastAsia="方正黑体_GBK" w:cs="仿宋"/>
          <w:sz w:val="32"/>
          <w:szCs w:val="32"/>
          <w:lang w:eastAsia="zh-CN"/>
        </w:rPr>
      </w:pPr>
    </w:p>
    <w:p w14:paraId="25EA6C03">
      <w:pPr>
        <w:pStyle w:val="2"/>
        <w:ind w:firstLine="0" w:firstLineChars="0"/>
        <w:rPr>
          <w:lang w:eastAsia="zh-CN"/>
        </w:rPr>
      </w:pPr>
      <w:r>
        <w:rPr>
          <w:rFonts w:hint="eastAsia"/>
          <w:lang w:eastAsia="zh-CN"/>
        </w:rPr>
        <w:t>一、部门(单位)基本情况</w:t>
      </w:r>
    </w:p>
    <w:p w14:paraId="5A001EC0">
      <w:pPr>
        <w:pStyle w:val="2"/>
        <w:ind w:firstLine="643"/>
        <w:rPr>
          <w:lang w:eastAsia="zh-CN"/>
        </w:rPr>
      </w:pPr>
      <w:r>
        <w:rPr>
          <w:lang w:eastAsia="zh-CN"/>
        </w:rPr>
        <w:t>（一）机构设置情况</w:t>
      </w:r>
    </w:p>
    <w:p w14:paraId="7D70D9FB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ascii="楷体_GB2312" w:eastAsia="楷体_GB2312" w:cs="楷体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本单位包含</w:t>
      </w:r>
      <w:bookmarkStart w:id="7" w:name="OLE_LINK26"/>
      <w:bookmarkStart w:id="8" w:name="OLE_LINK25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归义街道</w:t>
      </w:r>
      <w:bookmarkEnd w:id="7"/>
      <w:bookmarkEnd w:id="8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及5个二级机构, 包含归义街道、便民服务中心、农业综合服务中心、社会事务综合服务中心、退役军人服务站、综合行政执法大队。全部为财政全额拨款单位，执行行政单位会计制度。</w:t>
      </w:r>
    </w:p>
    <w:p w14:paraId="2FF9A9E2">
      <w:pPr>
        <w:pStyle w:val="2"/>
        <w:ind w:firstLine="643"/>
        <w:rPr>
          <w:lang w:eastAsia="zh-CN"/>
        </w:rPr>
      </w:pPr>
      <w:r>
        <w:rPr>
          <w:rFonts w:hint="eastAsia"/>
          <w:lang w:eastAsia="zh-CN"/>
        </w:rPr>
        <w:t>（二）</w:t>
      </w:r>
      <w:r>
        <w:rPr>
          <w:lang w:eastAsia="zh-CN"/>
        </w:rPr>
        <w:t>人员编制情况</w:t>
      </w:r>
    </w:p>
    <w:p w14:paraId="37D46CFD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2024年年末实有人数103人，其中行政人员39人，事业人员64人。</w:t>
      </w:r>
    </w:p>
    <w:p w14:paraId="749C8E40">
      <w:pPr>
        <w:pStyle w:val="2"/>
        <w:numPr>
          <w:ilvl w:val="0"/>
          <w:numId w:val="1"/>
        </w:numPr>
        <w:ind w:firstLine="643"/>
      </w:pPr>
      <w:r>
        <w:t>主要职能职责</w:t>
      </w:r>
    </w:p>
    <w:p w14:paraId="6873058B">
      <w:pPr>
        <w:widowControl w:val="0"/>
        <w:kinsoku/>
        <w:autoSpaceDE/>
        <w:autoSpaceDN/>
        <w:adjustRightInd/>
        <w:snapToGrid/>
        <w:spacing w:line="560" w:lineRule="exact"/>
        <w:ind w:firstLine="42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  <w:t>1、党委工作职责：（1）保证党的路线、方针、政策的坚决贯彻执行。（2）保证监督职能。（3）教育和管理职能。（4）服从和服务于经济建设的职能。（5）负责抓好本乡 党建工作、群团工作、精神文明建设工作、新闻宣传工作。（6）完成市委、市政府交给的其他工作任务。</w:t>
      </w:r>
    </w:p>
    <w:p w14:paraId="355BDAFF">
      <w:pPr>
        <w:widowControl w:val="0"/>
        <w:kinsoku/>
        <w:autoSpaceDE/>
        <w:autoSpaceDN/>
        <w:adjustRightInd/>
        <w:snapToGrid/>
        <w:spacing w:line="560" w:lineRule="exact"/>
        <w:ind w:firstLine="42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  <w:t>2、政府职能：（1）制定和组织实施经济、科技和社会发展计划，制定资源开发技术改造和产业结构调整方案，组织指导好各业生产，搞好商品流通，协调好本乡与外地区的经济交流与合作，抓好招商引资，人才引进项目开发，不断培育市场体系，组织经济运行，促进经济发展。（2）制定并组织实施村镇建设规划，部署重点工程建设，地方道路建设及公共设施，水利设施的管理，负责土地、林木、水等自然资源和生态环境的保护，做好护林防火工作。（3）负责本行政区域内的民政、计划生育、文化教育、卫生、体育等社会公益事业的综合性工作，维护一切经济单位和个人的正当经济权益，取缔非法经济活动，调解和处理民事纠纷，打击刑事犯罪维护社会稳定。（4）按计划组织本级财政收入和地方税的征收，完成国家财政计划，不断培植税源，管好财政资金，增强财政实力。（5）抓好精神文明建设，丰富群众文化生活，提倡移风易俗，反对封建迷信，破除陈规陋习，树立社会主义新风尚。（6）完成上级政府交办的其它事项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789EF56">
      <w:pPr>
        <w:pStyle w:val="2"/>
        <w:ind w:firstLine="0" w:firstLineChars="0"/>
        <w:rPr>
          <w:lang w:eastAsia="zh-CN"/>
        </w:rPr>
      </w:pPr>
      <w:r>
        <w:rPr>
          <w:rFonts w:hint="eastAsia"/>
          <w:lang w:eastAsia="zh-CN"/>
        </w:rPr>
        <w:t>二、一般公共预算</w:t>
      </w:r>
      <w:bookmarkStart w:id="9" w:name="OLE_LINK28"/>
      <w:bookmarkStart w:id="10" w:name="OLE_LINK27"/>
      <w:r>
        <w:rPr>
          <w:rFonts w:hint="eastAsia"/>
          <w:lang w:eastAsia="zh-CN"/>
        </w:rPr>
        <w:t>财政拨款</w:t>
      </w:r>
      <w:bookmarkEnd w:id="9"/>
      <w:bookmarkEnd w:id="10"/>
      <w:r>
        <w:rPr>
          <w:rFonts w:hint="eastAsia"/>
          <w:lang w:eastAsia="zh-CN"/>
        </w:rPr>
        <w:t>支出情况</w:t>
      </w:r>
    </w:p>
    <w:p w14:paraId="5165B061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 w14:paraId="7228EEB1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2024年决算支出2752.06万元，其中：基本支出1615.9万元，项目支出1136.16万元。</w:t>
      </w:r>
    </w:p>
    <w:p w14:paraId="584ABEE9">
      <w:pPr>
        <w:pStyle w:val="3"/>
        <w:numPr>
          <w:ilvl w:val="0"/>
          <w:numId w:val="2"/>
        </w:numPr>
        <w:ind w:firstLine="643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基本支出情况</w:t>
      </w:r>
    </w:p>
    <w:p w14:paraId="47844555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基本支出用于为保障各部门、机构正常运转、完成日常工作任务而发生的支出，包括人员经费和公用经费。</w:t>
      </w:r>
    </w:p>
    <w:p w14:paraId="3F7E73E6">
      <w:pPr>
        <w:widowControl w:val="0"/>
        <w:kinsoku/>
        <w:autoSpaceDE/>
        <w:autoSpaceDN/>
        <w:adjustRightIn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2024年全年基本支出1615.9万元，其中：工资福利支出1118.59万元、商品和服务支出497.31万元、对个人和家庭的补助0万元、债务利息及费用支出0万元、资本性支出0万元、其他支出0万元。</w:t>
      </w:r>
    </w:p>
    <w:p w14:paraId="57AAD79D">
      <w:pPr>
        <w:pStyle w:val="3"/>
        <w:numPr>
          <w:ilvl w:val="0"/>
          <w:numId w:val="2"/>
        </w:numPr>
        <w:ind w:firstLine="643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项目支出情况</w:t>
      </w:r>
    </w:p>
    <w:p w14:paraId="5E1504EF">
      <w:pPr>
        <w:widowControl w:val="0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</w:pPr>
      <w:r>
        <w:rPr>
          <w:rFonts w:ascii="仿宋_GB2312" w:hAnsi="Calibri" w:eastAsia="仿宋_GB2312" w:cs="仿宋_GB2312"/>
          <w:kern w:val="2"/>
          <w:sz w:val="32"/>
          <w:szCs w:val="32"/>
          <w:lang w:eastAsia="zh-CN"/>
        </w:rPr>
        <w:t>项目支出是在基本支出之外为完成其特定的工作任务而发生的支出，主要用于专项工作的运转和设备升级等。</w:t>
      </w:r>
    </w:p>
    <w:p w14:paraId="0DB98A38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2024年项目经费支出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1136.16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万元，主要用于乡村振兴、教育改革、乡村治理、道路建设、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水利建设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等工作。</w:t>
      </w:r>
    </w:p>
    <w:p w14:paraId="1F2E3CB3">
      <w:pPr>
        <w:pStyle w:val="2"/>
        <w:ind w:firstLine="0" w:firstLineChars="0"/>
        <w:rPr>
          <w:lang w:eastAsia="zh-CN"/>
        </w:rPr>
      </w:pPr>
      <w:r>
        <w:rPr>
          <w:rFonts w:hint="eastAsia"/>
          <w:lang w:eastAsia="zh-CN"/>
        </w:rPr>
        <w:t>三、政府性基金预算</w:t>
      </w:r>
      <w:r>
        <w:rPr>
          <w:rFonts w:hint="eastAsia" w:ascii="宋体" w:hAnsi="宋体" w:eastAsia="宋体" w:cs="宋体"/>
          <w:lang w:eastAsia="zh-CN"/>
        </w:rPr>
        <w:t>财政拨款</w:t>
      </w:r>
      <w:r>
        <w:rPr>
          <w:rFonts w:hint="eastAsia"/>
          <w:lang w:eastAsia="zh-CN"/>
        </w:rPr>
        <w:t>支出情况</w:t>
      </w:r>
    </w:p>
    <w:p w14:paraId="53521F53">
      <w:pPr>
        <w:widowControl w:val="0"/>
        <w:kinsoku/>
        <w:autoSpaceDE/>
        <w:autoSpaceDN/>
        <w:adjustRightInd/>
        <w:snapToGrid/>
        <w:spacing w:line="560" w:lineRule="exact"/>
        <w:ind w:left="420" w:firstLine="42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2024年全年政府性基金预算支出20万元。</w:t>
      </w:r>
    </w:p>
    <w:p w14:paraId="55AAF67E">
      <w:pPr>
        <w:pStyle w:val="2"/>
        <w:ind w:firstLine="0" w:firstLineChars="0"/>
        <w:rPr>
          <w:lang w:eastAsia="zh-CN"/>
        </w:rPr>
      </w:pPr>
      <w:r>
        <w:rPr>
          <w:rFonts w:hint="eastAsia"/>
          <w:lang w:eastAsia="zh-CN"/>
        </w:rPr>
        <w:t>四、国有资本经营预算</w:t>
      </w:r>
      <w:r>
        <w:rPr>
          <w:rFonts w:hint="eastAsia" w:ascii="宋体" w:hAnsi="宋体" w:eastAsia="宋体" w:cs="宋体"/>
          <w:lang w:eastAsia="zh-CN"/>
        </w:rPr>
        <w:t>财政拨款</w:t>
      </w:r>
      <w:r>
        <w:rPr>
          <w:rFonts w:hint="eastAsia"/>
          <w:lang w:eastAsia="zh-CN"/>
        </w:rPr>
        <w:t>支出情况</w:t>
      </w:r>
    </w:p>
    <w:p w14:paraId="1F8C8EA7">
      <w:pPr>
        <w:ind w:left="420" w:firstLine="420"/>
        <w:rPr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本单位无国有资本经营预算支出。</w:t>
      </w:r>
    </w:p>
    <w:p w14:paraId="73FEBCDE">
      <w:pPr>
        <w:pStyle w:val="2"/>
        <w:ind w:firstLine="0" w:firstLineChars="0"/>
        <w:rPr>
          <w:lang w:eastAsia="zh-CN"/>
        </w:rPr>
      </w:pPr>
      <w:r>
        <w:rPr>
          <w:rFonts w:hint="eastAsia"/>
          <w:lang w:eastAsia="zh-CN"/>
        </w:rPr>
        <w:t>五、社会保险基金预算支出情况</w:t>
      </w:r>
    </w:p>
    <w:p w14:paraId="7BC88A62">
      <w:pPr>
        <w:ind w:left="420" w:firstLine="420"/>
        <w:rPr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本单位无社会保险基金预算支出。</w:t>
      </w:r>
    </w:p>
    <w:p w14:paraId="4567CB5B">
      <w:pPr>
        <w:pStyle w:val="2"/>
        <w:ind w:firstLine="0" w:firstLineChars="0"/>
        <w:rPr>
          <w:rFonts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t xml:space="preserve">六、部门整体支出绩效情况 </w:t>
      </w:r>
    </w:p>
    <w:p w14:paraId="099523B0">
      <w:pPr>
        <w:pStyle w:val="2"/>
        <w:ind w:firstLine="800" w:firstLineChars="250"/>
        <w:rPr>
          <w:rFonts w:ascii="仿宋" w:hAnsi="仿宋" w:eastAsia="仿宋" w:cs="宋体"/>
          <w:b w:val="0"/>
          <w:bCs w:val="0"/>
          <w:lang w:eastAsia="zh-CN"/>
        </w:rPr>
      </w:pPr>
      <w:r>
        <w:rPr>
          <w:rFonts w:hint="eastAsia" w:ascii="仿宋" w:hAnsi="仿宋" w:eastAsia="仿宋" w:cs="Times New Roman"/>
          <w:b w:val="0"/>
          <w:lang w:eastAsia="zh-CN"/>
        </w:rPr>
        <w:t>2024</w:t>
      </w:r>
      <w:r>
        <w:rPr>
          <w:rFonts w:hint="eastAsia" w:ascii="仿宋" w:hAnsi="仿宋" w:eastAsia="仿宋" w:cs="宋体"/>
          <w:b w:val="0"/>
          <w:lang w:eastAsia="zh-CN"/>
        </w:rPr>
        <w:t>年度绩效目标完成情况：</w:t>
      </w:r>
      <w:r>
        <w:rPr>
          <w:rFonts w:hint="eastAsia" w:ascii="仿宋" w:hAnsi="仿宋" w:eastAsia="仿宋" w:cs="仿宋_GB2312"/>
          <w:b w:val="0"/>
          <w:lang w:eastAsia="zh-CN"/>
        </w:rPr>
        <w:t>2024</w:t>
      </w:r>
      <w:r>
        <w:rPr>
          <w:rFonts w:hint="eastAsia" w:ascii="仿宋" w:hAnsi="仿宋" w:eastAsia="仿宋" w:cs="宋体"/>
          <w:b w:val="0"/>
          <w:lang w:eastAsia="zh-CN"/>
        </w:rPr>
        <w:t>年，我</w:t>
      </w:r>
      <w:r>
        <w:rPr>
          <w:rFonts w:hint="eastAsia" w:ascii="仿宋" w:hAnsi="仿宋" w:eastAsia="仿宋" w:cs="仿宋_GB2312"/>
          <w:b w:val="0"/>
          <w:lang w:eastAsia="zh-CN"/>
        </w:rPr>
        <w:t>街道</w:t>
      </w:r>
      <w:r>
        <w:rPr>
          <w:rFonts w:hint="eastAsia" w:ascii="仿宋" w:hAnsi="仿宋" w:eastAsia="仿宋" w:cs="宋体"/>
          <w:b w:val="0"/>
          <w:lang w:eastAsia="zh-CN"/>
        </w:rPr>
        <w:t>积极履职，强化管理，较好地完成了年度工作目标。通过加强预算收支管理，不断建立健全内部管理制度，梳理内部管理流程，部门整体支出管理水平得到提升。根据部门整体支出绩效自评表，我街道</w:t>
      </w:r>
      <w:r>
        <w:rPr>
          <w:rFonts w:hint="eastAsia" w:ascii="仿宋" w:hAnsi="仿宋" w:eastAsia="仿宋" w:cs="仿宋_GB2312"/>
          <w:b w:val="0"/>
          <w:lang w:eastAsia="zh-CN"/>
        </w:rPr>
        <w:t>2024</w:t>
      </w:r>
      <w:r>
        <w:rPr>
          <w:rFonts w:hint="eastAsia" w:ascii="仿宋" w:hAnsi="仿宋" w:eastAsia="仿宋" w:cs="宋体"/>
          <w:b w:val="0"/>
          <w:lang w:eastAsia="zh-CN"/>
        </w:rPr>
        <w:t>年度绩效自评得分为</w:t>
      </w:r>
      <w:r>
        <w:rPr>
          <w:rFonts w:hint="eastAsia" w:ascii="仿宋" w:hAnsi="仿宋" w:eastAsia="仿宋" w:cs="仿宋_GB2312"/>
          <w:b w:val="0"/>
          <w:lang w:eastAsia="zh-CN"/>
        </w:rPr>
        <w:t>100</w:t>
      </w:r>
      <w:r>
        <w:rPr>
          <w:rFonts w:hint="eastAsia" w:ascii="仿宋" w:hAnsi="仿宋" w:eastAsia="仿宋" w:cs="宋体"/>
          <w:b w:val="0"/>
          <w:lang w:eastAsia="zh-CN"/>
        </w:rPr>
        <w:t>分。</w:t>
      </w:r>
    </w:p>
    <w:p w14:paraId="26ECE6F0">
      <w:pPr>
        <w:pStyle w:val="2"/>
        <w:ind w:firstLine="0" w:firstLineChars="0"/>
        <w:rPr>
          <w:rFonts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t>七、存在的问题及原因分析</w:t>
      </w:r>
    </w:p>
    <w:p w14:paraId="0070C041">
      <w:pPr>
        <w:pStyle w:val="2"/>
        <w:ind w:firstLine="480" w:firstLineChars="150"/>
        <w:rPr>
          <w:rFonts w:ascii="仿宋" w:hAnsi="仿宋" w:eastAsia="仿宋" w:cs="宋体"/>
          <w:b w:val="0"/>
          <w:lang w:eastAsia="zh-CN"/>
        </w:rPr>
      </w:pPr>
      <w:r>
        <w:rPr>
          <w:rFonts w:hint="eastAsia" w:ascii="仿宋" w:hAnsi="仿宋" w:eastAsia="仿宋" w:cs="仿宋_GB2312"/>
          <w:b w:val="0"/>
          <w:lang w:eastAsia="zh-CN"/>
        </w:rPr>
        <w:t>1</w:t>
      </w:r>
      <w:r>
        <w:rPr>
          <w:rFonts w:hint="eastAsia" w:ascii="仿宋" w:hAnsi="仿宋" w:eastAsia="仿宋" w:cs="宋体"/>
          <w:b w:val="0"/>
          <w:lang w:eastAsia="zh-CN"/>
        </w:rPr>
        <w:t>、预算控制率有待降低。除政策性因素以外，由于部分临时、紧急或突发的工作任务导致年中追加预算。预算编制工作有待细化。预算编制不够明确和细化，预算编制的合理性需要提高，预算执行力度还要进一步加强。</w:t>
      </w:r>
      <w:r>
        <w:rPr>
          <w:rFonts w:hint="eastAsia" w:ascii="仿宋" w:hAnsi="仿宋" w:eastAsia="仿宋" w:cs="仿宋_GB2312"/>
          <w:b w:val="0"/>
          <w:lang w:eastAsia="zh-CN"/>
        </w:rPr>
        <w:t>2</w:t>
      </w:r>
      <w:r>
        <w:rPr>
          <w:rFonts w:hint="eastAsia" w:ascii="仿宋" w:hAnsi="仿宋" w:eastAsia="仿宋" w:cs="宋体"/>
          <w:b w:val="0"/>
          <w:lang w:eastAsia="zh-CN"/>
        </w:rPr>
        <w:t>、日常公用经费不足、与实际支出相差较大。</w:t>
      </w:r>
      <w:r>
        <w:rPr>
          <w:rFonts w:hint="eastAsia" w:ascii="仿宋" w:hAnsi="仿宋" w:eastAsia="仿宋" w:cs="仿宋_GB2312"/>
          <w:b w:val="0"/>
          <w:lang w:eastAsia="zh-CN"/>
        </w:rPr>
        <w:t>3</w:t>
      </w:r>
      <w:r>
        <w:rPr>
          <w:rFonts w:hint="eastAsia" w:ascii="仿宋" w:hAnsi="仿宋" w:eastAsia="仿宋" w:cs="宋体"/>
          <w:b w:val="0"/>
          <w:lang w:eastAsia="zh-CN"/>
        </w:rPr>
        <w:t>、公用经费和三公经费控制有一定难度，基本为刚性支出。</w:t>
      </w:r>
    </w:p>
    <w:p w14:paraId="5E66F86E">
      <w:pPr>
        <w:pStyle w:val="2"/>
        <w:ind w:firstLine="0" w:firstLineChars="0"/>
        <w:rPr>
          <w:rFonts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t>八、下一步改进措施</w:t>
      </w:r>
    </w:p>
    <w:p w14:paraId="4A9D3C16">
      <w:pPr>
        <w:pStyle w:val="2"/>
        <w:ind w:firstLine="480" w:firstLineChars="150"/>
        <w:rPr>
          <w:rFonts w:ascii="仿宋" w:hAnsi="仿宋" w:eastAsia="仿宋"/>
          <w:b w:val="0"/>
          <w:lang w:eastAsia="zh-CN"/>
        </w:rPr>
      </w:pPr>
      <w:r>
        <w:rPr>
          <w:rFonts w:hint="eastAsia" w:ascii="仿宋" w:hAnsi="仿宋" w:eastAsia="仿宋" w:cs="仿宋_GB2312"/>
          <w:b w:val="0"/>
          <w:lang w:eastAsia="zh-CN"/>
        </w:rPr>
        <w:t>1</w:t>
      </w:r>
      <w:r>
        <w:rPr>
          <w:rFonts w:hint="eastAsia" w:ascii="仿宋" w:hAnsi="仿宋" w:eastAsia="仿宋" w:cs="宋体"/>
          <w:b w:val="0"/>
          <w:lang w:eastAsia="zh-CN"/>
        </w:rPr>
        <w:t>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做好经验做法总结，多与其他单位交流，不断优化完善内控制度。</w:t>
      </w:r>
      <w:r>
        <w:rPr>
          <w:rFonts w:hint="eastAsia" w:ascii="仿宋" w:hAnsi="仿宋" w:eastAsia="仿宋" w:cs="仿宋_GB2312"/>
          <w:b w:val="0"/>
          <w:lang w:eastAsia="zh-CN"/>
        </w:rPr>
        <w:t>2</w:t>
      </w:r>
      <w:r>
        <w:rPr>
          <w:rFonts w:hint="eastAsia" w:ascii="仿宋" w:hAnsi="仿宋" w:eastAsia="仿宋" w:cs="宋体"/>
          <w:b w:val="0"/>
          <w:lang w:eastAsia="zh-CN"/>
        </w:rPr>
        <w:t>、完善资产管理，抓好</w:t>
      </w:r>
      <w:r>
        <w:rPr>
          <w:rFonts w:ascii="仿宋" w:hAnsi="仿宋" w:eastAsia="仿宋" w:cs="Arial"/>
          <w:b w:val="0"/>
          <w:lang w:eastAsia="zh-CN"/>
        </w:rPr>
        <w:t>“</w:t>
      </w:r>
      <w:r>
        <w:rPr>
          <w:rFonts w:hint="eastAsia" w:ascii="仿宋" w:hAnsi="仿宋" w:eastAsia="仿宋" w:cs="宋体"/>
          <w:b w:val="0"/>
          <w:lang w:eastAsia="zh-CN"/>
        </w:rPr>
        <w:t>三公</w:t>
      </w:r>
      <w:r>
        <w:rPr>
          <w:rFonts w:ascii="仿宋" w:hAnsi="仿宋" w:eastAsia="仿宋" w:cs="Arial"/>
          <w:b w:val="0"/>
          <w:lang w:eastAsia="zh-CN"/>
        </w:rPr>
        <w:t>”</w:t>
      </w:r>
      <w:r>
        <w:rPr>
          <w:rFonts w:hint="eastAsia" w:ascii="仿宋" w:hAnsi="仿宋" w:eastAsia="仿宋" w:cs="宋体"/>
          <w:b w:val="0"/>
          <w:lang w:eastAsia="zh-CN"/>
        </w:rPr>
        <w:t>经费控制。严格编制政府采购年初预算和计划，规范各类资产的购置审批制度、资产出租和收入管理制度、资产采购制度、使用管理制度、资产处置和报废审批制度、资产管理岗位职责制度等，加强单位内部的资产管理工作。提升会计信息化水平，进一步规范和加强各类资产的会计核算，夯实资产核算的各项基础工作，强化资产账实相符，确保资产信息的全面性、完整性和准确性。严格控制</w:t>
      </w:r>
      <w:r>
        <w:rPr>
          <w:rFonts w:ascii="仿宋" w:hAnsi="仿宋" w:eastAsia="仿宋" w:cs="Arial"/>
          <w:b w:val="0"/>
          <w:lang w:eastAsia="zh-CN"/>
        </w:rPr>
        <w:t>“</w:t>
      </w:r>
      <w:r>
        <w:rPr>
          <w:rFonts w:hint="eastAsia" w:ascii="仿宋" w:hAnsi="仿宋" w:eastAsia="仿宋" w:cs="宋体"/>
          <w:b w:val="0"/>
          <w:lang w:eastAsia="zh-CN"/>
        </w:rPr>
        <w:t>三公</w:t>
      </w:r>
      <w:r>
        <w:rPr>
          <w:rFonts w:ascii="仿宋" w:hAnsi="仿宋" w:eastAsia="仿宋" w:cs="Arial"/>
          <w:b w:val="0"/>
          <w:lang w:eastAsia="zh-CN"/>
        </w:rPr>
        <w:t>”</w:t>
      </w:r>
      <w:r>
        <w:rPr>
          <w:rFonts w:hint="eastAsia" w:ascii="仿宋" w:hAnsi="仿宋" w:eastAsia="仿宋" w:cs="宋体"/>
          <w:b w:val="0"/>
          <w:lang w:eastAsia="zh-CN"/>
        </w:rPr>
        <w:t>经费的规模和比例，把关</w:t>
      </w:r>
      <w:r>
        <w:rPr>
          <w:rFonts w:ascii="仿宋" w:hAnsi="仿宋" w:eastAsia="仿宋" w:cs="Arial"/>
          <w:b w:val="0"/>
          <w:lang w:eastAsia="zh-CN"/>
        </w:rPr>
        <w:t>“</w:t>
      </w:r>
      <w:r>
        <w:rPr>
          <w:rFonts w:hint="eastAsia" w:ascii="仿宋" w:hAnsi="仿宋" w:eastAsia="仿宋" w:cs="宋体"/>
          <w:b w:val="0"/>
          <w:lang w:eastAsia="zh-CN"/>
        </w:rPr>
        <w:t>三公</w:t>
      </w:r>
      <w:r>
        <w:rPr>
          <w:rFonts w:ascii="仿宋" w:hAnsi="仿宋" w:eastAsia="仿宋" w:cs="Arial"/>
          <w:b w:val="0"/>
          <w:lang w:eastAsia="zh-CN"/>
        </w:rPr>
        <w:t>”</w:t>
      </w:r>
      <w:r>
        <w:rPr>
          <w:rFonts w:hint="eastAsia" w:ascii="仿宋" w:hAnsi="仿宋" w:eastAsia="仿宋" w:cs="宋体"/>
          <w:b w:val="0"/>
          <w:lang w:eastAsia="zh-CN"/>
        </w:rPr>
        <w:t>经费支出的审核、审批，杜绝挪用和挤占其他预算资金行为；进一步细化</w:t>
      </w:r>
      <w:r>
        <w:rPr>
          <w:rFonts w:ascii="仿宋" w:hAnsi="仿宋" w:eastAsia="仿宋" w:cs="Arial"/>
          <w:b w:val="0"/>
          <w:lang w:eastAsia="zh-CN"/>
        </w:rPr>
        <w:t>“</w:t>
      </w:r>
      <w:r>
        <w:rPr>
          <w:rFonts w:hint="eastAsia" w:ascii="仿宋" w:hAnsi="仿宋" w:eastAsia="仿宋" w:cs="宋体"/>
          <w:b w:val="0"/>
          <w:lang w:eastAsia="zh-CN"/>
        </w:rPr>
        <w:t>三公</w:t>
      </w:r>
      <w:r>
        <w:rPr>
          <w:rFonts w:ascii="仿宋" w:hAnsi="仿宋" w:eastAsia="仿宋" w:cs="Arial"/>
          <w:b w:val="0"/>
          <w:lang w:eastAsia="zh-CN"/>
        </w:rPr>
        <w:t>”</w:t>
      </w:r>
      <w:r>
        <w:rPr>
          <w:rFonts w:hint="eastAsia" w:ascii="仿宋" w:hAnsi="仿宋" w:eastAsia="仿宋" w:cs="宋体"/>
          <w:b w:val="0"/>
          <w:lang w:eastAsia="zh-CN"/>
        </w:rPr>
        <w:t>经费的管理，合理压缩</w:t>
      </w:r>
      <w:r>
        <w:rPr>
          <w:rFonts w:ascii="仿宋" w:hAnsi="仿宋" w:eastAsia="仿宋" w:cs="Arial"/>
          <w:b w:val="0"/>
          <w:lang w:eastAsia="zh-CN"/>
        </w:rPr>
        <w:t>“</w:t>
      </w:r>
      <w:r>
        <w:rPr>
          <w:rFonts w:hint="eastAsia" w:ascii="仿宋" w:hAnsi="仿宋" w:eastAsia="仿宋" w:cs="宋体"/>
          <w:b w:val="0"/>
          <w:lang w:eastAsia="zh-CN"/>
        </w:rPr>
        <w:t>三公</w:t>
      </w:r>
      <w:r>
        <w:rPr>
          <w:rFonts w:ascii="仿宋" w:hAnsi="仿宋" w:eastAsia="仿宋" w:cs="Arial"/>
          <w:b w:val="0"/>
          <w:lang w:eastAsia="zh-CN"/>
        </w:rPr>
        <w:t>”</w:t>
      </w:r>
      <w:r>
        <w:rPr>
          <w:rFonts w:hint="eastAsia" w:ascii="仿宋" w:hAnsi="仿宋" w:eastAsia="仿宋" w:cs="宋体"/>
          <w:b w:val="0"/>
          <w:lang w:eastAsia="zh-CN"/>
        </w:rPr>
        <w:t>经费支出。</w:t>
      </w:r>
      <w:r>
        <w:rPr>
          <w:rFonts w:hint="eastAsia" w:ascii="仿宋" w:hAnsi="仿宋" w:eastAsia="仿宋" w:cs="仿宋_GB2312"/>
          <w:b w:val="0"/>
          <w:lang w:eastAsia="zh-CN"/>
        </w:rPr>
        <w:t>3</w:t>
      </w:r>
      <w:r>
        <w:rPr>
          <w:rFonts w:hint="eastAsia" w:ascii="仿宋" w:hAnsi="仿宋" w:eastAsia="仿宋" w:cs="宋体"/>
          <w:b w:val="0"/>
          <w:lang w:eastAsia="zh-CN"/>
        </w:rPr>
        <w:t>、对相关财务人员进一步加强培训，特别要针对《中华人民共和国预算法》、《行政单位会计制度》、《政府会计准则</w:t>
      </w:r>
      <w:r>
        <w:rPr>
          <w:rFonts w:hint="eastAsia" w:ascii="仿宋" w:hAnsi="仿宋" w:eastAsia="仿宋" w:cs="仿宋_GB2312"/>
          <w:b w:val="0"/>
          <w:lang w:eastAsia="zh-CN"/>
        </w:rPr>
        <w:t>-</w:t>
      </w:r>
      <w:r>
        <w:rPr>
          <w:rFonts w:hint="eastAsia" w:ascii="仿宋" w:hAnsi="仿宋" w:eastAsia="仿宋" w:cs="宋体"/>
          <w:b w:val="0"/>
          <w:lang w:eastAsia="zh-CN"/>
        </w:rPr>
        <w:t>基本准则解析暨新预算法下的预算管理》学习培训，规范部门预算收支核算，切实提高部门预算收支管理水平</w:t>
      </w:r>
      <w:r>
        <w:rPr>
          <w:rFonts w:hint="eastAsia" w:ascii="仿宋" w:hAnsi="仿宋" w:eastAsia="仿宋" w:cs="仿宋_GB2312"/>
          <w:b w:val="0"/>
          <w:lang w:eastAsia="zh-CN"/>
        </w:rPr>
        <w:t>。</w:t>
      </w:r>
    </w:p>
    <w:p w14:paraId="40102D11">
      <w:pPr>
        <w:pStyle w:val="2"/>
        <w:ind w:firstLine="0" w:firstLineChars="0"/>
        <w:rPr>
          <w:rFonts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t>九、部门整体支出绩效自评结果拟应用和公开情况</w:t>
      </w:r>
    </w:p>
    <w:p w14:paraId="5366F744">
      <w:pPr>
        <w:ind w:firstLine="320" w:firstLineChars="100"/>
        <w:rPr>
          <w:rFonts w:ascii="仿宋" w:hAnsi="仿宋" w:eastAsia="仿宋" w:cs="仿宋_GB2312"/>
          <w:color w:val="auto"/>
          <w:kern w:val="44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kern w:val="44"/>
          <w:sz w:val="32"/>
          <w:szCs w:val="32"/>
          <w:lang w:eastAsia="zh-CN"/>
        </w:rPr>
        <w:t>经自评，2024年度本单位部门整体支出绩效评价结论为“优”，自查评分为100分，拟于政府网公开并接受社会监督。</w:t>
      </w:r>
    </w:p>
    <w:p w14:paraId="48600343">
      <w:pPr>
        <w:pStyle w:val="2"/>
        <w:ind w:firstLine="0" w:firstLineChars="0"/>
        <w:rPr>
          <w:rFonts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t>十、其他需要说明的情况</w:t>
      </w:r>
    </w:p>
    <w:p w14:paraId="04E5883C">
      <w:pPr>
        <w:ind w:firstLine="640" w:firstLineChars="200"/>
        <w:rPr>
          <w:rFonts w:ascii="仿宋" w:hAnsi="仿宋" w:eastAsia="仿宋"/>
          <w:lang w:eastAsia="zh-CN"/>
        </w:rPr>
      </w:pPr>
      <w:r>
        <w:rPr>
          <w:rFonts w:hint="eastAsia" w:ascii="仿宋" w:hAnsi="仿宋" w:eastAsia="仿宋" w:cs="仿宋_GB2312"/>
          <w:color w:val="auto"/>
          <w:kern w:val="44"/>
          <w:sz w:val="32"/>
          <w:szCs w:val="32"/>
          <w:lang w:eastAsia="zh-CN"/>
        </w:rPr>
        <w:t>无。</w:t>
      </w:r>
    </w:p>
    <w:p w14:paraId="5DF3876F">
      <w:pPr>
        <w:spacing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</w:p>
    <w:p w14:paraId="7B018769">
      <w:pPr>
        <w:spacing w:line="60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</w:p>
    <w:p w14:paraId="38EB8272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报告需要以下附件：</w:t>
      </w:r>
    </w:p>
    <w:p w14:paraId="225103D8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、部门整体支出绩效评价基础数据表</w:t>
      </w:r>
    </w:p>
    <w:p w14:paraId="2D5F09FE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、部门整体支出绩效自评表</w:t>
      </w:r>
    </w:p>
    <w:p w14:paraId="3DC55891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、项目支出绩效自评表（每个一级项目支出一张表）</w:t>
      </w:r>
    </w:p>
    <w:p w14:paraId="38DB655B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、政府性基金预算财政拨款支出情况表</w:t>
      </w:r>
    </w:p>
    <w:p w14:paraId="025E1461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5、国有资本经营预算财政拨款支出情况表</w:t>
      </w:r>
    </w:p>
    <w:p w14:paraId="7F93E1D6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、社会保险基金预算支出情况表</w:t>
      </w:r>
    </w:p>
    <w:p w14:paraId="1E2A5D5A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 w14:paraId="2C374043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 w14:paraId="4E635FC8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 w14:paraId="022273B4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 w14:paraId="1FC077A6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 w14:paraId="63E560F2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 w14:paraId="7535FF74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 w14:paraId="321D32DF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 w14:paraId="20492E40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 w14:paraId="6E35B585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 w14:paraId="14165D71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 w14:paraId="74855EC6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 w14:paraId="04C0209D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434C8251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2AEFF47E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358ECC99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7F14004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6B28D14F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759DE660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58DC306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  <w:t>附件5</w:t>
      </w:r>
    </w:p>
    <w:p w14:paraId="644C1F82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  <w:lang w:eastAsia="zh-CN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  <w:lang w:eastAsia="zh-CN"/>
        </w:rPr>
        <w:t>年度</w:t>
      </w:r>
      <w:bookmarkStart w:id="11" w:name="OLE_LINK32"/>
      <w:bookmarkStart w:id="12" w:name="OLE_LINK31"/>
      <w:r>
        <w:rPr>
          <w:rFonts w:hint="eastAsia" w:ascii="Times New Roman" w:hAnsi="Times New Roman" w:cs="Times New Roman" w:eastAsiaTheme="minorEastAsia"/>
          <w:position w:val="10"/>
          <w:sz w:val="42"/>
          <w:szCs w:val="42"/>
          <w:lang w:eastAsia="zh-CN"/>
        </w:rPr>
        <w:t>文昌阁人居环境提质改造</w:t>
      </w:r>
      <w:bookmarkEnd w:id="11"/>
      <w:bookmarkEnd w:id="12"/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  <w:lang w:eastAsia="zh-CN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  <w:lang w:eastAsia="zh-CN"/>
        </w:rPr>
        <w:t>项目支出</w:t>
      </w:r>
    </w:p>
    <w:p w14:paraId="1A3DD03E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  <w:lang w:eastAsia="zh-CN"/>
        </w:rPr>
      </w:pPr>
      <w:r>
        <w:rPr>
          <w:rFonts w:ascii="黑体" w:hAnsi="黑体" w:eastAsia="黑体" w:cs="黑体"/>
          <w:spacing w:val="10"/>
          <w:sz w:val="42"/>
          <w:szCs w:val="42"/>
          <w:lang w:eastAsia="zh-CN"/>
        </w:rPr>
        <w:t>绩效自评报告</w:t>
      </w:r>
    </w:p>
    <w:p w14:paraId="1A37F9E6">
      <w:pPr>
        <w:spacing w:line="246" w:lineRule="auto"/>
        <w:rPr>
          <w:lang w:eastAsia="zh-CN"/>
        </w:rPr>
      </w:pPr>
    </w:p>
    <w:p w14:paraId="2ADA6FA1">
      <w:pPr>
        <w:spacing w:line="246" w:lineRule="auto"/>
        <w:rPr>
          <w:lang w:eastAsia="zh-CN"/>
        </w:rPr>
      </w:pPr>
    </w:p>
    <w:p w14:paraId="0760D3FE">
      <w:pPr>
        <w:spacing w:line="246" w:lineRule="auto"/>
        <w:rPr>
          <w:lang w:eastAsia="zh-CN"/>
        </w:rPr>
      </w:pPr>
    </w:p>
    <w:p w14:paraId="23F6B503">
      <w:pPr>
        <w:spacing w:line="246" w:lineRule="auto"/>
        <w:rPr>
          <w:lang w:eastAsia="zh-CN"/>
        </w:rPr>
      </w:pPr>
    </w:p>
    <w:p w14:paraId="122765DB">
      <w:pPr>
        <w:spacing w:line="246" w:lineRule="auto"/>
        <w:rPr>
          <w:lang w:eastAsia="zh-CN"/>
        </w:rPr>
      </w:pPr>
    </w:p>
    <w:p w14:paraId="7A5B9848">
      <w:pPr>
        <w:spacing w:line="246" w:lineRule="auto"/>
        <w:rPr>
          <w:lang w:eastAsia="zh-CN"/>
        </w:rPr>
      </w:pPr>
    </w:p>
    <w:p w14:paraId="5B81DDD3">
      <w:pPr>
        <w:spacing w:line="246" w:lineRule="auto"/>
        <w:rPr>
          <w:lang w:eastAsia="zh-CN"/>
        </w:rPr>
      </w:pPr>
    </w:p>
    <w:p w14:paraId="7EC0D612">
      <w:pPr>
        <w:spacing w:line="246" w:lineRule="auto"/>
        <w:rPr>
          <w:lang w:eastAsia="zh-CN"/>
        </w:rPr>
      </w:pPr>
    </w:p>
    <w:p w14:paraId="3B91C40D">
      <w:pPr>
        <w:spacing w:line="246" w:lineRule="auto"/>
        <w:rPr>
          <w:lang w:eastAsia="zh-CN"/>
        </w:rPr>
      </w:pPr>
    </w:p>
    <w:p w14:paraId="2CA35446">
      <w:pPr>
        <w:spacing w:line="246" w:lineRule="auto"/>
        <w:rPr>
          <w:lang w:eastAsia="zh-CN"/>
        </w:rPr>
      </w:pPr>
    </w:p>
    <w:p w14:paraId="08DE2748">
      <w:pPr>
        <w:spacing w:line="246" w:lineRule="auto"/>
        <w:rPr>
          <w:lang w:eastAsia="zh-CN"/>
        </w:rPr>
      </w:pPr>
    </w:p>
    <w:p w14:paraId="6B35CC06">
      <w:pPr>
        <w:spacing w:line="246" w:lineRule="auto"/>
        <w:rPr>
          <w:lang w:eastAsia="zh-CN"/>
        </w:rPr>
      </w:pPr>
    </w:p>
    <w:p w14:paraId="44E2FDAC">
      <w:pPr>
        <w:spacing w:line="246" w:lineRule="auto"/>
        <w:rPr>
          <w:lang w:eastAsia="zh-CN"/>
        </w:rPr>
      </w:pPr>
    </w:p>
    <w:p w14:paraId="140C87EE">
      <w:pPr>
        <w:spacing w:line="246" w:lineRule="auto"/>
        <w:rPr>
          <w:lang w:eastAsia="zh-CN"/>
        </w:rPr>
      </w:pPr>
    </w:p>
    <w:p w14:paraId="32D32C14">
      <w:pPr>
        <w:spacing w:line="246" w:lineRule="auto"/>
        <w:rPr>
          <w:lang w:eastAsia="zh-CN"/>
        </w:rPr>
      </w:pPr>
    </w:p>
    <w:p w14:paraId="5F488D1C">
      <w:pPr>
        <w:spacing w:line="246" w:lineRule="auto"/>
        <w:rPr>
          <w:lang w:eastAsia="zh-CN"/>
        </w:rPr>
      </w:pPr>
    </w:p>
    <w:p w14:paraId="6B876F25">
      <w:pPr>
        <w:spacing w:line="246" w:lineRule="auto"/>
        <w:rPr>
          <w:lang w:eastAsia="zh-CN"/>
        </w:rPr>
      </w:pPr>
    </w:p>
    <w:p w14:paraId="19CBBF5F">
      <w:pPr>
        <w:spacing w:line="247" w:lineRule="auto"/>
        <w:rPr>
          <w:lang w:eastAsia="zh-CN"/>
        </w:rPr>
      </w:pPr>
    </w:p>
    <w:p w14:paraId="60E97A2F">
      <w:pPr>
        <w:spacing w:line="247" w:lineRule="auto"/>
        <w:rPr>
          <w:lang w:eastAsia="zh-CN"/>
        </w:rPr>
      </w:pPr>
    </w:p>
    <w:p w14:paraId="22743E12">
      <w:pPr>
        <w:spacing w:line="247" w:lineRule="auto"/>
        <w:rPr>
          <w:lang w:eastAsia="zh-CN"/>
        </w:rPr>
      </w:pPr>
    </w:p>
    <w:p w14:paraId="7542FC0F">
      <w:pPr>
        <w:spacing w:line="247" w:lineRule="auto"/>
        <w:rPr>
          <w:lang w:eastAsia="zh-CN"/>
        </w:rPr>
      </w:pPr>
    </w:p>
    <w:p w14:paraId="0BE31637">
      <w:pPr>
        <w:spacing w:line="247" w:lineRule="auto"/>
        <w:rPr>
          <w:lang w:eastAsia="zh-CN"/>
        </w:rPr>
      </w:pPr>
    </w:p>
    <w:p w14:paraId="274DBE95">
      <w:pPr>
        <w:spacing w:line="247" w:lineRule="auto"/>
        <w:rPr>
          <w:lang w:eastAsia="zh-CN"/>
        </w:rPr>
      </w:pPr>
    </w:p>
    <w:p w14:paraId="5716FF88">
      <w:pPr>
        <w:spacing w:line="247" w:lineRule="auto"/>
        <w:rPr>
          <w:lang w:eastAsia="zh-CN"/>
        </w:rPr>
      </w:pPr>
    </w:p>
    <w:p w14:paraId="1BBB462F">
      <w:pPr>
        <w:spacing w:line="247" w:lineRule="auto"/>
        <w:rPr>
          <w:lang w:eastAsia="zh-CN"/>
        </w:rPr>
      </w:pPr>
    </w:p>
    <w:p w14:paraId="183FEEEE">
      <w:pPr>
        <w:spacing w:line="247" w:lineRule="auto"/>
        <w:rPr>
          <w:lang w:eastAsia="zh-CN"/>
        </w:rPr>
      </w:pPr>
    </w:p>
    <w:p w14:paraId="37ADC7F3">
      <w:pPr>
        <w:spacing w:line="247" w:lineRule="auto"/>
        <w:rPr>
          <w:lang w:eastAsia="zh-CN"/>
        </w:rPr>
      </w:pPr>
    </w:p>
    <w:p w14:paraId="122359A0">
      <w:pPr>
        <w:spacing w:line="247" w:lineRule="auto"/>
        <w:rPr>
          <w:lang w:eastAsia="zh-CN"/>
        </w:rPr>
      </w:pPr>
    </w:p>
    <w:p w14:paraId="19284040">
      <w:pPr>
        <w:pStyle w:val="4"/>
        <w:spacing w:before="89" w:line="221" w:lineRule="auto"/>
        <w:ind w:left="2270"/>
        <w:rPr>
          <w:sz w:val="27"/>
          <w:szCs w:val="27"/>
          <w:lang w:eastAsia="zh-CN"/>
        </w:rPr>
      </w:pPr>
      <w:r>
        <w:rPr>
          <w:spacing w:val="-22"/>
          <w:sz w:val="27"/>
          <w:szCs w:val="27"/>
          <w:lang w:eastAsia="zh-CN"/>
        </w:rPr>
        <w:t>部门</w:t>
      </w:r>
      <w:r>
        <w:rPr>
          <w:rFonts w:hint="eastAsia"/>
          <w:spacing w:val="-22"/>
          <w:sz w:val="27"/>
          <w:szCs w:val="27"/>
          <w:lang w:eastAsia="zh-CN"/>
        </w:rPr>
        <w:t>（单位）</w:t>
      </w:r>
      <w:r>
        <w:rPr>
          <w:spacing w:val="-22"/>
          <w:sz w:val="27"/>
          <w:szCs w:val="27"/>
          <w:lang w:eastAsia="zh-CN"/>
        </w:rPr>
        <w:t>名称</w:t>
      </w:r>
      <w:r>
        <w:rPr>
          <w:spacing w:val="-54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：</w:t>
      </w:r>
      <w:r>
        <w:rPr>
          <w:spacing w:val="-22"/>
          <w:sz w:val="27"/>
          <w:szCs w:val="27"/>
          <w:u w:val="single"/>
          <w:lang w:eastAsia="zh-CN"/>
        </w:rPr>
        <w:t xml:space="preserve">  </w:t>
      </w:r>
      <w:r>
        <w:rPr>
          <w:rFonts w:hint="eastAsia"/>
          <w:spacing w:val="-22"/>
          <w:sz w:val="27"/>
          <w:szCs w:val="27"/>
          <w:u w:val="single"/>
          <w:lang w:eastAsia="zh-CN"/>
        </w:rPr>
        <w:t>归义街道办事处</w:t>
      </w:r>
      <w:r>
        <w:rPr>
          <w:spacing w:val="-22"/>
          <w:sz w:val="27"/>
          <w:szCs w:val="27"/>
          <w:u w:val="single"/>
          <w:lang w:eastAsia="zh-CN"/>
        </w:rPr>
        <w:t>(</w:t>
      </w:r>
      <w:r>
        <w:rPr>
          <w:spacing w:val="68"/>
          <w:sz w:val="27"/>
          <w:szCs w:val="27"/>
          <w:u w:val="single"/>
          <w:lang w:eastAsia="zh-CN"/>
        </w:rPr>
        <w:t xml:space="preserve"> </w:t>
      </w:r>
      <w:r>
        <w:rPr>
          <w:spacing w:val="-22"/>
          <w:sz w:val="27"/>
          <w:szCs w:val="27"/>
          <w:u w:val="single"/>
          <w:lang w:eastAsia="zh-CN"/>
        </w:rPr>
        <w:t>盖</w:t>
      </w:r>
      <w:r>
        <w:rPr>
          <w:spacing w:val="64"/>
          <w:sz w:val="27"/>
          <w:szCs w:val="27"/>
          <w:u w:val="single"/>
          <w:lang w:eastAsia="zh-CN"/>
        </w:rPr>
        <w:t xml:space="preserve"> </w:t>
      </w:r>
      <w:r>
        <w:rPr>
          <w:spacing w:val="-22"/>
          <w:sz w:val="27"/>
          <w:szCs w:val="27"/>
          <w:u w:val="single"/>
          <w:lang w:eastAsia="zh-CN"/>
        </w:rPr>
        <w:t>章</w:t>
      </w:r>
      <w:r>
        <w:rPr>
          <w:spacing w:val="55"/>
          <w:sz w:val="27"/>
          <w:szCs w:val="27"/>
          <w:u w:val="single"/>
          <w:lang w:eastAsia="zh-CN"/>
        </w:rPr>
        <w:t xml:space="preserve"> </w:t>
      </w:r>
      <w:r>
        <w:rPr>
          <w:spacing w:val="-22"/>
          <w:sz w:val="27"/>
          <w:szCs w:val="27"/>
          <w:u w:val="single"/>
          <w:lang w:eastAsia="zh-CN"/>
        </w:rPr>
        <w:t>)</w:t>
      </w:r>
      <w:r>
        <w:rPr>
          <w:sz w:val="27"/>
          <w:szCs w:val="27"/>
          <w:u w:val="single"/>
          <w:lang w:eastAsia="zh-CN"/>
        </w:rPr>
        <w:t xml:space="preserve">     </w:t>
      </w:r>
    </w:p>
    <w:p w14:paraId="017D9C5F">
      <w:pPr>
        <w:pStyle w:val="4"/>
        <w:spacing w:before="289" w:line="610" w:lineRule="exact"/>
        <w:ind w:left="3490"/>
        <w:rPr>
          <w:sz w:val="27"/>
          <w:szCs w:val="27"/>
          <w:lang w:eastAsia="zh-CN"/>
        </w:rPr>
      </w:pPr>
      <w:r>
        <w:rPr>
          <w:rFonts w:hint="eastAsia"/>
          <w:spacing w:val="-13"/>
          <w:position w:val="26"/>
          <w:sz w:val="27"/>
          <w:szCs w:val="27"/>
          <w:lang w:eastAsia="zh-CN"/>
        </w:rPr>
        <w:t>2025</w:t>
      </w:r>
      <w:r>
        <w:rPr>
          <w:spacing w:val="-13"/>
          <w:position w:val="26"/>
          <w:sz w:val="27"/>
          <w:szCs w:val="27"/>
          <w:lang w:eastAsia="zh-CN"/>
        </w:rPr>
        <w:t xml:space="preserve">年  </w:t>
      </w:r>
      <w:r>
        <w:rPr>
          <w:rFonts w:hint="eastAsia"/>
          <w:spacing w:val="-13"/>
          <w:position w:val="26"/>
          <w:sz w:val="27"/>
          <w:szCs w:val="27"/>
          <w:lang w:eastAsia="zh-CN"/>
        </w:rPr>
        <w:t>6</w:t>
      </w:r>
      <w:r>
        <w:rPr>
          <w:spacing w:val="-13"/>
          <w:position w:val="26"/>
          <w:sz w:val="27"/>
          <w:szCs w:val="27"/>
          <w:lang w:eastAsia="zh-CN"/>
        </w:rPr>
        <w:t xml:space="preserve"> 月</w:t>
      </w:r>
      <w:r>
        <w:rPr>
          <w:spacing w:val="12"/>
          <w:position w:val="26"/>
          <w:sz w:val="27"/>
          <w:szCs w:val="27"/>
          <w:lang w:eastAsia="zh-CN"/>
        </w:rPr>
        <w:t xml:space="preserve"> </w:t>
      </w:r>
      <w:r>
        <w:rPr>
          <w:rFonts w:hint="eastAsia"/>
          <w:spacing w:val="12"/>
          <w:position w:val="26"/>
          <w:sz w:val="27"/>
          <w:szCs w:val="27"/>
          <w:lang w:eastAsia="zh-CN"/>
        </w:rPr>
        <w:t>20</w:t>
      </w:r>
      <w:r>
        <w:rPr>
          <w:spacing w:val="12"/>
          <w:position w:val="26"/>
          <w:sz w:val="27"/>
          <w:szCs w:val="27"/>
          <w:lang w:eastAsia="zh-CN"/>
        </w:rPr>
        <w:t xml:space="preserve">  </w:t>
      </w:r>
      <w:r>
        <w:rPr>
          <w:spacing w:val="-13"/>
          <w:position w:val="26"/>
          <w:sz w:val="27"/>
          <w:szCs w:val="27"/>
          <w:lang w:eastAsia="zh-CN"/>
        </w:rPr>
        <w:t>日</w:t>
      </w:r>
    </w:p>
    <w:p w14:paraId="2DB1633B">
      <w:pPr>
        <w:pStyle w:val="4"/>
        <w:spacing w:before="1" w:line="223" w:lineRule="auto"/>
        <w:ind w:left="3560"/>
        <w:rPr>
          <w:sz w:val="24"/>
          <w:szCs w:val="24"/>
          <w:lang w:eastAsia="zh-CN"/>
        </w:rPr>
      </w:pPr>
      <w:r>
        <w:rPr>
          <w:spacing w:val="7"/>
          <w:sz w:val="24"/>
          <w:szCs w:val="24"/>
          <w:lang w:eastAsia="zh-CN"/>
        </w:rPr>
        <w:t>(此面为封面)</w:t>
      </w:r>
    </w:p>
    <w:p w14:paraId="4FF8CF86">
      <w:pPr>
        <w:spacing w:line="223" w:lineRule="auto"/>
        <w:rPr>
          <w:sz w:val="24"/>
          <w:szCs w:val="24"/>
          <w:lang w:eastAsia="zh-CN"/>
        </w:rPr>
        <w:sectPr>
          <w:footerReference r:id="rId10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4965EDD">
      <w:pPr>
        <w:spacing w:before="1" w:line="220" w:lineRule="auto"/>
        <w:ind w:left="3069"/>
        <w:rPr>
          <w:rFonts w:ascii="黑体" w:hAnsi="黑体" w:eastAsia="黑体" w:cs="黑体"/>
          <w:spacing w:val="10"/>
          <w:sz w:val="42"/>
          <w:szCs w:val="42"/>
          <w:lang w:eastAsia="zh-CN"/>
        </w:rPr>
      </w:pPr>
      <w:r>
        <w:rPr>
          <w:rFonts w:hint="eastAsia" w:ascii="黑体" w:hAnsi="黑体" w:eastAsia="黑体" w:cs="黑体"/>
          <w:spacing w:val="10"/>
          <w:sz w:val="42"/>
          <w:szCs w:val="42"/>
          <w:lang w:eastAsia="zh-CN"/>
        </w:rPr>
        <w:t>项目支出绩效评价报告</w:t>
      </w:r>
    </w:p>
    <w:p w14:paraId="37D30FB5">
      <w:pPr>
        <w:spacing w:line="560" w:lineRule="exact"/>
        <w:ind w:firstLine="562" w:firstLineChars="200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一</w:t>
      </w:r>
      <w:r>
        <w:rPr>
          <w:rFonts w:hint="eastAsia" w:ascii="黑体" w:hAnsi="黑体" w:eastAsia="黑体" w:cs="黑体"/>
          <w:spacing w:val="-15"/>
          <w:sz w:val="31"/>
          <w:szCs w:val="31"/>
          <w:lang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  <w:t>、项目支出基本情况</w:t>
      </w:r>
    </w:p>
    <w:p w14:paraId="1E7C78FF">
      <w:pPr>
        <w:numPr>
          <w:ilvl w:val="0"/>
          <w:numId w:val="3"/>
        </w:numPr>
        <w:spacing w:line="560" w:lineRule="exact"/>
        <w:ind w:firstLine="844" w:firstLineChars="300"/>
        <w:textAlignment w:val="auto"/>
        <w:outlineLvl w:val="0"/>
        <w:rPr>
          <w:rFonts w:ascii="宋体" w:hAnsi="宋体" w:eastAsia="宋体" w:cs="宋体"/>
          <w:spacing w:val="-15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</w:rPr>
        <w:t>项目支出概况。</w:t>
      </w:r>
    </w:p>
    <w:p w14:paraId="69D7C157">
      <w:pPr>
        <w:spacing w:line="560" w:lineRule="exact"/>
        <w:ind w:firstLine="840" w:firstLineChars="300"/>
        <w:outlineLvl w:val="0"/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  <w:t>归义街道地处汨罗市中部，东与罗江镇接壤，南靠古培镇，西抵汨罗镇，北依汨罗江，行政区域面积34.5平方千米。2015年12月，城关镇、城郊乡合并设立归义镇，归义镇辖20个行政社区。归义镇紧紧围绕党中央、省、市各级决策部署，积极采取强有力的工作举措，坚持分类施策，制定发展规划，积极争取项目，多方筹措资金，文明城市创建工作取得阶段性成果。</w:t>
      </w:r>
    </w:p>
    <w:p w14:paraId="39C4CFFF">
      <w:pPr>
        <w:spacing w:line="560" w:lineRule="exact"/>
        <w:ind w:firstLine="560" w:firstLineChars="200"/>
        <w:outlineLvl w:val="0"/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  <w:t>本镇2024年实施项目1个，涉及金额20万元，实施项目为人居环境提 质改造。建设该项目是确保居民居住周围环境卫生提质，减少疾病传播，确保居民身体健康、方便出行、满足居民日常的生产生活的需要。</w:t>
      </w:r>
    </w:p>
    <w:p w14:paraId="5227363B">
      <w:pPr>
        <w:spacing w:line="560" w:lineRule="exact"/>
        <w:ind w:firstLine="560" w:firstLineChars="200"/>
        <w:outlineLvl w:val="0"/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  <w:t>此项目由归义街道组织实施，设置工程监督组与验收组、综合协调组。工程监督组与验收组负责组织施工及外包工程的监工,协调组负责施工环境协调保障,确保工程顺利进行,施工质量达到协议内容要求。</w:t>
      </w:r>
    </w:p>
    <w:p w14:paraId="5BEDD036">
      <w:pPr>
        <w:numPr>
          <w:ilvl w:val="0"/>
          <w:numId w:val="4"/>
        </w:numPr>
        <w:spacing w:line="560" w:lineRule="exact"/>
        <w:ind w:firstLine="561" w:firstLineChars="200"/>
        <w:textAlignment w:val="auto"/>
        <w:outlineLvl w:val="0"/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-15"/>
          <w:sz w:val="31"/>
          <w:szCs w:val="31"/>
          <w:lang w:eastAsia="zh-CN"/>
        </w:rPr>
        <w:t>项目资金使用管理情况。</w:t>
      </w:r>
    </w:p>
    <w:p w14:paraId="1C4CAA7B">
      <w:pPr>
        <w:spacing w:line="560" w:lineRule="exact"/>
        <w:ind w:firstLine="560" w:firstLineChars="200"/>
        <w:outlineLvl w:val="0"/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  <w:t>1、坚决做到专款专用。专项资金的使用坚持科学安排、合理配置、专款专用、严格监管。</w:t>
      </w:r>
    </w:p>
    <w:p w14:paraId="007D4702">
      <w:pPr>
        <w:spacing w:line="560" w:lineRule="exact"/>
        <w:ind w:firstLine="560" w:firstLineChars="200"/>
        <w:outlineLvl w:val="0"/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  <w:t>2、建立项目资金审查审批程序。项目资金的使用都有相关负责人签字，相互监督，共同管理好了项目资金。</w:t>
      </w:r>
    </w:p>
    <w:p w14:paraId="4940332F">
      <w:pPr>
        <w:spacing w:line="560" w:lineRule="exact"/>
        <w:ind w:firstLine="561" w:firstLineChars="200"/>
        <w:outlineLvl w:val="0"/>
        <w:rPr>
          <w:rFonts w:hint="eastAsia" w:ascii="CESI仿宋-GB2312" w:hAnsi="CESI仿宋-GB2312" w:eastAsia="CESI仿宋-GB2312" w:cs="CESI仿宋-GB2312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-15"/>
          <w:sz w:val="31"/>
          <w:szCs w:val="31"/>
          <w:lang w:eastAsia="zh-CN"/>
        </w:rPr>
        <w:t>(三)项目支出绩效目标完成程度。</w:t>
      </w:r>
    </w:p>
    <w:p w14:paraId="29BA8938">
      <w:pPr>
        <w:spacing w:line="560" w:lineRule="exact"/>
        <w:ind w:firstLine="840" w:firstLineChars="300"/>
        <w:outlineLvl w:val="0"/>
        <w:rPr>
          <w:rFonts w:hint="eastAsia" w:ascii="CESI仿宋-GB2312" w:hAnsi="CESI仿宋-GB2312" w:eastAsia="CESI仿宋-GB2312" w:cs="CESI仿宋-GB2312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  <w:t>工程顺利完成,施工质量达到协议内容要求。</w:t>
      </w:r>
      <w:r>
        <w:rPr>
          <w:rFonts w:hint="eastAsia" w:ascii="CESI仿宋-GB2312" w:hAnsi="CESI仿宋-GB2312" w:eastAsia="CESI仿宋-GB2312" w:cs="CESI仿宋-GB2312"/>
          <w:color w:val="000000" w:themeColor="text1"/>
          <w:spacing w:val="-15"/>
          <w:sz w:val="31"/>
          <w:szCs w:val="31"/>
          <w:lang w:eastAsia="zh-CN"/>
        </w:rPr>
        <w:t>该项目的实施，改善了居民居住周围环境卫生提质，减少疾病传播，确保居民身体健康、方便出行、满足居民日常的生产生活的需要。</w:t>
      </w:r>
    </w:p>
    <w:p w14:paraId="63C9DC01">
      <w:pPr>
        <w:spacing w:line="560" w:lineRule="exact"/>
        <w:ind w:firstLine="561" w:firstLineChars="200"/>
        <w:outlineLvl w:val="0"/>
        <w:rPr>
          <w:rFonts w:hint="eastAsia" w:ascii="CESI仿宋-GB2312" w:hAnsi="CESI仿宋-GB2312" w:eastAsia="CESI仿宋-GB2312" w:cs="CESI仿宋-GB2312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-15"/>
          <w:sz w:val="31"/>
          <w:szCs w:val="31"/>
          <w:lang w:eastAsia="zh-CN"/>
        </w:rPr>
        <w:t>二、绩效评价工作情况。</w:t>
      </w:r>
    </w:p>
    <w:p w14:paraId="02AA9EED">
      <w:pPr>
        <w:pStyle w:val="4"/>
        <w:numPr>
          <w:ilvl w:val="0"/>
          <w:numId w:val="5"/>
        </w:numPr>
        <w:spacing w:line="560" w:lineRule="exact"/>
        <w:ind w:firstLine="960" w:firstLineChars="3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绩效评价目的：全面评价项目支出对文明创建发挥积极作用。</w:t>
      </w:r>
    </w:p>
    <w:p w14:paraId="04950705">
      <w:pPr>
        <w:pStyle w:val="4"/>
        <w:numPr>
          <w:ilvl w:val="0"/>
          <w:numId w:val="5"/>
        </w:numPr>
        <w:spacing w:line="560" w:lineRule="exact"/>
        <w:ind w:firstLine="960" w:firstLineChars="3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绩效评价原则：客观评价，实事求是。</w:t>
      </w:r>
    </w:p>
    <w:p w14:paraId="02B2E4DE">
      <w:pPr>
        <w:pStyle w:val="4"/>
        <w:numPr>
          <w:ilvl w:val="0"/>
          <w:numId w:val="5"/>
        </w:numPr>
        <w:spacing w:line="560" w:lineRule="exact"/>
        <w:ind w:firstLine="960" w:firstLineChars="3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绩效评价依据：已取得成果为依据。</w:t>
      </w:r>
    </w:p>
    <w:p w14:paraId="3ECF2656">
      <w:pPr>
        <w:pStyle w:val="4"/>
        <w:spacing w:line="560" w:lineRule="exact"/>
        <w:ind w:left="630" w:leftChars="30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（四）绩效评价工作过程：前期准备，完善指标体系，整理取得成效；组织实施，对投入、产出和效果进行全方位评价；分析评价，按照评价标准逐条打分；报告出具，据实反应绩效情况。</w:t>
      </w:r>
    </w:p>
    <w:p w14:paraId="050747E9">
      <w:pPr>
        <w:spacing w:line="560" w:lineRule="exact"/>
        <w:ind w:firstLine="561" w:firstLineChars="200"/>
        <w:outlineLvl w:val="0"/>
        <w:rPr>
          <w:rFonts w:hint="eastAsia" w:ascii="CESI仿宋-GB2312" w:hAnsi="CESI仿宋-GB2312" w:eastAsia="CESI仿宋-GB2312" w:cs="CESI仿宋-GB2312"/>
          <w:b/>
          <w:bCs/>
          <w:spacing w:val="-15"/>
          <w:sz w:val="31"/>
          <w:szCs w:val="31"/>
          <w:lang w:eastAsia="zh-CN"/>
        </w:rPr>
      </w:pPr>
    </w:p>
    <w:p w14:paraId="77C8ACF6">
      <w:pPr>
        <w:spacing w:line="560" w:lineRule="exact"/>
        <w:ind w:firstLine="561" w:firstLineChars="200"/>
        <w:outlineLvl w:val="0"/>
        <w:rPr>
          <w:rFonts w:hint="eastAsia" w:ascii="CESI仿宋-GB2312" w:hAnsi="CESI仿宋-GB2312" w:eastAsia="CESI仿宋-GB2312" w:cs="CESI仿宋-GB2312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-15"/>
          <w:sz w:val="31"/>
          <w:szCs w:val="31"/>
          <w:lang w:eastAsia="zh-CN"/>
        </w:rPr>
        <w:t>三 、项目支出主要绩效及评价结论</w:t>
      </w:r>
    </w:p>
    <w:p w14:paraId="49C7E21D">
      <w:pPr>
        <w:spacing w:line="560" w:lineRule="exact"/>
        <w:ind w:firstLine="560" w:firstLineChars="200"/>
        <w:outlineLvl w:val="0"/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  <w:t>评价小组人员对该项目进行了综合评价。评价小组认为2024年度归义街道人居玶境整治项目严格按照上级要求开展工作，认真及时完成了本年度任务，评价结果为优秀。</w:t>
      </w:r>
    </w:p>
    <w:p w14:paraId="348D3B7C">
      <w:pPr>
        <w:spacing w:line="560" w:lineRule="exact"/>
        <w:ind w:firstLine="561" w:firstLineChars="200"/>
        <w:outlineLvl w:val="0"/>
        <w:rPr>
          <w:rFonts w:hint="eastAsia" w:ascii="CESI仿宋-GB2312" w:hAnsi="CESI仿宋-GB2312" w:eastAsia="CESI仿宋-GB2312" w:cs="CESI仿宋-GB2312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-15"/>
          <w:sz w:val="31"/>
          <w:szCs w:val="31"/>
          <w:lang w:eastAsia="zh-CN"/>
        </w:rPr>
        <w:t>四、 绩效评价指标分析</w:t>
      </w:r>
    </w:p>
    <w:p w14:paraId="79846DEF">
      <w:pPr>
        <w:spacing w:line="560" w:lineRule="exact"/>
        <w:ind w:firstLine="960" w:firstLineChars="30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(一)项目支出决策情况</w:t>
      </w:r>
    </w:p>
    <w:p w14:paraId="4276B28C">
      <w:pPr>
        <w:spacing w:line="560" w:lineRule="exact"/>
        <w:ind w:firstLine="960" w:firstLineChars="30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完成人居环境整治建设项目 20万元。</w:t>
      </w:r>
    </w:p>
    <w:p w14:paraId="41BF2F24">
      <w:pPr>
        <w:spacing w:line="560" w:lineRule="exact"/>
        <w:ind w:firstLine="960" w:firstLineChars="30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(二)项目执行过程情况</w:t>
      </w:r>
    </w:p>
    <w:p w14:paraId="1AB81759">
      <w:pPr>
        <w:spacing w:line="560" w:lineRule="exact"/>
        <w:ind w:firstLine="960" w:firstLineChars="30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项目共计支出20万元，支出率达100%，各项指标均达到年初制定指标，项目成效均达到预期效果。项目开支严格遵守各项财经纪律，未有出现违规情况。</w:t>
      </w:r>
    </w:p>
    <w:p w14:paraId="4785C8F9">
      <w:pPr>
        <w:numPr>
          <w:ilvl w:val="0"/>
          <w:numId w:val="4"/>
        </w:numPr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项目支出产出情况</w:t>
      </w:r>
    </w:p>
    <w:p w14:paraId="466E60DA">
      <w:pPr>
        <w:spacing w:line="560" w:lineRule="exact"/>
        <w:ind w:left="210" w:leftChars="100"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  项目共计支出20万元，支出率达100%，项目开支主要用于</w:t>
      </w:r>
    </w:p>
    <w:p w14:paraId="546E49B1">
      <w:pPr>
        <w:spacing w:line="560" w:lineRule="exact"/>
        <w:ind w:left="210" w:leftChars="100" w:firstLine="640" w:firstLineChars="200"/>
        <w:jc w:val="both"/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position w:val="10"/>
          <w:sz w:val="32"/>
          <w:szCs w:val="32"/>
          <w:lang w:eastAsia="zh-CN"/>
        </w:rPr>
        <w:t>文昌阁人居环境提质改造。</w:t>
      </w:r>
    </w:p>
    <w:p w14:paraId="48BD8696">
      <w:pPr>
        <w:numPr>
          <w:ilvl w:val="0"/>
          <w:numId w:val="4"/>
        </w:numPr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项目支出效益情况</w:t>
      </w:r>
    </w:p>
    <w:p w14:paraId="0599BB61">
      <w:pPr>
        <w:spacing w:line="560" w:lineRule="exact"/>
        <w:ind w:firstLine="640" w:firstLineChars="200"/>
        <w:outlineLvl w:val="0"/>
        <w:rPr>
          <w:rFonts w:hint="eastAsia" w:ascii="CESI仿宋-GB2312" w:hAnsi="CESI仿宋-GB2312" w:eastAsia="CESI仿宋-GB2312" w:cs="CESI仿宋-GB2312"/>
          <w:color w:val="0000FF"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  <w:t>通过该项目的实施，改善居民居住周围环境卫生提质，减少疾病传播，确保居民身体健康、方便出行、满足居民日常的生产生活的需要。</w:t>
      </w:r>
    </w:p>
    <w:p w14:paraId="0378843F">
      <w:pPr>
        <w:spacing w:line="560" w:lineRule="exact"/>
        <w:ind w:firstLine="561" w:firstLineChars="200"/>
        <w:outlineLvl w:val="0"/>
        <w:rPr>
          <w:rFonts w:hint="eastAsia" w:ascii="CESI仿宋-GB2312" w:hAnsi="CESI仿宋-GB2312" w:eastAsia="CESI仿宋-GB2312" w:cs="CESI仿宋-GB2312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-15"/>
          <w:sz w:val="31"/>
          <w:szCs w:val="31"/>
          <w:lang w:eastAsia="zh-CN"/>
        </w:rPr>
        <w:t>五、主要经验及做法、存在的问题及原因分析</w:t>
      </w:r>
    </w:p>
    <w:p w14:paraId="7F91ACFC">
      <w:pPr>
        <w:spacing w:line="560" w:lineRule="exact"/>
        <w:ind w:firstLine="560" w:firstLineChars="200"/>
        <w:outlineLvl w:val="0"/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  <w:t xml:space="preserve">1.坚持政策引领、因地制宜、遵循科学规划，合理预算、坚持政府主导、社会支持、接受群众监督、杜绝人走茶凉，政绩工程、形象工程等现象的存在。  </w:t>
      </w:r>
    </w:p>
    <w:p w14:paraId="766B762D">
      <w:pPr>
        <w:spacing w:line="560" w:lineRule="exact"/>
        <w:ind w:firstLine="560" w:firstLineChars="200"/>
        <w:outlineLvl w:val="0"/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  <w:t>2.坚持充分发挥党建引领作用，切合实际实施乡村振兴战略，征对人居环境突出问题重点整治，坚持把绿化美化作为改善人居生活环境的首要工作。通过乡村振兴人居环境整治项目的实施，大力提升城乡风貌，为争创文明城市、生态城市，卫生城市奠定了基础，让城市更美、水更清、天更蓝、环境更优美！</w:t>
      </w:r>
    </w:p>
    <w:p w14:paraId="23A5147F">
      <w:pPr>
        <w:spacing w:line="560" w:lineRule="exact"/>
        <w:ind w:firstLine="560" w:firstLineChars="200"/>
        <w:outlineLvl w:val="0"/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  <w:t>3.强化组织领导，严格落实主体责任，切实强化大局意识，广泛宣传实施乡村振兴战略的各项决策部署，凝聚社会力量，形成全社会关心，支持，共同参与乡村振兴的良好氛围。</w:t>
      </w:r>
    </w:p>
    <w:p w14:paraId="7382DC7F">
      <w:pPr>
        <w:spacing w:line="560" w:lineRule="exact"/>
        <w:ind w:firstLine="560" w:firstLineChars="200"/>
        <w:outlineLvl w:val="0"/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  <w:t>4.完善资金监管机制，实行统一规划项目，统一下达资金计划，统一调度整合资金，统一报账审核的管理机制，坚持整合资金、归口管理、计量支付；坚持政府采购和招投标、公示公告、资金使用督查等制度，确保专款专用，公开透明。</w:t>
      </w:r>
    </w:p>
    <w:p w14:paraId="18422E96">
      <w:pPr>
        <w:spacing w:line="560" w:lineRule="exact"/>
        <w:ind w:firstLine="561" w:firstLineChars="200"/>
        <w:outlineLvl w:val="0"/>
        <w:rPr>
          <w:rFonts w:hint="eastAsia" w:ascii="CESI仿宋-GB2312" w:hAnsi="CESI仿宋-GB2312" w:eastAsia="CESI仿宋-GB2312" w:cs="CESI仿宋-GB2312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-15"/>
          <w:sz w:val="31"/>
          <w:szCs w:val="31"/>
          <w:lang w:eastAsia="zh-CN"/>
        </w:rPr>
        <w:t>六、有关建议</w:t>
      </w:r>
    </w:p>
    <w:p w14:paraId="7D6F46B8">
      <w:pPr>
        <w:spacing w:line="560" w:lineRule="exact"/>
        <w:ind w:firstLine="560" w:firstLineChars="200"/>
        <w:outlineLvl w:val="0"/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  <w:t>本单位</w:t>
      </w:r>
      <w:bookmarkStart w:id="13" w:name="_GoBack"/>
      <w:bookmarkEnd w:id="13"/>
      <w:r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  <w:t>认真贯彻落实乡村振兴战略任务要求，虽然取得了一定的成绩，但对标新时期乡村振兴目标战略的要求还有一定的距离。一，工作形式较单一，工作推进力度还有待加强。二，与其他部门联动不足，振兴资金来源有限，有待加强激发社会资金投入。三，乡村振兴项目落地后续管护机制有待加强，需更好的建立健全管护机制，形成各方参与、人人有责的管护局面。</w:t>
      </w:r>
    </w:p>
    <w:p w14:paraId="2320A4A3">
      <w:pPr>
        <w:spacing w:line="560" w:lineRule="exact"/>
        <w:ind w:firstLine="561" w:firstLineChars="200"/>
        <w:outlineLvl w:val="0"/>
        <w:rPr>
          <w:rFonts w:hint="eastAsia" w:ascii="CESI仿宋-GB2312" w:hAnsi="CESI仿宋-GB2312" w:eastAsia="CESI仿宋-GB2312" w:cs="CESI仿宋-GB2312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-15"/>
          <w:sz w:val="31"/>
          <w:szCs w:val="31"/>
          <w:lang w:eastAsia="zh-CN"/>
        </w:rPr>
        <w:t>七、其他需要说明的问题</w:t>
      </w:r>
    </w:p>
    <w:p w14:paraId="44B9E7BE">
      <w:pPr>
        <w:spacing w:line="560" w:lineRule="exact"/>
        <w:ind w:firstLine="560" w:firstLineChars="200"/>
        <w:outlineLvl w:val="0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pacing w:val="-15"/>
          <w:sz w:val="31"/>
          <w:szCs w:val="31"/>
          <w:lang w:eastAsia="zh-CN"/>
        </w:rPr>
        <w:t xml:space="preserve">       无</w:t>
      </w:r>
    </w:p>
    <w:p w14:paraId="0F1C36A7">
      <w:pPr>
        <w:spacing w:line="560" w:lineRule="exact"/>
        <w:ind w:firstLine="729" w:firstLineChars="228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sectPr>
      <w:footerReference r:id="rId11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FangSong_GB2312">
    <w:altName w:val="方正仿宋_GBK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  <w:szCs w:val="21"/>
      </w:rPr>
      <w:id w:val="3580067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6E2A57FF">
        <w:pPr>
          <w:pStyle w:val="8"/>
          <w:jc w:val="right"/>
          <w:rPr>
            <w:rFonts w:asciiTheme="minorEastAsia" w:hAnsiTheme="minorEastAsia" w:eastAsiaTheme="minorEastAsia"/>
            <w:sz w:val="28"/>
            <w:szCs w:val="28"/>
          </w:rPr>
        </w:pPr>
      </w:p>
    </w:sdtContent>
  </w:sdt>
  <w:p w14:paraId="501F6C9C">
    <w:pPr>
      <w:spacing w:before="1" w:line="175" w:lineRule="auto"/>
      <w:ind w:left="444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  <w:szCs w:val="21"/>
      </w:rPr>
      <w:id w:val="3580066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57CFB1B5">
        <w:pPr>
          <w:pStyle w:val="8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6839EBC4">
    <w:pPr>
      <w:pStyle w:val="8"/>
      <w:rPr>
        <w:rFonts w:eastAsiaTheme="minorEastAsia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E89DD"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  <w:szCs w:val="21"/>
      </w:rPr>
      <w:id w:val="3580141"/>
    </w:sdtPr>
    <w:sdtEndPr>
      <w:rPr>
        <w:rFonts w:hint="eastAsia" w:asciiTheme="minorEastAsia" w:hAnsiTheme="minorEastAsia" w:eastAsiaTheme="minorEastAsia"/>
        <w:sz w:val="28"/>
        <w:szCs w:val="28"/>
      </w:rPr>
    </w:sdtEndPr>
    <w:sdtContent>
      <w:p w14:paraId="7372760E">
        <w:pPr>
          <w:pStyle w:val="8"/>
          <w:jc w:val="right"/>
          <w:rPr>
            <w:rFonts w:asciiTheme="minorEastAsia" w:hAnsiTheme="minorEastAsia" w:eastAsiaTheme="minorEastAsia"/>
          </w:rPr>
        </w:pPr>
      </w:p>
    </w:sdtContent>
  </w:sdt>
  <w:p w14:paraId="7AED2A17">
    <w:pPr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7EC03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E2287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0AB64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3D205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5F93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34A6F"/>
    <w:multiLevelType w:val="singleLevel"/>
    <w:tmpl w:val="FFC34A6F"/>
    <w:lvl w:ilvl="0" w:tentative="0">
      <w:start w:val="1"/>
      <w:numFmt w:val="chineseCounting"/>
      <w:lvlText w:val="(%1)"/>
      <w:lvlJc w:val="left"/>
      <w:pPr>
        <w:tabs>
          <w:tab w:val="left" w:pos="312"/>
        </w:tabs>
        <w:ind w:left="0" w:firstLine="0"/>
      </w:pPr>
    </w:lvl>
  </w:abstractNum>
  <w:abstractNum w:abstractNumId="1">
    <w:nsid w:val="1369049C"/>
    <w:multiLevelType w:val="singleLevel"/>
    <w:tmpl w:val="1369049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650B63E"/>
    <w:multiLevelType w:val="singleLevel"/>
    <w:tmpl w:val="1650B63E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3">
    <w:nsid w:val="387498EA"/>
    <w:multiLevelType w:val="singleLevel"/>
    <w:tmpl w:val="3874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B02B10A"/>
    <w:multiLevelType w:val="singleLevel"/>
    <w:tmpl w:val="3B02B10A"/>
    <w:lvl w:ilvl="0" w:tentative="0">
      <w:start w:val="2"/>
      <w:numFmt w:val="chineseCounting"/>
      <w:lvlText w:val="(%1)"/>
      <w:lvlJc w:val="left"/>
      <w:pPr>
        <w:tabs>
          <w:tab w:val="left" w:pos="312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2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ZThlZDUzZGYxNzYyMDEzOWQ1YTI4MjdmZmM4OTIzOWYifQ=="/>
  </w:docVars>
  <w:rsids>
    <w:rsidRoot w:val="00410877"/>
    <w:rsid w:val="0000163F"/>
    <w:rsid w:val="00074280"/>
    <w:rsid w:val="000B3E28"/>
    <w:rsid w:val="001C5D2D"/>
    <w:rsid w:val="00216499"/>
    <w:rsid w:val="00410877"/>
    <w:rsid w:val="00487BF9"/>
    <w:rsid w:val="00491838"/>
    <w:rsid w:val="00534D1B"/>
    <w:rsid w:val="0055736C"/>
    <w:rsid w:val="00593AC8"/>
    <w:rsid w:val="0060496E"/>
    <w:rsid w:val="00691D19"/>
    <w:rsid w:val="0097621E"/>
    <w:rsid w:val="009D0424"/>
    <w:rsid w:val="009D1563"/>
    <w:rsid w:val="00B50F1F"/>
    <w:rsid w:val="00BF0029"/>
    <w:rsid w:val="00C4315C"/>
    <w:rsid w:val="00C44F7D"/>
    <w:rsid w:val="00D00221"/>
    <w:rsid w:val="00DD374F"/>
    <w:rsid w:val="00DF7C33"/>
    <w:rsid w:val="00E2789F"/>
    <w:rsid w:val="00E5066E"/>
    <w:rsid w:val="00E768F1"/>
    <w:rsid w:val="00E922CD"/>
    <w:rsid w:val="00F15003"/>
    <w:rsid w:val="00FD6693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CFA7150"/>
    <w:rsid w:val="7ED67756"/>
    <w:rsid w:val="F3CB3BC7"/>
    <w:rsid w:val="F6DF9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link w:val="18"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9"/>
    <w:unhideWhenUsed/>
    <w:qFormat/>
    <w:uiPriority w:val="0"/>
    <w:pPr>
      <w:keepNext/>
      <w:keepLines/>
      <w:spacing w:line="560" w:lineRule="exact"/>
      <w:ind w:firstLine="640" w:firstLineChars="200"/>
      <w:outlineLvl w:val="2"/>
    </w:pPr>
    <w:rPr>
      <w:rFonts w:eastAsia="仿宋_GB2312" w:asciiTheme="minorHAnsi" w:hAnsiTheme="minorHAnsi"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</w:rPr>
  </w:style>
  <w:style w:type="paragraph" w:styleId="5">
    <w:name w:val="Body Text Indent"/>
    <w:basedOn w:val="1"/>
    <w:link w:val="20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0">
    <w:name w:val="Body Text First Indent 2"/>
    <w:basedOn w:val="5"/>
    <w:link w:val="21"/>
    <w:qFormat/>
    <w:uiPriority w:val="0"/>
    <w:pPr>
      <w:ind w:firstLine="420" w:firstLineChars="200"/>
    </w:pPr>
    <w:rPr>
      <w:rFonts w:ascii="Calibri" w:hAnsi="Calibri" w:eastAsia="宋体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autoRedefine/>
    <w:semiHidden/>
    <w:qFormat/>
    <w:uiPriority w:val="0"/>
  </w:style>
  <w:style w:type="paragraph" w:styleId="15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6">
    <w:name w:val="批注框文本 Char"/>
    <w:basedOn w:val="12"/>
    <w:link w:val="7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7">
    <w:name w:val="正文文本缩进 2 Char"/>
    <w:basedOn w:val="12"/>
    <w:link w:val="6"/>
    <w:qFormat/>
    <w:uiPriority w:val="0"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18">
    <w:name w:val="标题 2 Char"/>
    <w:basedOn w:val="12"/>
    <w:link w:val="2"/>
    <w:qFormat/>
    <w:uiPriority w:val="0"/>
    <w:rPr>
      <w:rFonts w:eastAsia="楷体_GB2312" w:asciiTheme="majorHAnsi" w:hAnsiTheme="majorHAnsi" w:cstheme="majorBidi"/>
      <w:b/>
      <w:bCs/>
      <w:snapToGrid w:val="0"/>
      <w:color w:val="000000"/>
      <w:sz w:val="32"/>
      <w:szCs w:val="32"/>
      <w:lang w:eastAsia="en-US"/>
    </w:rPr>
  </w:style>
  <w:style w:type="character" w:customStyle="1" w:styleId="19">
    <w:name w:val="标题 3 Char"/>
    <w:basedOn w:val="12"/>
    <w:link w:val="3"/>
    <w:qFormat/>
    <w:uiPriority w:val="0"/>
    <w:rPr>
      <w:rFonts w:eastAsia="仿宋_GB2312" w:asciiTheme="minorHAnsi" w:hAnsiTheme="minorHAnsi"/>
      <w:snapToGrid w:val="0"/>
      <w:color w:val="000000"/>
      <w:sz w:val="32"/>
      <w:szCs w:val="21"/>
      <w:lang w:eastAsia="en-US"/>
    </w:rPr>
  </w:style>
  <w:style w:type="character" w:customStyle="1" w:styleId="20">
    <w:name w:val="正文文本缩进 Char"/>
    <w:basedOn w:val="12"/>
    <w:link w:val="5"/>
    <w:qFormat/>
    <w:uiPriority w:val="0"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21">
    <w:name w:val="正文首行缩进 2 Char"/>
    <w:basedOn w:val="20"/>
    <w:link w:val="10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19</Pages>
  <Words>1192</Words>
  <Characters>6795</Characters>
  <Lines>56</Lines>
  <Paragraphs>15</Paragraphs>
  <TotalTime>179</TotalTime>
  <ScaleCrop>false</ScaleCrop>
  <LinksUpToDate>false</LinksUpToDate>
  <CharactersWithSpaces>7972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2024-04-20T13:25:00Z</dcterms:created>
  <dc:creator>Administrator</dc:creator>
  <cp:lastModifiedBy>kylin</cp:lastModifiedBy>
  <cp:lastPrinted>2025-09-23T00:37:00Z</cp:lastPrinted>
  <dcterms:modified xsi:type="dcterms:W3CDTF">2025-09-26T11:22:35Z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2052-12.8.2.21176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eyJoZGlkIjoiOTllZjQ4ZDljZmZjMGY2MWNhMjAxY2I0MDI4NzhmNGEiLCJ1c2VySWQiOiIxMzg2MTY5NzA4In0=</vt:lpwstr>
  </property>
</Properties>
</file>