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C1EF02E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0.5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0.3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0.3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BB3E60E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31BDC46A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581D34A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F82C849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3AA2EC5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0.5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0.3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0.3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B7C6FFA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4.93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13.67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C631A9B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0.82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5.07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BF1871E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4.02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8.51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28A6C55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0.09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0.09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0BB04A1B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3.3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331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(2024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汨罗市光荣院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59.28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99.25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99.25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99.25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99.25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14:paraId="2A5DB8BE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1.保障在职人员基本待遇按时发放，保障各项人员保障经费足额拨付到位，使职工生活得到保障</w:t>
            </w:r>
          </w:p>
          <w:p w14:paraId="169199C1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2.确保日常运转经费足额拨付到位，保障部门日常性工作正常开展；</w:t>
            </w:r>
          </w:p>
          <w:p w14:paraId="3E9D2C38">
            <w:pPr>
              <w:numPr>
                <w:ilvl w:val="0"/>
                <w:numId w:val="0"/>
              </w:numPr>
              <w:spacing w:line="240" w:lineRule="auto"/>
              <w:ind w:left="0" w:leftChars="0" w:firstLine="420" w:firstLineChars="2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3.保障优抚对象生活水平不低于当地居民平均生活水平，解决优抚对象生活难的问题。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14:paraId="156E0DC0">
            <w:pPr>
              <w:spacing w:line="240" w:lineRule="auto"/>
              <w:ind w:firstLine="420" w:firstLineChars="20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基本完成年初预期目标，保障在职人员相关待遇发放，机构正常有序运转，优抚对象生活水平得到提高。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22357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CF9B186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经费金额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9E8FAC2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59.28万元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3A7B803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99.25万元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D73641C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6B93743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291BDF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9E0DC5F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各项经费补贴按政策发放率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F14BBFA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B903375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1DB3F14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DA803A8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5705E19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BF8C6A4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经费及时拨付率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97EDAB9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ECD0B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C89D75D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72EF11E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02AD5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D43995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不适用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CCBECC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666CDF0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931DD8A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5D7E7512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5F65949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65F265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保障荣军老人生活，维护社会稳定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012CC12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ABBE65B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77C7E4B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2D9B547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</w:t>
            </w:r>
          </w:p>
        </w:tc>
        <w:tc>
          <w:tcPr>
            <w:tcW w:w="1423" w:type="dxa"/>
            <w:vAlign w:val="center"/>
          </w:tcPr>
          <w:p w14:paraId="2EAD66F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E6767B7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不适用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8CFAF7C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44D2B4D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13A03B3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76C2C7D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4A0BD1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4D49FFC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做好荣军老人服务管理工作，有利社会稳定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C7C3F77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效果提升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CECEECB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显著提升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0E49B52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BE2FD50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1423" w:type="dxa"/>
            <w:vAlign w:val="center"/>
          </w:tcPr>
          <w:p w14:paraId="02EB10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412303D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服务对象满意度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6EAA2C4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C13BF45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80C73B1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C8A1AF2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6DFC9DB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73CA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F79A5E1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严格控制经费预算不超标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8D705E4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89D6B6C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C5C4B3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D7EFD3A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1423" w:type="dxa"/>
            <w:vAlign w:val="center"/>
          </w:tcPr>
          <w:p w14:paraId="68FCA9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A85C036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不适用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B5518C9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016A93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D27E80A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03758C8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5BC2026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4ED7F29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不适用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6E9B631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FFBB14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2DF8032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1B0D3E1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74BCA7D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年度光荣院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bookmarkStart w:id="0" w:name="_GoBack"/>
      <w:bookmarkEnd w:id="0"/>
      <w:r>
        <w:rPr>
          <w:rFonts w:hint="eastAsia" w:ascii="黑体" w:hAnsi="黑体" w:eastAsia="黑体" w:cs="黑体"/>
          <w:sz w:val="40"/>
          <w:szCs w:val="40"/>
          <w:lang w:eastAsia="zh-CN"/>
        </w:rPr>
        <w:t>光荣院</w:t>
      </w:r>
      <w:r>
        <w:rPr>
          <w:rFonts w:ascii="黑体" w:hAnsi="黑体" w:eastAsia="黑体" w:cs="黑体"/>
          <w:spacing w:val="16"/>
          <w:sz w:val="40"/>
          <w:szCs w:val="40"/>
        </w:rPr>
        <w:t>整体支出绩效</w:t>
      </w:r>
    </w:p>
    <w:p w14:paraId="6A3F30B4">
      <w:pPr>
        <w:spacing w:before="130" w:line="221" w:lineRule="auto"/>
        <w:jc w:val="center"/>
        <w:rPr>
          <w:rFonts w:hint="eastAsia" w:ascii="方正黑体_GBK" w:hAnsi="方正黑体_GBK" w:eastAsia="方正黑体_GBK" w:cs="方正黑体_GBK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460D99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一、部门基本情况</w:t>
      </w:r>
    </w:p>
    <w:p w14:paraId="4AF3AC7F">
      <w:pPr>
        <w:spacing w:line="600" w:lineRule="exact"/>
        <w:ind w:firstLine="643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Arial"/>
          <w:b/>
          <w:snapToGrid w:val="0"/>
          <w:color w:val="000000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部门职责</w:t>
      </w:r>
    </w:p>
    <w:p w14:paraId="2812E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保障孤老优抚对象的生活，全方位为孤老优抚对象服务。加快孤老优抚对象养老服务设施建设；加快孤老优抚对象养老服务业发展，推进孤老优抚对象健康快速发展。确保院内老人的生活保障。</w:t>
      </w:r>
    </w:p>
    <w:p w14:paraId="77418B4A">
      <w:pPr>
        <w:spacing w:line="600" w:lineRule="exact"/>
        <w:ind w:firstLine="643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Arial"/>
          <w:b/>
          <w:snapToGrid w:val="0"/>
          <w:color w:val="00000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机构设置及决算部门构成</w:t>
      </w:r>
    </w:p>
    <w:p w14:paraId="2073B3AC">
      <w:pPr>
        <w:spacing w:line="600" w:lineRule="exact"/>
        <w:ind w:firstLine="640" w:firstLineChars="200"/>
        <w:jc w:val="both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汨罗市光荣院属于退役军人事务局二级机构，只有本级，没有其他决算部门，因此纳入2024年决算编制的范围仅包括汨罗市光荣院本级。</w:t>
      </w:r>
    </w:p>
    <w:p w14:paraId="65221F5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 w14:paraId="20714EB3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0B1829A0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基本支出主要是保障机构正常运转、完成日常工作任务而发生的各项支出，包括在职和退休人员工资福利支出、三公经费、水电、办公经费等商品和服务支出。</w:t>
      </w:r>
    </w:p>
    <w:p w14:paraId="5F8D8598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default" w:eastAsia="仿宋_GB2312"/>
          <w:kern w:val="0"/>
          <w:sz w:val="32"/>
          <w:szCs w:val="32"/>
          <w:lang w:eastAsia="zh-CN"/>
        </w:rPr>
        <w:t>1、基本支出具体使用情况：基本支出合计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99.25</w:t>
      </w:r>
      <w:r>
        <w:rPr>
          <w:rFonts w:hint="default" w:eastAsia="仿宋_GB2312"/>
          <w:kern w:val="0"/>
          <w:sz w:val="32"/>
          <w:szCs w:val="32"/>
          <w:lang w:eastAsia="zh-CN"/>
        </w:rPr>
        <w:t>万元，其中工资福利支出为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58.97</w:t>
      </w:r>
      <w:r>
        <w:rPr>
          <w:rFonts w:hint="default" w:eastAsia="仿宋_GB2312"/>
          <w:kern w:val="0"/>
          <w:sz w:val="32"/>
          <w:szCs w:val="32"/>
          <w:lang w:eastAsia="zh-CN"/>
        </w:rPr>
        <w:t>万元；商品和服务支出为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34.34</w:t>
      </w:r>
      <w:r>
        <w:rPr>
          <w:rFonts w:hint="default" w:eastAsia="仿宋_GB2312"/>
          <w:kern w:val="0"/>
          <w:sz w:val="32"/>
          <w:szCs w:val="32"/>
          <w:lang w:eastAsia="zh-CN"/>
        </w:rPr>
        <w:t>万元；对个人和家庭的补助为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5.92</w:t>
      </w:r>
      <w:r>
        <w:rPr>
          <w:rFonts w:hint="default" w:eastAsia="仿宋_GB2312"/>
          <w:kern w:val="0"/>
          <w:sz w:val="32"/>
          <w:szCs w:val="32"/>
          <w:lang w:eastAsia="zh-CN"/>
        </w:rPr>
        <w:t>万元；资本性支出为0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</w:t>
      </w:r>
      <w:r>
        <w:rPr>
          <w:rFonts w:hint="default" w:eastAsia="仿宋_GB2312"/>
          <w:kern w:val="0"/>
          <w:sz w:val="32"/>
          <w:szCs w:val="32"/>
          <w:lang w:eastAsia="zh-CN"/>
        </w:rPr>
        <w:t>。</w:t>
      </w:r>
    </w:p>
    <w:p w14:paraId="2618DDBC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default" w:eastAsia="仿宋_GB2312"/>
          <w:kern w:val="0"/>
          <w:sz w:val="32"/>
          <w:szCs w:val="32"/>
          <w:lang w:eastAsia="zh-CN"/>
        </w:rPr>
        <w:t>2、三公经费具体支出情况：我局</w:t>
      </w:r>
      <w:r>
        <w:rPr>
          <w:rFonts w:hint="eastAsia" w:eastAsia="仿宋_GB2312"/>
          <w:kern w:val="0"/>
          <w:sz w:val="32"/>
          <w:szCs w:val="32"/>
          <w:lang w:eastAsia="zh-CN"/>
        </w:rPr>
        <w:t>2024</w:t>
      </w:r>
      <w:r>
        <w:rPr>
          <w:rFonts w:hint="default" w:eastAsia="仿宋_GB2312"/>
          <w:kern w:val="0"/>
          <w:sz w:val="32"/>
          <w:szCs w:val="32"/>
          <w:lang w:eastAsia="zh-CN"/>
        </w:rPr>
        <w:t>年三公经费总支出为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0.3</w:t>
      </w:r>
      <w:r>
        <w:rPr>
          <w:rFonts w:hint="default" w:eastAsia="仿宋_GB2312"/>
          <w:kern w:val="0"/>
          <w:sz w:val="32"/>
          <w:szCs w:val="32"/>
          <w:lang w:eastAsia="zh-CN"/>
        </w:rPr>
        <w:t>万元，其中公务接待费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0.3</w:t>
      </w:r>
      <w:r>
        <w:rPr>
          <w:rFonts w:hint="default" w:eastAsia="仿宋_GB2312"/>
          <w:kern w:val="0"/>
          <w:sz w:val="32"/>
          <w:szCs w:val="32"/>
          <w:lang w:eastAsia="zh-CN"/>
        </w:rPr>
        <w:t>元；公务用车运行维护费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default" w:eastAsia="仿宋_GB2312"/>
          <w:kern w:val="0"/>
          <w:sz w:val="32"/>
          <w:szCs w:val="32"/>
          <w:lang w:eastAsia="zh-CN"/>
        </w:rPr>
        <w:t>万元，因公出国(境)支出为0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</w:t>
      </w:r>
      <w:r>
        <w:rPr>
          <w:rFonts w:hint="default" w:eastAsia="仿宋_GB2312"/>
          <w:kern w:val="0"/>
          <w:sz w:val="32"/>
          <w:szCs w:val="32"/>
          <w:lang w:eastAsia="zh-CN"/>
        </w:rPr>
        <w:t>。</w:t>
      </w:r>
    </w:p>
    <w:p w14:paraId="49C484C0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5BCF5CE6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2024年度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本部门无项目支出。</w:t>
      </w:r>
    </w:p>
    <w:p w14:paraId="6404A7B5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三、政府性基金预算支出情况</w:t>
      </w:r>
    </w:p>
    <w:p w14:paraId="5A50FC5F">
      <w:pPr>
        <w:pStyle w:val="9"/>
        <w:spacing w:line="600" w:lineRule="exact"/>
        <w:ind w:firstLine="643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2024年度本部门无政府性基金预算支出。</w:t>
      </w:r>
    </w:p>
    <w:p w14:paraId="52AD0FF1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四、国有资本经营预算支出情况</w:t>
      </w:r>
    </w:p>
    <w:p w14:paraId="37A70F92">
      <w:pPr>
        <w:pStyle w:val="9"/>
        <w:spacing w:line="600" w:lineRule="exact"/>
        <w:ind w:firstLine="643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2024年度本部门无国有资本经营预算支出。</w:t>
      </w:r>
    </w:p>
    <w:p w14:paraId="655E2B33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五、社会保险基金预算支出情况</w:t>
      </w:r>
    </w:p>
    <w:p w14:paraId="4CB8E005">
      <w:pPr>
        <w:pStyle w:val="9"/>
        <w:spacing w:line="600" w:lineRule="exact"/>
        <w:ind w:firstLine="643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2024年度本部门无社会保险基金预算支出。</w:t>
      </w:r>
    </w:p>
    <w:p w14:paraId="45C683B3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6AE3A8D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1、认真执行了年初部门预算和财政政策要求。我院工作经费安排严格按照年初预算来执行，有效防止了超预算；认真学习财经法规，严格执行财经纪律，防止了违法违纪行为的发生；认真落实了有关资金要求。</w:t>
      </w:r>
    </w:p>
    <w:p w14:paraId="24B0034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2、保障了部门有效运转。严格按照厉行节约的要求，精打细算，规范部门事务管理工作，提高服务质量，降低运行成本，合理配置，提高保障能力。</w:t>
      </w:r>
    </w:p>
    <w:p w14:paraId="026C3D63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3、切实加强收养和管理荣军老人工作。全年每月按时发放了工资、津贴补贴、离休费等，缴纳住房公积金和基本养老保险、医保金等社会保险缴费。及时支付部门履行职能所需求的办公费、印刷费、水电费、邮电费、物业管理费、维修维护费、差旅费等日常开支。经费保障率100%，服务对象满意度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99</w:t>
      </w:r>
      <w:r>
        <w:rPr>
          <w:rFonts w:hint="eastAsia" w:eastAsia="仿宋_GB2312"/>
          <w:kern w:val="0"/>
          <w:sz w:val="32"/>
          <w:szCs w:val="32"/>
          <w:lang w:eastAsia="zh-CN"/>
        </w:rPr>
        <w:t>%。</w:t>
      </w:r>
    </w:p>
    <w:p w14:paraId="7F661364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208F18A6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（一）预算绩效观念不强，工作质量待提高</w:t>
      </w:r>
    </w:p>
    <w:p w14:paraId="68DFAE24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部分职能部门对预算绩效管理工作重视程度还不足，缺乏主动性；对预算绩效管理工作的意义、框架、思路、操作规程认识不够深入，申报绩效目标不够明确，设计的评价指标体系不科学、不严谨；从财政职能方面看，财政收支矛盾仍然突出，运行经费不足。科学理财，强化职能作用。积极推进账务决算公开，不断提高财务透明度；严格兑现各项节支降费，增强部门发展动力。</w:t>
      </w:r>
    </w:p>
    <w:p w14:paraId="3236A2B9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（二）评价指标体系不完善，实际操作有难度</w:t>
      </w:r>
    </w:p>
    <w:p w14:paraId="50FB1CE0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尽管绩效评价共性指标体系，但是对指标具体的设置没有统一的明确规定，没有针对性较强的个性评价指标体系可供预算部门借鉴。同时财政预算支出的范围在逐年扩大，新政策新情况不断出现，现有评价指标的针对性和适应性已降低，直接影响了绩效评价的质量。</w:t>
      </w:r>
    </w:p>
    <w:p w14:paraId="68726CF3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（三）绩效管理体系不健全，工作流程需优化</w:t>
      </w:r>
    </w:p>
    <w:p w14:paraId="49C44F81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、我部门人数较少，因此在预算管理制度和预算支出管理方面做的还不够完善，应定期或不定期的对管理人员进行业务培训，提供交流平台，不断提高工作人员的政治思想和业务素质，将绩效考核作为日常工作的目标。</w:t>
      </w:r>
    </w:p>
    <w:p w14:paraId="41AD010D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2、项目预算不够准确，因项目资金安排上存在不可预见性，资金使用效益有待进一步提高。</w:t>
      </w:r>
    </w:p>
    <w:p w14:paraId="7C54FA0B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0AC42B4F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要采取召开会议、出台规范性文件、专题培训、分类指导等多种形式，组织财务人员学习预算绩效管理的法律法规、规范要求，让绩效理念深入人心、让绩效管理人员熟知政策。</w:t>
      </w:r>
    </w:p>
    <w:p w14:paraId="32248AD7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03C8A654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部门整体支出绩效自评结果将作为下一年度，各部门用款申请的重要依据，确保各部门提前制定资金使用计划，并尽最大可能提高资金使用的经济效益、社会效益和行政效能等，确保全年各项目标任务的圆满完成。2024年绩效自评情况拟在公示栏和官网上进行公开,切实做到部门预算支出使用规范、程序透明。</w:t>
      </w:r>
    </w:p>
    <w:p w14:paraId="73900E8B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</w:p>
    <w:p w14:paraId="5A0E71E6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4800C28D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无。</w:t>
      </w:r>
    </w:p>
    <w:p w14:paraId="5829E1A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7062D7D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0FF11346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1E0475C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5B32ED4E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 w14:paraId="2D7CFD6D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 w14:paraId="4396B61B">
      <w:pPr>
        <w:spacing w:line="600" w:lineRule="exact"/>
        <w:ind w:firstLine="640" w:firstLineChars="20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C666EFC-37C0-49A2-9542-4FEA2B8D927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45089DE-5AB7-431D-8417-814166EF04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A63131D-6881-481E-8E3E-31BB5BD67E6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8708C04-BEF6-46D3-A852-CAEF34FE7C3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A8BA350B-48CA-48E6-BC28-9FCA74BDF778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2731CC09-9144-49AE-8868-CF8D5FD1E36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CB0A4072-D7A1-4C1F-A979-448710670C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9C79C8F3-7053-4379-828C-569816A172E3}"/>
  </w:font>
  <w:font w:name="方正黑体_GBK">
    <w:altName w:val="方正黑体_GBK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9" w:fontKey="{895178F1-EFC5-49C5-849E-736D79537DA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0D64AE1"/>
    <w:rsid w:val="012423BD"/>
    <w:rsid w:val="01AF3811"/>
    <w:rsid w:val="03795BF7"/>
    <w:rsid w:val="051200B1"/>
    <w:rsid w:val="07E301FD"/>
    <w:rsid w:val="086E756B"/>
    <w:rsid w:val="08A6123D"/>
    <w:rsid w:val="0ACF37E5"/>
    <w:rsid w:val="0B400BC6"/>
    <w:rsid w:val="0E68228D"/>
    <w:rsid w:val="0EA6787F"/>
    <w:rsid w:val="0EBC0CA5"/>
    <w:rsid w:val="0F046CBD"/>
    <w:rsid w:val="11F254F3"/>
    <w:rsid w:val="15276E52"/>
    <w:rsid w:val="178B0954"/>
    <w:rsid w:val="19D32FBC"/>
    <w:rsid w:val="1C2A5889"/>
    <w:rsid w:val="1D050D2B"/>
    <w:rsid w:val="1E4E4CB2"/>
    <w:rsid w:val="1E6A4395"/>
    <w:rsid w:val="228A7081"/>
    <w:rsid w:val="23CB18C3"/>
    <w:rsid w:val="25557A3D"/>
    <w:rsid w:val="26EA5ED7"/>
    <w:rsid w:val="27A93B82"/>
    <w:rsid w:val="27FC2FA8"/>
    <w:rsid w:val="2AE00186"/>
    <w:rsid w:val="2B0F1914"/>
    <w:rsid w:val="2E114AFB"/>
    <w:rsid w:val="308216BE"/>
    <w:rsid w:val="33557238"/>
    <w:rsid w:val="34FE1149"/>
    <w:rsid w:val="364F4412"/>
    <w:rsid w:val="3A550786"/>
    <w:rsid w:val="3AEA70D7"/>
    <w:rsid w:val="3B7A130F"/>
    <w:rsid w:val="4135614B"/>
    <w:rsid w:val="417B255F"/>
    <w:rsid w:val="45795008"/>
    <w:rsid w:val="494A1329"/>
    <w:rsid w:val="4BF453E8"/>
    <w:rsid w:val="4CC21042"/>
    <w:rsid w:val="4EFA7664"/>
    <w:rsid w:val="4F8B6063"/>
    <w:rsid w:val="52FA3F96"/>
    <w:rsid w:val="53D224B3"/>
    <w:rsid w:val="55850F17"/>
    <w:rsid w:val="57AE6D93"/>
    <w:rsid w:val="58E04635"/>
    <w:rsid w:val="5D706898"/>
    <w:rsid w:val="5E3C4FFE"/>
    <w:rsid w:val="5FB623A7"/>
    <w:rsid w:val="626909BA"/>
    <w:rsid w:val="646A4041"/>
    <w:rsid w:val="6BB1387F"/>
    <w:rsid w:val="6C5074E3"/>
    <w:rsid w:val="6C861C34"/>
    <w:rsid w:val="6D075A1F"/>
    <w:rsid w:val="6E3851B0"/>
    <w:rsid w:val="6EBA3E17"/>
    <w:rsid w:val="76E539FB"/>
    <w:rsid w:val="784167CA"/>
    <w:rsid w:val="795F7B03"/>
    <w:rsid w:val="7CFA7150"/>
    <w:rsid w:val="7DA5072A"/>
    <w:rsid w:val="7DE44A0D"/>
    <w:rsid w:val="7EB919F5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3428</Words>
  <Characters>3653</Characters>
  <TotalTime>4</TotalTime>
  <ScaleCrop>false</ScaleCrop>
  <LinksUpToDate>false</LinksUpToDate>
  <CharactersWithSpaces>3808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32</cp:lastModifiedBy>
  <cp:lastPrinted>2024-05-21T14:05:00Z</cp:lastPrinted>
  <dcterms:modified xsi:type="dcterms:W3CDTF">2025-09-24T02:43:38Z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2052-12.1.0.21915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eyJoZGlkIjoiZWRlZjUzOTQ1NmEyNDgxYjM3ZjM3MjdmMzZhYTM2MWUiLCJ1c2VySWQiOiIyMTA4NTcwMjYifQ==</vt:lpwstr>
  </property>
</Properties>
</file>