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2.9</w:t>
            </w:r>
          </w:p>
        </w:tc>
        <w:tc>
          <w:tcPr>
            <w:tcW w:w="2039" w:type="dxa"/>
            <w:gridSpan w:val="2"/>
            <w:vAlign w:val="center"/>
          </w:tcPr>
          <w:p w14:paraId="1D6514E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1983" w:type="dxa"/>
            <w:gridSpan w:val="2"/>
            <w:vAlign w:val="center"/>
          </w:tcPr>
          <w:p w14:paraId="7DFA648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2.65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14:paraId="4D0A1ED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5A74074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0.4</w:t>
            </w:r>
          </w:p>
        </w:tc>
        <w:tc>
          <w:tcPr>
            <w:tcW w:w="2039" w:type="dxa"/>
            <w:gridSpan w:val="2"/>
            <w:vAlign w:val="center"/>
          </w:tcPr>
          <w:p w14:paraId="672289A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0.2</w:t>
            </w:r>
          </w:p>
        </w:tc>
        <w:tc>
          <w:tcPr>
            <w:tcW w:w="1983" w:type="dxa"/>
            <w:gridSpan w:val="2"/>
            <w:vAlign w:val="center"/>
          </w:tcPr>
          <w:p w14:paraId="7985B41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0.05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336.11</w:t>
            </w: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91.99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336.11</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ascii="仿宋_GB2312" w:eastAsia="仿宋_GB2312"/>
                <w:kern w:val="0"/>
              </w:rPr>
            </w:pPr>
            <w:r>
              <w:rPr>
                <w:rFonts w:hint="eastAsia" w:ascii="仿宋_GB2312" w:eastAsia="仿宋_GB2312"/>
                <w:kern w:val="0"/>
                <w:lang w:val="en-US" w:eastAsia="zh-CN"/>
              </w:rPr>
              <w:t>91.99</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301.98</w:t>
            </w: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34.13</w:t>
            </w: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21.77</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3.72</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10.99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2.88</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3.27</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0.72</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0.07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0.12</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6.9</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207.5</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center"/>
          </w:tcPr>
          <w:p w14:paraId="56E7EB7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汨罗市军队离休退休干部休养所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37.33</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161.23</w:t>
            </w:r>
          </w:p>
        </w:tc>
        <w:tc>
          <w:tcPr>
            <w:tcW w:w="1269"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161.23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161.23</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69.25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91.99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shd w:val="clear" w:color="auto" w:fill="auto"/>
            <w:vAlign w:val="center"/>
          </w:tcPr>
          <w:p w14:paraId="5630C8FD">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严格执行军休干部待遇的政策文件，不折不扣的落实军休干部生活待遇，及时足额发放军休干部工资。落实好军休干部医疗待遇。组织军休干部展开健康体检，开展丰富多彩的文化娱乐活动，以老干部喜闻乐见的门球，外出参观等为主要的活动项目，让军休干部实实在在的感受军休所的温暖与关爱。</w:t>
            </w:r>
          </w:p>
        </w:tc>
        <w:tc>
          <w:tcPr>
            <w:tcW w:w="4260" w:type="dxa"/>
            <w:gridSpan w:val="4"/>
            <w:shd w:val="clear" w:color="auto" w:fill="auto"/>
            <w:vAlign w:val="center"/>
          </w:tcPr>
          <w:p w14:paraId="156E0DC0">
            <w:pPr>
              <w:spacing w:line="240" w:lineRule="auto"/>
              <w:ind w:firstLine="420" w:firstLineChars="0"/>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本年度积极开展军休钓鱼及外出红色文化景点参观学习等活动，丰富了军休干部的文化娱乐生活，同时及时足额发放相关待遇及医疗待遇，保障了军休干部的享受待遇的权益。</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ECC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CF9B18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经费金额</w:t>
            </w:r>
          </w:p>
        </w:tc>
        <w:tc>
          <w:tcPr>
            <w:tcW w:w="1298" w:type="dxa"/>
            <w:shd w:val="clear" w:color="auto" w:fill="auto"/>
            <w:vAlign w:val="center"/>
          </w:tcPr>
          <w:p w14:paraId="74B3F2F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37.33</w:t>
            </w:r>
          </w:p>
        </w:tc>
        <w:tc>
          <w:tcPr>
            <w:tcW w:w="1269" w:type="dxa"/>
            <w:shd w:val="clear" w:color="auto" w:fill="auto"/>
            <w:vAlign w:val="center"/>
          </w:tcPr>
          <w:p w14:paraId="45F644FE">
            <w:pPr>
              <w:spacing w:line="240" w:lineRule="auto"/>
              <w:ind w:firstLine="210" w:firstLineChars="1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161.23</w:t>
            </w:r>
          </w:p>
        </w:tc>
        <w:tc>
          <w:tcPr>
            <w:tcW w:w="699" w:type="dxa"/>
            <w:shd w:val="clear" w:color="auto" w:fill="auto"/>
            <w:vAlign w:val="center"/>
          </w:tcPr>
          <w:p w14:paraId="2404935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869" w:type="dxa"/>
            <w:shd w:val="clear" w:color="auto" w:fill="auto"/>
            <w:vAlign w:val="center"/>
          </w:tcPr>
          <w:p w14:paraId="50F5A70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423" w:type="dxa"/>
            <w:vAlign w:val="center"/>
          </w:tcPr>
          <w:p w14:paraId="39E13BAD">
            <w:pPr>
              <w:spacing w:line="240" w:lineRule="auto"/>
              <w:ind w:firstLine="420"/>
              <w:jc w:val="center"/>
              <w:rPr>
                <w:rFonts w:ascii="仿宋_GB2312" w:eastAsia="仿宋_GB2312"/>
                <w:kern w:val="0"/>
              </w:rPr>
            </w:pPr>
          </w:p>
        </w:tc>
      </w:tr>
      <w:tr w14:paraId="63C4A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02650E8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各项经费补贴按政策发放率</w:t>
            </w:r>
          </w:p>
        </w:tc>
        <w:tc>
          <w:tcPr>
            <w:tcW w:w="1298" w:type="dxa"/>
            <w:shd w:val="clear" w:color="auto" w:fill="auto"/>
            <w:vAlign w:val="center"/>
          </w:tcPr>
          <w:p w14:paraId="4C90180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1269" w:type="dxa"/>
            <w:shd w:val="clear" w:color="auto" w:fill="auto"/>
            <w:vAlign w:val="center"/>
          </w:tcPr>
          <w:p w14:paraId="788089B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3A196C10">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B3DCF06">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7F68236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7BF8C6A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经费及时拨付率</w:t>
            </w:r>
          </w:p>
        </w:tc>
        <w:tc>
          <w:tcPr>
            <w:tcW w:w="1298" w:type="dxa"/>
            <w:shd w:val="clear" w:color="auto" w:fill="auto"/>
            <w:vAlign w:val="center"/>
          </w:tcPr>
          <w:p w14:paraId="14917A5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1269" w:type="dxa"/>
            <w:shd w:val="clear" w:color="auto" w:fill="auto"/>
            <w:vAlign w:val="center"/>
          </w:tcPr>
          <w:p w14:paraId="07238DF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3E05C53">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45B004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5</w:t>
            </w:r>
          </w:p>
        </w:tc>
        <w:tc>
          <w:tcPr>
            <w:tcW w:w="1423" w:type="dxa"/>
            <w:vAlign w:val="center"/>
          </w:tcPr>
          <w:p w14:paraId="11086FF5">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63D4399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sz w:val="18"/>
                <w:szCs w:val="18"/>
              </w:rPr>
              <w:t>较好地完成部门预决算工作，严格按照进度执行预算，各项指标完成较好，实现了良好的社会效益</w:t>
            </w:r>
          </w:p>
        </w:tc>
        <w:tc>
          <w:tcPr>
            <w:tcW w:w="1298" w:type="dxa"/>
            <w:shd w:val="clear" w:color="auto" w:fill="auto"/>
            <w:vAlign w:val="center"/>
          </w:tcPr>
          <w:p w14:paraId="4148772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1269" w:type="dxa"/>
            <w:shd w:val="clear" w:color="auto" w:fill="auto"/>
            <w:vAlign w:val="center"/>
          </w:tcPr>
          <w:p w14:paraId="7492D63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28C3096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B88C1F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vAlign w:val="center"/>
          </w:tcPr>
          <w:p w14:paraId="470EC4D6">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4D65F26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积极打造军休之家，让军休人员时刻感受到温暖</w:t>
            </w:r>
          </w:p>
        </w:tc>
        <w:tc>
          <w:tcPr>
            <w:tcW w:w="1298" w:type="dxa"/>
            <w:shd w:val="clear" w:color="auto" w:fill="auto"/>
            <w:vAlign w:val="center"/>
          </w:tcPr>
          <w:p w14:paraId="04C1662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1269" w:type="dxa"/>
            <w:shd w:val="clear" w:color="auto" w:fill="auto"/>
            <w:vAlign w:val="center"/>
          </w:tcPr>
          <w:p w14:paraId="16120DB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705C485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42236B7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0188F6BB">
            <w:pPr>
              <w:spacing w:line="240" w:lineRule="auto"/>
              <w:ind w:firstLine="420" w:firstLineChars="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0E6767B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98" w:type="dxa"/>
            <w:shd w:val="clear" w:color="auto" w:fill="auto"/>
            <w:vAlign w:val="center"/>
          </w:tcPr>
          <w:p w14:paraId="36A11A7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7F2F6D7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32C1F558">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869" w:type="dxa"/>
            <w:shd w:val="clear" w:color="auto" w:fill="auto"/>
            <w:vAlign w:val="center"/>
          </w:tcPr>
          <w:p w14:paraId="048A8F94">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1423" w:type="dxa"/>
            <w:vAlign w:val="center"/>
          </w:tcPr>
          <w:p w14:paraId="3D76E1CB">
            <w:pPr>
              <w:spacing w:line="240" w:lineRule="auto"/>
              <w:ind w:firstLine="420" w:firstLineChars="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04D49FF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增强退役士兵爱军崇军光荣感、使命感、责任感</w:t>
            </w:r>
          </w:p>
        </w:tc>
        <w:tc>
          <w:tcPr>
            <w:tcW w:w="1298" w:type="dxa"/>
            <w:shd w:val="clear" w:color="auto" w:fill="auto"/>
            <w:vAlign w:val="center"/>
          </w:tcPr>
          <w:p w14:paraId="6D6CE35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效果提升</w:t>
            </w:r>
          </w:p>
        </w:tc>
        <w:tc>
          <w:tcPr>
            <w:tcW w:w="1269" w:type="dxa"/>
            <w:shd w:val="clear" w:color="auto" w:fill="auto"/>
            <w:vAlign w:val="center"/>
          </w:tcPr>
          <w:p w14:paraId="353004D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显著提升</w:t>
            </w:r>
          </w:p>
        </w:tc>
        <w:tc>
          <w:tcPr>
            <w:tcW w:w="699" w:type="dxa"/>
            <w:shd w:val="clear" w:color="auto" w:fill="auto"/>
            <w:vAlign w:val="center"/>
          </w:tcPr>
          <w:p w14:paraId="286C4FF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63A65C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C79E17A">
            <w:pPr>
              <w:spacing w:line="240" w:lineRule="auto"/>
              <w:ind w:firstLine="420" w:firstLineChars="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0412303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服务对象满意度</w:t>
            </w:r>
          </w:p>
        </w:tc>
        <w:tc>
          <w:tcPr>
            <w:tcW w:w="1298" w:type="dxa"/>
            <w:shd w:val="clear" w:color="auto" w:fill="auto"/>
            <w:vAlign w:val="center"/>
          </w:tcPr>
          <w:p w14:paraId="17462EF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90%</w:t>
            </w:r>
          </w:p>
        </w:tc>
        <w:tc>
          <w:tcPr>
            <w:tcW w:w="1269" w:type="dxa"/>
            <w:shd w:val="clear" w:color="auto" w:fill="auto"/>
            <w:vAlign w:val="center"/>
          </w:tcPr>
          <w:p w14:paraId="5CA3A44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w:t>
            </w:r>
          </w:p>
        </w:tc>
        <w:tc>
          <w:tcPr>
            <w:tcW w:w="699" w:type="dxa"/>
            <w:shd w:val="clear" w:color="auto" w:fill="auto"/>
            <w:vAlign w:val="center"/>
          </w:tcPr>
          <w:p w14:paraId="2CE9B2A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7B56C7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7D817615">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0F79A5E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严格控制经费预算支出不超标</w:t>
            </w:r>
          </w:p>
        </w:tc>
        <w:tc>
          <w:tcPr>
            <w:tcW w:w="1298" w:type="dxa"/>
            <w:shd w:val="clear" w:color="auto" w:fill="auto"/>
            <w:vAlign w:val="center"/>
          </w:tcPr>
          <w:p w14:paraId="7EFA941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华文仿宋" w:hAnsi="华文仿宋" w:eastAsia="华文仿宋" w:cs="华文仿宋"/>
                <w:kern w:val="0"/>
                <w:lang w:val="en-US" w:eastAsia="zh-CN"/>
              </w:rPr>
              <w:t>≥</w:t>
            </w:r>
            <w:r>
              <w:rPr>
                <w:rFonts w:hint="eastAsia" w:ascii="仿宋_GB2312" w:eastAsia="仿宋_GB2312"/>
                <w:kern w:val="0"/>
                <w:lang w:val="en-US" w:eastAsia="zh-CN"/>
              </w:rPr>
              <w:t>95%</w:t>
            </w:r>
          </w:p>
        </w:tc>
        <w:tc>
          <w:tcPr>
            <w:tcW w:w="1269" w:type="dxa"/>
            <w:shd w:val="clear" w:color="auto" w:fill="auto"/>
            <w:vAlign w:val="center"/>
          </w:tcPr>
          <w:p w14:paraId="49FCD6D5">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699" w:type="dxa"/>
            <w:shd w:val="clear" w:color="auto" w:fill="auto"/>
            <w:vAlign w:val="center"/>
          </w:tcPr>
          <w:p w14:paraId="4A7FF5B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69" w:type="dxa"/>
            <w:shd w:val="clear" w:color="auto" w:fill="auto"/>
            <w:vAlign w:val="center"/>
          </w:tcPr>
          <w:p w14:paraId="0639998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19</w:t>
            </w:r>
          </w:p>
        </w:tc>
        <w:tc>
          <w:tcPr>
            <w:tcW w:w="1423" w:type="dxa"/>
            <w:vAlign w:val="center"/>
          </w:tcPr>
          <w:p w14:paraId="584265B0">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6A85C03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98" w:type="dxa"/>
            <w:shd w:val="clear" w:color="auto" w:fill="auto"/>
            <w:vAlign w:val="center"/>
          </w:tcPr>
          <w:p w14:paraId="334C00F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1B70105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6E5A8F03">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869" w:type="dxa"/>
            <w:shd w:val="clear" w:color="auto" w:fill="auto"/>
            <w:vAlign w:val="center"/>
          </w:tcPr>
          <w:p w14:paraId="5877C6FB">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1423" w:type="dxa"/>
            <w:vAlign w:val="center"/>
          </w:tcPr>
          <w:p w14:paraId="770BD17F">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14ED7F2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不适用</w:t>
            </w:r>
          </w:p>
        </w:tc>
        <w:tc>
          <w:tcPr>
            <w:tcW w:w="1298" w:type="dxa"/>
            <w:shd w:val="clear" w:color="auto" w:fill="auto"/>
            <w:vAlign w:val="center"/>
          </w:tcPr>
          <w:p w14:paraId="3A0199D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63B170F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02B60AAA">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869" w:type="dxa"/>
            <w:shd w:val="clear" w:color="auto" w:fill="auto"/>
            <w:vAlign w:val="center"/>
          </w:tcPr>
          <w:p w14:paraId="4297464F">
            <w:pPr>
              <w:spacing w:line="240" w:lineRule="auto"/>
              <w:jc w:val="center"/>
              <w:rPr>
                <w:rFonts w:hint="eastAsia" w:ascii="仿宋_GB2312" w:hAnsi="Arial" w:eastAsia="仿宋_GB2312" w:cs="Arial"/>
                <w:snapToGrid w:val="0"/>
                <w:color w:val="000000"/>
                <w:kern w:val="0"/>
                <w:sz w:val="21"/>
                <w:szCs w:val="21"/>
                <w:lang w:val="en-US" w:eastAsia="zh-CN" w:bidi="ar-SA"/>
              </w:rPr>
            </w:pPr>
          </w:p>
        </w:tc>
        <w:tc>
          <w:tcPr>
            <w:tcW w:w="1423" w:type="dxa"/>
            <w:vAlign w:val="center"/>
          </w:tcPr>
          <w:p w14:paraId="620CDD9C">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汨罗市军队离休退休干部休养所</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015ED312">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rPr>
        <w:t>汨罗市军队离休退休干部休养所</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bookmarkStart w:id="0" w:name="_GoBack"/>
      <w:bookmarkEnd w:id="0"/>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F24327B">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37D1D09C">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部门职责</w:t>
      </w:r>
    </w:p>
    <w:p w14:paraId="0C973D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根据省级民政部门下达的年度接收安置计划，负责军休干部、无军籍职工的安置和接收安置工作。</w:t>
      </w:r>
    </w:p>
    <w:p w14:paraId="260EC5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全面落实军休干部、无军籍职工政治待遇和生活待遇，为军休干部、无军籍职工老有所养、老有所医、老有所教、老有所学、老有所为、老有所乐创造条件。</w:t>
      </w:r>
    </w:p>
    <w:p w14:paraId="6C4970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960" w:firstLineChars="300"/>
        <w:jc w:val="both"/>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根据工作实际，及时研究解决军休干部服务管理工作中的重要问题，协调有关部门研究解决无军籍职工服务管理重要问题。</w:t>
      </w:r>
    </w:p>
    <w:p w14:paraId="4BBA0719">
      <w:pPr>
        <w:pStyle w:val="10"/>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楷体_GB2312"/>
          <w:b/>
          <w:kern w:val="0"/>
          <w:sz w:val="32"/>
          <w:szCs w:val="32"/>
          <w:lang w:eastAsia="zh-CN"/>
        </w:rPr>
        <w:t>（二）</w:t>
      </w:r>
      <w:r>
        <w:rPr>
          <w:rFonts w:hint="default" w:ascii="Times New Roman" w:hAnsi="Times New Roman" w:eastAsia="仿宋_GB2312"/>
          <w:kern w:val="0"/>
          <w:sz w:val="32"/>
          <w:szCs w:val="32"/>
          <w:lang w:val="en-US" w:eastAsia="zh-CN"/>
        </w:rPr>
        <w:t>机构设置及决算</w:t>
      </w:r>
      <w:r>
        <w:rPr>
          <w:rFonts w:hint="eastAsia" w:ascii="Times New Roman" w:hAnsi="Times New Roman" w:eastAsia="仿宋_GB2312"/>
          <w:kern w:val="0"/>
          <w:sz w:val="32"/>
          <w:szCs w:val="32"/>
          <w:lang w:val="en-US" w:eastAsia="zh-CN"/>
        </w:rPr>
        <w:t>部门</w:t>
      </w:r>
      <w:r>
        <w:rPr>
          <w:rFonts w:hint="default" w:ascii="Times New Roman" w:hAnsi="Times New Roman" w:eastAsia="仿宋_GB2312"/>
          <w:kern w:val="0"/>
          <w:sz w:val="32"/>
          <w:szCs w:val="32"/>
          <w:lang w:val="en-US" w:eastAsia="zh-CN"/>
        </w:rPr>
        <w:t>构成</w:t>
      </w:r>
    </w:p>
    <w:p w14:paraId="68B7BAFB">
      <w:pPr>
        <w:spacing w:line="600" w:lineRule="exact"/>
        <w:ind w:firstLine="640" w:firstLineChars="20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）内设机构设置。</w:t>
      </w:r>
      <w:r>
        <w:rPr>
          <w:rFonts w:hint="eastAsia" w:ascii="Arial" w:hAnsi="Arial" w:eastAsia="仿宋_GB2312" w:cs="Arial"/>
          <w:snapToGrid w:val="0"/>
          <w:color w:val="000000"/>
          <w:kern w:val="0"/>
          <w:sz w:val="32"/>
          <w:szCs w:val="32"/>
          <w:lang w:val="en-US" w:eastAsia="zh-CN" w:bidi="ar-SA"/>
        </w:rPr>
        <w:t>汨罗市军队离休退休干部休养所是汨罗市退役军人事务局下属二级机构，内设办公室、军休服务管理室</w:t>
      </w:r>
    </w:p>
    <w:p w14:paraId="083672F4">
      <w:pPr>
        <w:spacing w:line="600" w:lineRule="exact"/>
        <w:ind w:firstLine="640" w:firstLineChars="200"/>
        <w:jc w:val="both"/>
        <w:rPr>
          <w:rFonts w:hint="eastAsia" w:ascii="Times New Roman" w:hAnsi="Times New Roman" w:eastAsia="仿宋_GB2312"/>
          <w:kern w:val="0"/>
          <w:sz w:val="32"/>
          <w:szCs w:val="32"/>
          <w:lang w:val="en-US" w:eastAsia="zh-CN"/>
        </w:rPr>
      </w:pPr>
      <w:r>
        <w:rPr>
          <w:rFonts w:hint="default" w:ascii="Arial" w:hAnsi="Arial" w:eastAsia="仿宋_GB2312" w:cs="Arial"/>
          <w:snapToGrid w:val="0"/>
          <w:color w:val="000000"/>
          <w:kern w:val="0"/>
          <w:sz w:val="32"/>
          <w:szCs w:val="32"/>
          <w:lang w:val="en-US" w:eastAsia="zh-CN" w:bidi="ar-SA"/>
        </w:rPr>
        <w:t>（</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）决算</w:t>
      </w:r>
      <w:r>
        <w:rPr>
          <w:rFonts w:hint="eastAsia"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构成。汨罗市军队离休退休干部休养所</w:t>
      </w:r>
      <w:r>
        <w:rPr>
          <w:rFonts w:hint="eastAsia" w:ascii="Arial" w:hAnsi="Arial" w:eastAsia="仿宋_GB2312" w:cs="Arial"/>
          <w:snapToGrid w:val="0"/>
          <w:color w:val="000000"/>
          <w:kern w:val="0"/>
          <w:sz w:val="32"/>
          <w:szCs w:val="32"/>
          <w:lang w:val="en-US" w:eastAsia="zh-CN" w:bidi="ar-SA"/>
        </w:rPr>
        <w:t>202</w:t>
      </w:r>
      <w:r>
        <w:rPr>
          <w:rFonts w:hint="eastAsia" w:eastAsia="仿宋_GB2312" w:cs="Arial"/>
          <w:snapToGrid w:val="0"/>
          <w:color w:val="000000"/>
          <w:kern w:val="0"/>
          <w:sz w:val="32"/>
          <w:szCs w:val="32"/>
          <w:lang w:val="en-US" w:eastAsia="zh-CN" w:bidi="ar-SA"/>
        </w:rPr>
        <w:t>4</w:t>
      </w:r>
      <w:r>
        <w:rPr>
          <w:rFonts w:hint="default" w:ascii="Arial" w:hAnsi="Arial" w:eastAsia="仿宋_GB2312" w:cs="Arial"/>
          <w:snapToGrid w:val="0"/>
          <w:color w:val="000000"/>
          <w:kern w:val="0"/>
          <w:sz w:val="32"/>
          <w:szCs w:val="32"/>
          <w:lang w:val="en-US" w:eastAsia="zh-CN" w:bidi="ar-SA"/>
        </w:rPr>
        <w:t>年部门决算公开</w:t>
      </w:r>
      <w:r>
        <w:rPr>
          <w:rFonts w:hint="eastAsia" w:eastAsia="仿宋_GB2312" w:cs="Arial"/>
          <w:snapToGrid w:val="0"/>
          <w:color w:val="000000"/>
          <w:kern w:val="0"/>
          <w:sz w:val="32"/>
          <w:szCs w:val="32"/>
          <w:lang w:val="en-US" w:eastAsia="zh-CN" w:bidi="ar-SA"/>
        </w:rPr>
        <w:t>部门</w:t>
      </w:r>
      <w:r>
        <w:rPr>
          <w:rFonts w:hint="default" w:ascii="Arial" w:hAnsi="Arial" w:eastAsia="仿宋_GB2312" w:cs="Arial"/>
          <w:snapToGrid w:val="0"/>
          <w:color w:val="000000"/>
          <w:kern w:val="0"/>
          <w:sz w:val="32"/>
          <w:szCs w:val="32"/>
          <w:lang w:val="en-US" w:eastAsia="zh-CN" w:bidi="ar-SA"/>
        </w:rPr>
        <w:t>构成包括：汨罗市军队离休退休干部休养所。</w:t>
      </w:r>
    </w:p>
    <w:p w14:paraId="34025D1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434568FB">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00DD64C">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基本支出主要是保障机构正常运转、完成日常工作任务而发生的各项支出，包括在职和退休人员工资福利支出、三公经费、水电、办公经费等商品和服务支出。</w:t>
      </w:r>
    </w:p>
    <w:p w14:paraId="6AA9C255">
      <w:p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1、基本支出具体使用情况：基本支出合计</w:t>
      </w:r>
      <w:r>
        <w:rPr>
          <w:rFonts w:hint="eastAsia" w:eastAsia="仿宋_GB2312"/>
          <w:kern w:val="0"/>
          <w:sz w:val="32"/>
          <w:szCs w:val="32"/>
          <w:lang w:val="en-US" w:eastAsia="zh-CN"/>
        </w:rPr>
        <w:t>69.23</w:t>
      </w:r>
      <w:r>
        <w:rPr>
          <w:rFonts w:hint="default" w:eastAsia="仿宋_GB2312"/>
          <w:kern w:val="0"/>
          <w:sz w:val="32"/>
          <w:szCs w:val="32"/>
          <w:lang w:val="en-US" w:eastAsia="zh-CN"/>
        </w:rPr>
        <w:t>万元，其中工资福利支出为</w:t>
      </w:r>
      <w:r>
        <w:rPr>
          <w:rFonts w:hint="eastAsia" w:eastAsia="仿宋_GB2312"/>
          <w:kern w:val="0"/>
          <w:sz w:val="32"/>
          <w:szCs w:val="32"/>
          <w:lang w:val="en-US" w:eastAsia="zh-CN"/>
        </w:rPr>
        <w:t>32.97</w:t>
      </w:r>
      <w:r>
        <w:rPr>
          <w:rFonts w:hint="default" w:eastAsia="仿宋_GB2312"/>
          <w:kern w:val="0"/>
          <w:sz w:val="32"/>
          <w:szCs w:val="32"/>
          <w:lang w:val="en-US" w:eastAsia="zh-CN"/>
        </w:rPr>
        <w:t>万元；商品和服务支出为</w:t>
      </w:r>
      <w:r>
        <w:rPr>
          <w:rFonts w:hint="eastAsia" w:eastAsia="仿宋_GB2312"/>
          <w:kern w:val="0"/>
          <w:sz w:val="32"/>
          <w:szCs w:val="32"/>
          <w:lang w:val="en-US" w:eastAsia="zh-CN"/>
        </w:rPr>
        <w:t>30.97</w:t>
      </w:r>
      <w:r>
        <w:rPr>
          <w:rFonts w:hint="default" w:eastAsia="仿宋_GB2312"/>
          <w:kern w:val="0"/>
          <w:sz w:val="32"/>
          <w:szCs w:val="32"/>
          <w:lang w:val="en-US" w:eastAsia="zh-CN"/>
        </w:rPr>
        <w:t>万元；对个人和家庭的补助为</w:t>
      </w:r>
      <w:r>
        <w:rPr>
          <w:rFonts w:hint="eastAsia" w:eastAsia="仿宋_GB2312"/>
          <w:kern w:val="0"/>
          <w:sz w:val="32"/>
          <w:szCs w:val="32"/>
          <w:lang w:val="en-US" w:eastAsia="zh-CN"/>
        </w:rPr>
        <w:t>5.29</w:t>
      </w:r>
      <w:r>
        <w:rPr>
          <w:rFonts w:hint="default" w:eastAsia="仿宋_GB2312"/>
          <w:kern w:val="0"/>
          <w:sz w:val="32"/>
          <w:szCs w:val="32"/>
          <w:lang w:val="en-US" w:eastAsia="zh-CN"/>
        </w:rPr>
        <w:t>万元。</w:t>
      </w:r>
    </w:p>
    <w:p w14:paraId="6392B006">
      <w:pPr>
        <w:spacing w:line="600" w:lineRule="exact"/>
        <w:ind w:firstLine="640" w:firstLineChars="200"/>
        <w:jc w:val="both"/>
        <w:rPr>
          <w:rFonts w:hint="eastAsia" w:ascii="Times New Roman" w:hAnsi="Times New Roman" w:eastAsia="仿宋_GB2312"/>
          <w:kern w:val="0"/>
          <w:sz w:val="32"/>
          <w:szCs w:val="32"/>
          <w:lang w:eastAsia="zh-CN"/>
        </w:rPr>
      </w:pPr>
      <w:r>
        <w:rPr>
          <w:rFonts w:hint="default" w:eastAsia="仿宋_GB2312"/>
          <w:kern w:val="0"/>
          <w:sz w:val="32"/>
          <w:szCs w:val="32"/>
          <w:lang w:val="en-US" w:eastAsia="zh-CN"/>
        </w:rPr>
        <w:t>2、三公经费具体支出情况：我局202</w:t>
      </w:r>
      <w:r>
        <w:rPr>
          <w:rFonts w:hint="eastAsia" w:eastAsia="仿宋_GB2312"/>
          <w:kern w:val="0"/>
          <w:sz w:val="32"/>
          <w:szCs w:val="32"/>
          <w:lang w:val="en-US" w:eastAsia="zh-CN"/>
        </w:rPr>
        <w:t>4</w:t>
      </w:r>
      <w:r>
        <w:rPr>
          <w:rFonts w:hint="default" w:eastAsia="仿宋_GB2312"/>
          <w:kern w:val="0"/>
          <w:sz w:val="32"/>
          <w:szCs w:val="32"/>
          <w:lang w:val="en-US" w:eastAsia="zh-CN"/>
        </w:rPr>
        <w:t>年三公经费总支出为</w:t>
      </w:r>
      <w:r>
        <w:rPr>
          <w:rFonts w:hint="eastAsia" w:eastAsia="仿宋_GB2312"/>
          <w:kern w:val="0"/>
          <w:sz w:val="32"/>
          <w:szCs w:val="32"/>
          <w:lang w:val="en-US" w:eastAsia="zh-CN"/>
        </w:rPr>
        <w:t>2.65</w:t>
      </w:r>
      <w:r>
        <w:rPr>
          <w:rFonts w:hint="default" w:eastAsia="仿宋_GB2312"/>
          <w:kern w:val="0"/>
          <w:sz w:val="32"/>
          <w:szCs w:val="32"/>
          <w:lang w:val="en-US" w:eastAsia="zh-CN"/>
        </w:rPr>
        <w:t>万元，其中公务接待费</w:t>
      </w:r>
      <w:r>
        <w:rPr>
          <w:rFonts w:hint="eastAsia" w:eastAsia="仿宋_GB2312"/>
          <w:kern w:val="0"/>
          <w:sz w:val="32"/>
          <w:szCs w:val="32"/>
          <w:lang w:val="en-US" w:eastAsia="zh-CN"/>
        </w:rPr>
        <w:t>0.05</w:t>
      </w:r>
      <w:r>
        <w:rPr>
          <w:rFonts w:hint="default" w:eastAsia="仿宋_GB2312"/>
          <w:kern w:val="0"/>
          <w:sz w:val="32"/>
          <w:szCs w:val="32"/>
          <w:lang w:val="en-US" w:eastAsia="zh-CN"/>
        </w:rPr>
        <w:t>元；公务用车运行维护费</w:t>
      </w:r>
      <w:r>
        <w:rPr>
          <w:rFonts w:hint="eastAsia" w:eastAsia="仿宋_GB2312"/>
          <w:kern w:val="0"/>
          <w:sz w:val="32"/>
          <w:szCs w:val="32"/>
          <w:lang w:val="en-US" w:eastAsia="zh-CN"/>
        </w:rPr>
        <w:t>2.6</w:t>
      </w:r>
      <w:r>
        <w:rPr>
          <w:rFonts w:hint="default" w:eastAsia="仿宋_GB2312"/>
          <w:kern w:val="0"/>
          <w:sz w:val="32"/>
          <w:szCs w:val="32"/>
          <w:lang w:val="en-US" w:eastAsia="zh-CN"/>
        </w:rPr>
        <w:t>万元，因公出国(境)支出为0</w:t>
      </w:r>
      <w:r>
        <w:rPr>
          <w:rFonts w:hint="eastAsia" w:eastAsia="仿宋_GB2312"/>
          <w:kern w:val="0"/>
          <w:sz w:val="32"/>
          <w:szCs w:val="32"/>
          <w:lang w:val="en-US" w:eastAsia="zh-CN"/>
        </w:rPr>
        <w:t>万元</w:t>
      </w:r>
      <w:r>
        <w:rPr>
          <w:rFonts w:hint="default" w:eastAsia="仿宋_GB2312"/>
          <w:kern w:val="0"/>
          <w:sz w:val="32"/>
          <w:szCs w:val="32"/>
          <w:lang w:val="en-US" w:eastAsia="zh-CN"/>
        </w:rPr>
        <w:t>。</w:t>
      </w:r>
    </w:p>
    <w:p w14:paraId="51310CEA">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45991DF4">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26D8C44F">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42EAC43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2024年度我部门没有政府性基金预算支出。</w:t>
      </w:r>
    </w:p>
    <w:p w14:paraId="098378C3">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70905EE6">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2024年度我部门没有国有资本经营预算支出。</w:t>
      </w:r>
    </w:p>
    <w:p w14:paraId="5102CE0C">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5567CE01">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2024年度我部门没有社会保险基金预算支出。</w:t>
      </w:r>
    </w:p>
    <w:p w14:paraId="5101234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3CD1B4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5B6FC65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14:paraId="5335503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C45DF70">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632F26A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A6D4701">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1、进一步加强对本部门绩效评价工作的重视，提高预算绩效申报工作质量，尽量采取定量完成，制定清晰、可衡量的绩效指标。</w:t>
      </w:r>
    </w:p>
    <w:p w14:paraId="70CECE31">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 进一步细化预算编制工作，加强部门内部机构的预算管理意识，提高年初预算编制的严谨性、准确性，切实提高部门预算收支管理水平。</w:t>
      </w:r>
    </w:p>
    <w:p w14:paraId="362B5D53">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3、希望财政部门开展相关的业务工作培训，提高财务人员业务水平。</w:t>
      </w:r>
    </w:p>
    <w:p w14:paraId="160348CF">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41A536DB">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绩效自评结果拟应用情况。按照目标设定、预算配置、预算执行、预算管理、资产管理、职责履行、履职效益共七个方面进行的总体评价，部门整体支出绩效综合评分97分。针对本部门绩效自评中存在的问题，积极整改，优化和调整支出方向和结构，科学编制年初预算，合理使用财政资金，提高资金使用效益。</w:t>
      </w:r>
    </w:p>
    <w:p w14:paraId="04BE51A6">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（二）绩效自评结果公开情况。2024年部门整体支出绩效自评报告经审核后在规定时间内及时公开，接受社会监督。</w:t>
      </w:r>
    </w:p>
    <w:p w14:paraId="11B7C9D2">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76F28765">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3107364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53754B23">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68C523B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1E77FCA7">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5C2171B3">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497B7854">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5、国有资本经营预算财政拨款支出情况表</w:t>
      </w:r>
    </w:p>
    <w:p w14:paraId="22B13ED8">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42A4175E">
      <w:pPr>
        <w:spacing w:line="600" w:lineRule="exact"/>
        <w:ind w:firstLine="640" w:firstLineChars="200"/>
        <w:jc w:val="both"/>
        <w:rPr>
          <w:rFonts w:hint="eastAsia" w:eastAsia="仿宋_GB2312"/>
          <w:kern w:val="0"/>
          <w:sz w:val="32"/>
          <w:szCs w:val="32"/>
          <w:lang w:eastAsia="zh-CN"/>
        </w:rPr>
      </w:pPr>
    </w:p>
    <w:p w14:paraId="32A9C7CC">
      <w:pPr>
        <w:spacing w:line="600" w:lineRule="exact"/>
        <w:ind w:firstLine="640" w:firstLineChars="200"/>
        <w:jc w:val="both"/>
        <w:rPr>
          <w:rFonts w:hint="eastAsia" w:eastAsia="仿宋_GB2312"/>
          <w:kern w:val="0"/>
          <w:sz w:val="32"/>
          <w:szCs w:val="32"/>
          <w:lang w:eastAsia="zh-CN"/>
        </w:rPr>
      </w:pPr>
    </w:p>
    <w:p w14:paraId="09EACC0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1B7A98B">
      <w:pPr>
        <w:spacing w:line="600" w:lineRule="exact"/>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5587712-D0D0-4033-BC68-C1536F8EC529}"/>
  </w:font>
  <w:font w:name="黑体">
    <w:panose1 w:val="02010609060101010101"/>
    <w:charset w:val="86"/>
    <w:family w:val="auto"/>
    <w:pitch w:val="default"/>
    <w:sig w:usb0="800002BF" w:usb1="38CF7CFA" w:usb2="00000016" w:usb3="00000000" w:csb0="00040001" w:csb1="00000000"/>
    <w:embedRegular r:id="rId2" w:fontKey="{64E437B7-D19C-4E86-B576-008AB39B9C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DD91932C-4963-4F80-9164-81133714045F}"/>
  </w:font>
  <w:font w:name="仿宋_GB2312">
    <w:altName w:val="仿宋"/>
    <w:panose1 w:val="02010609030101010101"/>
    <w:charset w:val="86"/>
    <w:family w:val="modern"/>
    <w:pitch w:val="default"/>
    <w:sig w:usb0="00000000" w:usb1="00000000" w:usb2="00000000" w:usb3="00000000" w:csb0="00040000" w:csb1="00000000"/>
    <w:embedRegular r:id="rId4" w:fontKey="{0A43BDB5-8026-4EBC-B637-4F1038E47947}"/>
  </w:font>
  <w:font w:name="方正小标宋简体">
    <w:panose1 w:val="02000000000000000000"/>
    <w:charset w:val="86"/>
    <w:family w:val="script"/>
    <w:pitch w:val="default"/>
    <w:sig w:usb0="00000001" w:usb1="08000000" w:usb2="00000000" w:usb3="00000000" w:csb0="00040000" w:csb1="00000000"/>
    <w:embedRegular r:id="rId5" w:fontKey="{E98C094C-50A9-406B-B8EF-DD9FCD11F2B0}"/>
  </w:font>
  <w:font w:name="华文仿宋">
    <w:altName w:val="仿宋"/>
    <w:panose1 w:val="02010600040101010101"/>
    <w:charset w:val="86"/>
    <w:family w:val="auto"/>
    <w:pitch w:val="default"/>
    <w:sig w:usb0="00000000" w:usb1="00000000" w:usb2="00000000" w:usb3="00000000" w:csb0="0004009F" w:csb1="DFD70000"/>
    <w:embedRegular r:id="rId6" w:fontKey="{E87BFDB5-A09E-4090-8192-2128DAE0A4A9}"/>
  </w:font>
  <w:font w:name="楷体_GB2312">
    <w:altName w:val="楷体"/>
    <w:panose1 w:val="02010609030101010101"/>
    <w:charset w:val="86"/>
    <w:family w:val="modern"/>
    <w:pitch w:val="default"/>
    <w:sig w:usb0="00000000" w:usb1="00000000" w:usb2="00000000" w:usb3="00000000" w:csb0="00040000" w:csb1="00000000"/>
    <w:embedRegular r:id="rId7" w:fontKey="{2FAD934E-BFC2-412F-98A6-510A8DC68226}"/>
  </w:font>
  <w:font w:name="楷体">
    <w:panose1 w:val="02010609060101010101"/>
    <w:charset w:val="86"/>
    <w:family w:val="auto"/>
    <w:pitch w:val="default"/>
    <w:sig w:usb0="800002BF" w:usb1="38CF7CFA" w:usb2="00000016" w:usb3="00000000" w:csb0="00040001" w:csb1="00000000"/>
    <w:embedRegular r:id="rId8" w:fontKey="{D743F014-0557-4F09-B3EE-52A0D8BA2464}"/>
  </w:font>
  <w:font w:name="方正黑体_GBK">
    <w:altName w:val="微软雅黑"/>
    <w:panose1 w:val="03000509000000000000"/>
    <w:charset w:val="86"/>
    <w:family w:val="script"/>
    <w:pitch w:val="default"/>
    <w:sig w:usb0="00000000" w:usb1="00000000" w:usb2="00000000" w:usb3="00000000" w:csb0="00040000" w:csb1="00000000"/>
    <w:embedRegular r:id="rId9" w:fontKey="{859ECD3C-40F6-4A97-9F9B-851AC5BAEF1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7612C2A"/>
    <w:rsid w:val="086E756B"/>
    <w:rsid w:val="08B17951"/>
    <w:rsid w:val="0ACF37E5"/>
    <w:rsid w:val="0B400BC6"/>
    <w:rsid w:val="0E68228D"/>
    <w:rsid w:val="0EA6787F"/>
    <w:rsid w:val="15276E52"/>
    <w:rsid w:val="1749178E"/>
    <w:rsid w:val="178B0954"/>
    <w:rsid w:val="19D32FBC"/>
    <w:rsid w:val="1E6A4395"/>
    <w:rsid w:val="200F54C2"/>
    <w:rsid w:val="232C1EE7"/>
    <w:rsid w:val="25557A3D"/>
    <w:rsid w:val="26EA5ED7"/>
    <w:rsid w:val="271572C7"/>
    <w:rsid w:val="27683133"/>
    <w:rsid w:val="27A93B82"/>
    <w:rsid w:val="29581C87"/>
    <w:rsid w:val="2AE00186"/>
    <w:rsid w:val="308216BE"/>
    <w:rsid w:val="31A6555A"/>
    <w:rsid w:val="3436734F"/>
    <w:rsid w:val="34A75871"/>
    <w:rsid w:val="34FE1149"/>
    <w:rsid w:val="38AA6EBD"/>
    <w:rsid w:val="3A550786"/>
    <w:rsid w:val="3AEA70D7"/>
    <w:rsid w:val="3B7A130F"/>
    <w:rsid w:val="3D174ACA"/>
    <w:rsid w:val="3ECE4F85"/>
    <w:rsid w:val="41AB3453"/>
    <w:rsid w:val="494A1329"/>
    <w:rsid w:val="4C754D6E"/>
    <w:rsid w:val="4F8B6063"/>
    <w:rsid w:val="52FA3F96"/>
    <w:rsid w:val="55850F17"/>
    <w:rsid w:val="57AE6D93"/>
    <w:rsid w:val="58711B6E"/>
    <w:rsid w:val="58E04635"/>
    <w:rsid w:val="599C0150"/>
    <w:rsid w:val="5E3C4FFE"/>
    <w:rsid w:val="5FB623A7"/>
    <w:rsid w:val="658C7FE7"/>
    <w:rsid w:val="67784CC7"/>
    <w:rsid w:val="6852392E"/>
    <w:rsid w:val="687C58B0"/>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1265</Words>
  <Characters>1485</Characters>
  <TotalTime>0</TotalTime>
  <ScaleCrop>false</ScaleCrop>
  <LinksUpToDate>false</LinksUpToDate>
  <CharactersWithSpaces>1569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32</cp:lastModifiedBy>
  <cp:lastPrinted>2024-05-21T14:05:00Z</cp:lastPrinted>
  <dcterms:modified xsi:type="dcterms:W3CDTF">2025-09-24T02:37:33Z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eyJoZGlkIjoiZWRlZjUzOTQ1NmEyNDgxYjM3ZjM3MjdmMzZhYTM2MWUiLCJ1c2VySWQiOiIyMTA4NTcwMjYifQ==</vt:lpwstr>
  </property>
</Properties>
</file>