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65</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65</w:t>
            </w:r>
          </w:p>
        </w:tc>
        <w:tc>
          <w:tcPr>
            <w:tcW w:w="1983" w:type="dxa"/>
            <w:gridSpan w:val="2"/>
            <w:vAlign w:val="center"/>
          </w:tcPr>
          <w:p w14:paraId="06F2846E">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left"/>
              <w:rPr>
                <w:rFonts w:ascii="仿宋_GB2312" w:eastAsia="仿宋_GB2312"/>
                <w:kern w:val="0"/>
              </w:rPr>
            </w:pPr>
            <w:r>
              <w:rPr>
                <w:rFonts w:hint="eastAsia" w:ascii="仿宋_GB2312" w:eastAsia="仿宋_GB2312"/>
                <w:kern w:val="0"/>
                <w:lang w:val="en-US" w:eastAsia="zh-CN"/>
              </w:rPr>
              <w:t>11.97</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8.57</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8.33</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6.51</w:t>
            </w:r>
          </w:p>
        </w:tc>
        <w:tc>
          <w:tcPr>
            <w:tcW w:w="2039" w:type="dxa"/>
            <w:gridSpan w:val="2"/>
            <w:vAlign w:val="center"/>
          </w:tcPr>
          <w:p w14:paraId="7474BB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5.12</w:t>
            </w:r>
          </w:p>
        </w:tc>
        <w:tc>
          <w:tcPr>
            <w:tcW w:w="1983" w:type="dxa"/>
            <w:gridSpan w:val="2"/>
            <w:vAlign w:val="center"/>
          </w:tcPr>
          <w:p w14:paraId="71BD74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4.88</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r>
              <w:rPr>
                <w:rFonts w:hint="eastAsia" w:ascii="仿宋_GB2312" w:eastAsia="仿宋_GB2312"/>
                <w:kern w:val="0"/>
                <w:lang w:eastAsia="zh-CN"/>
              </w:rPr>
              <w:t>6.51</w:t>
            </w:r>
          </w:p>
        </w:tc>
        <w:tc>
          <w:tcPr>
            <w:tcW w:w="2039" w:type="dxa"/>
            <w:gridSpan w:val="2"/>
            <w:vAlign w:val="center"/>
          </w:tcPr>
          <w:p w14:paraId="4D0A1ED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5.12</w:t>
            </w:r>
          </w:p>
        </w:tc>
        <w:tc>
          <w:tcPr>
            <w:tcW w:w="1983" w:type="dxa"/>
            <w:gridSpan w:val="2"/>
            <w:vAlign w:val="center"/>
          </w:tcPr>
          <w:p w14:paraId="5A74074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4.88</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ascii="仿宋_GB2312" w:eastAsia="仿宋_GB2312"/>
                <w:kern w:val="0"/>
              </w:rPr>
            </w:pPr>
            <w:r>
              <w:rPr>
                <w:rFonts w:hint="eastAsia" w:ascii="仿宋_GB2312" w:eastAsia="仿宋_GB2312"/>
                <w:kern w:val="0"/>
              </w:rPr>
              <w:t>5.46</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3.45</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3.45</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eastAsia="仿宋_GB2312"/>
                <w:kern w:val="0"/>
              </w:rPr>
            </w:pPr>
            <w:r>
              <w:rPr>
                <w:rFonts w:hint="eastAsia" w:ascii="仿宋_GB2312" w:eastAsia="仿宋_GB2312"/>
                <w:kern w:val="0"/>
              </w:rPr>
              <w:t>2747.64</w:t>
            </w:r>
          </w:p>
        </w:tc>
        <w:tc>
          <w:tcPr>
            <w:tcW w:w="2039" w:type="dxa"/>
            <w:gridSpan w:val="2"/>
            <w:vAlign w:val="center"/>
          </w:tcPr>
          <w:p w14:paraId="56A401C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75</w:t>
            </w: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684.04</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eastAsia="仿宋_GB2312"/>
                <w:kern w:val="0"/>
              </w:rPr>
            </w:pPr>
            <w:r>
              <w:rPr>
                <w:rFonts w:hint="eastAsia" w:ascii="仿宋_GB2312" w:eastAsia="仿宋_GB2312"/>
                <w:kern w:val="0"/>
                <w:lang w:val="en-US" w:eastAsia="zh-CN"/>
              </w:rPr>
              <w:t>2672.64</w:t>
            </w: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r>
              <w:rPr>
                <w:rFonts w:hint="eastAsia" w:ascii="仿宋_GB2312" w:eastAsia="仿宋_GB2312"/>
                <w:kern w:val="0"/>
                <w:lang w:val="en-US" w:eastAsia="zh-CN"/>
              </w:rPr>
              <w:t>609.04</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shd w:val="clear" w:color="auto" w:fill="auto"/>
            <w:vAlign w:val="center"/>
          </w:tcPr>
          <w:p w14:paraId="482AEA1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75</w:t>
            </w: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75</w:t>
            </w:r>
          </w:p>
        </w:tc>
        <w:tc>
          <w:tcPr>
            <w:tcW w:w="1983"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75</w:t>
            </w:r>
          </w:p>
        </w:tc>
      </w:tr>
      <w:tr w14:paraId="77985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F55383C">
            <w:pPr>
              <w:spacing w:line="240" w:lineRule="auto"/>
              <w:jc w:val="center"/>
              <w:rPr>
                <w:rFonts w:hint="eastAsia" w:ascii="仿宋_GB2312" w:eastAsia="仿宋_GB2312"/>
                <w:kern w:val="0"/>
                <w:lang w:eastAsia="zh-CN"/>
              </w:rPr>
            </w:pPr>
            <w:r>
              <w:rPr>
                <w:rFonts w:hint="eastAsia" w:ascii="仿宋_GB2312" w:eastAsia="仿宋_GB2312"/>
                <w:kern w:val="0"/>
                <w:lang w:eastAsia="zh-CN"/>
              </w:rPr>
              <w:t>传染病防控</w:t>
            </w:r>
          </w:p>
        </w:tc>
        <w:tc>
          <w:tcPr>
            <w:tcW w:w="2116" w:type="dxa"/>
            <w:gridSpan w:val="2"/>
            <w:shd w:val="clear" w:color="auto" w:fill="auto"/>
            <w:vAlign w:val="center"/>
          </w:tcPr>
          <w:p w14:paraId="2CB3679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2039" w:type="dxa"/>
            <w:gridSpan w:val="2"/>
            <w:vAlign w:val="center"/>
          </w:tcPr>
          <w:p w14:paraId="2B09CC3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eastAsia="仿宋_GB2312"/>
                <w:kern w:val="0"/>
                <w:lang w:eastAsia="zh-CN"/>
              </w:rPr>
            </w:pPr>
            <w:r>
              <w:rPr>
                <w:rFonts w:hint="eastAsia" w:ascii="仿宋_GB2312" w:eastAsia="仿宋_GB2312"/>
                <w:kern w:val="0"/>
                <w:lang w:val="en-US" w:eastAsia="zh-CN"/>
              </w:rPr>
              <w:t>5</w:t>
            </w:r>
          </w:p>
        </w:tc>
        <w:tc>
          <w:tcPr>
            <w:tcW w:w="1983" w:type="dxa"/>
            <w:gridSpan w:val="2"/>
            <w:vAlign w:val="center"/>
          </w:tcPr>
          <w:p w14:paraId="19BA78D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eastAsia="仿宋_GB2312"/>
                <w:kern w:val="0"/>
                <w:lang w:eastAsia="zh-CN"/>
              </w:rPr>
            </w:pPr>
            <w:r>
              <w:rPr>
                <w:rFonts w:hint="eastAsia" w:ascii="仿宋_GB2312" w:eastAsia="仿宋_GB2312"/>
                <w:kern w:val="0"/>
                <w:lang w:val="en-US" w:eastAsia="zh-CN"/>
              </w:rPr>
              <w:t>5</w:t>
            </w:r>
          </w:p>
        </w:tc>
      </w:tr>
      <w:tr w14:paraId="233D8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91EE07D">
            <w:pPr>
              <w:spacing w:line="240" w:lineRule="auto"/>
              <w:jc w:val="center"/>
              <w:rPr>
                <w:rFonts w:hint="eastAsia" w:ascii="仿宋_GB2312" w:eastAsia="仿宋_GB2312"/>
                <w:kern w:val="0"/>
                <w:lang w:eastAsia="zh-CN"/>
              </w:rPr>
            </w:pPr>
            <w:r>
              <w:rPr>
                <w:rFonts w:hint="eastAsia" w:ascii="仿宋_GB2312" w:hAnsi="宋体" w:eastAsia="仿宋_GB2312" w:cs="宋体"/>
                <w:kern w:val="0"/>
              </w:rPr>
              <w:t>地慢病、精神卫生及健康教育</w:t>
            </w:r>
          </w:p>
        </w:tc>
        <w:tc>
          <w:tcPr>
            <w:tcW w:w="2116" w:type="dxa"/>
            <w:gridSpan w:val="2"/>
            <w:shd w:val="clear" w:color="auto" w:fill="auto"/>
            <w:vAlign w:val="center"/>
          </w:tcPr>
          <w:p w14:paraId="49EFE29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2039" w:type="dxa"/>
            <w:gridSpan w:val="2"/>
            <w:vAlign w:val="center"/>
          </w:tcPr>
          <w:p w14:paraId="6628FA9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eastAsia="仿宋_GB2312"/>
                <w:kern w:val="0"/>
                <w:lang w:eastAsia="zh-CN"/>
              </w:rPr>
            </w:pPr>
            <w:r>
              <w:rPr>
                <w:rFonts w:hint="eastAsia" w:ascii="仿宋_GB2312" w:eastAsia="仿宋_GB2312"/>
                <w:kern w:val="0"/>
                <w:lang w:val="en-US" w:eastAsia="zh-CN"/>
              </w:rPr>
              <w:t>5</w:t>
            </w:r>
          </w:p>
        </w:tc>
        <w:tc>
          <w:tcPr>
            <w:tcW w:w="1983" w:type="dxa"/>
            <w:gridSpan w:val="2"/>
            <w:vAlign w:val="center"/>
          </w:tcPr>
          <w:p w14:paraId="06D3DBE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eastAsia="仿宋_GB2312"/>
                <w:kern w:val="0"/>
                <w:lang w:eastAsia="zh-CN"/>
              </w:rPr>
            </w:pPr>
            <w:r>
              <w:rPr>
                <w:rFonts w:hint="eastAsia" w:ascii="仿宋_GB2312" w:eastAsia="仿宋_GB2312"/>
                <w:kern w:val="0"/>
                <w:lang w:val="en-US" w:eastAsia="zh-CN"/>
              </w:rPr>
              <w:t>5</w:t>
            </w:r>
          </w:p>
        </w:tc>
      </w:tr>
      <w:tr w14:paraId="461FC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85F20A8">
            <w:pPr>
              <w:spacing w:line="240" w:lineRule="auto"/>
              <w:jc w:val="center"/>
              <w:rPr>
                <w:rFonts w:hint="eastAsia" w:ascii="仿宋_GB2312" w:eastAsia="仿宋_GB2312"/>
                <w:kern w:val="0"/>
                <w:lang w:eastAsia="zh-CN"/>
              </w:rPr>
            </w:pPr>
            <w:r>
              <w:rPr>
                <w:rFonts w:hint="eastAsia" w:ascii="仿宋_GB2312" w:hAnsi="宋体" w:eastAsia="仿宋_GB2312" w:cs="宋体"/>
                <w:kern w:val="0"/>
              </w:rPr>
              <w:t>计划免疫经费(含二类疫苗补助)</w:t>
            </w:r>
          </w:p>
        </w:tc>
        <w:tc>
          <w:tcPr>
            <w:tcW w:w="2116" w:type="dxa"/>
            <w:gridSpan w:val="2"/>
            <w:shd w:val="clear" w:color="auto" w:fill="auto"/>
            <w:vAlign w:val="center"/>
          </w:tcPr>
          <w:p w14:paraId="1D1A289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2039" w:type="dxa"/>
            <w:gridSpan w:val="2"/>
            <w:vAlign w:val="center"/>
          </w:tcPr>
          <w:p w14:paraId="6CCEA67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eastAsia="仿宋_GB2312"/>
                <w:kern w:val="0"/>
                <w:lang w:eastAsia="zh-CN"/>
              </w:rPr>
            </w:pPr>
            <w:r>
              <w:rPr>
                <w:rFonts w:hint="eastAsia" w:ascii="仿宋_GB2312" w:eastAsia="仿宋_GB2312"/>
                <w:kern w:val="0"/>
                <w:lang w:val="en-US" w:eastAsia="zh-CN"/>
              </w:rPr>
              <w:t>10</w:t>
            </w:r>
          </w:p>
        </w:tc>
        <w:tc>
          <w:tcPr>
            <w:tcW w:w="1983" w:type="dxa"/>
            <w:gridSpan w:val="2"/>
            <w:vAlign w:val="center"/>
          </w:tcPr>
          <w:p w14:paraId="0803E88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eastAsia="仿宋_GB2312"/>
                <w:kern w:val="0"/>
                <w:lang w:eastAsia="zh-CN"/>
              </w:rPr>
            </w:pPr>
            <w:r>
              <w:rPr>
                <w:rFonts w:hint="eastAsia" w:ascii="仿宋_GB2312" w:eastAsia="仿宋_GB2312"/>
                <w:kern w:val="0"/>
                <w:lang w:val="en-US" w:eastAsia="zh-CN"/>
              </w:rPr>
              <w:t>10</w:t>
            </w:r>
          </w:p>
        </w:tc>
      </w:tr>
      <w:tr w14:paraId="396B0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858A00A">
            <w:pPr>
              <w:spacing w:line="240" w:lineRule="auto"/>
              <w:jc w:val="center"/>
              <w:rPr>
                <w:rFonts w:hint="eastAsia" w:ascii="仿宋_GB2312" w:eastAsia="仿宋_GB2312"/>
                <w:kern w:val="0"/>
                <w:lang w:eastAsia="zh-CN"/>
              </w:rPr>
            </w:pPr>
            <w:r>
              <w:rPr>
                <w:rFonts w:hint="eastAsia" w:ascii="仿宋_GB2312" w:hAnsi="宋体" w:eastAsia="仿宋_GB2312" w:cs="宋体"/>
                <w:kern w:val="0"/>
              </w:rPr>
              <w:t>结核病防治和筛查</w:t>
            </w:r>
          </w:p>
        </w:tc>
        <w:tc>
          <w:tcPr>
            <w:tcW w:w="2116" w:type="dxa"/>
            <w:gridSpan w:val="2"/>
            <w:shd w:val="clear" w:color="auto" w:fill="auto"/>
            <w:vAlign w:val="center"/>
          </w:tcPr>
          <w:p w14:paraId="70A0FEB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2039" w:type="dxa"/>
            <w:gridSpan w:val="2"/>
            <w:vAlign w:val="center"/>
          </w:tcPr>
          <w:p w14:paraId="575FF44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eastAsia="仿宋_GB2312"/>
                <w:kern w:val="0"/>
                <w:lang w:eastAsia="zh-CN"/>
              </w:rPr>
            </w:pPr>
            <w:r>
              <w:rPr>
                <w:rFonts w:hint="eastAsia" w:ascii="仿宋_GB2312" w:eastAsia="仿宋_GB2312"/>
                <w:kern w:val="0"/>
                <w:lang w:val="en-US" w:eastAsia="zh-CN"/>
              </w:rPr>
              <w:t>10</w:t>
            </w:r>
          </w:p>
        </w:tc>
        <w:tc>
          <w:tcPr>
            <w:tcW w:w="1983" w:type="dxa"/>
            <w:gridSpan w:val="2"/>
            <w:vAlign w:val="center"/>
          </w:tcPr>
          <w:p w14:paraId="0CBD949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eastAsia="仿宋_GB2312"/>
                <w:kern w:val="0"/>
                <w:lang w:eastAsia="zh-CN"/>
              </w:rPr>
            </w:pPr>
            <w:r>
              <w:rPr>
                <w:rFonts w:hint="eastAsia" w:ascii="仿宋_GB2312" w:eastAsia="仿宋_GB2312"/>
                <w:kern w:val="0"/>
                <w:lang w:val="en-US" w:eastAsia="zh-CN"/>
              </w:rPr>
              <w:t>10</w:t>
            </w:r>
          </w:p>
        </w:tc>
      </w:tr>
      <w:tr w14:paraId="7A795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3074900">
            <w:pPr>
              <w:spacing w:line="240" w:lineRule="auto"/>
              <w:jc w:val="center"/>
              <w:rPr>
                <w:rFonts w:hint="eastAsia" w:ascii="仿宋_GB2312" w:eastAsia="仿宋_GB2312"/>
                <w:kern w:val="0"/>
                <w:lang w:eastAsia="zh-CN"/>
              </w:rPr>
            </w:pPr>
            <w:r>
              <w:rPr>
                <w:rFonts w:hint="eastAsia" w:ascii="仿宋_GB2312" w:hAnsi="宋体" w:eastAsia="仿宋_GB2312" w:cs="宋体"/>
                <w:kern w:val="0"/>
              </w:rPr>
              <w:t>卫生监测和从业人员体检</w:t>
            </w:r>
          </w:p>
        </w:tc>
        <w:tc>
          <w:tcPr>
            <w:tcW w:w="2116" w:type="dxa"/>
            <w:gridSpan w:val="2"/>
            <w:shd w:val="clear" w:color="auto" w:fill="auto"/>
            <w:vAlign w:val="center"/>
          </w:tcPr>
          <w:p w14:paraId="1406B2D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2039" w:type="dxa"/>
            <w:gridSpan w:val="2"/>
            <w:vAlign w:val="center"/>
          </w:tcPr>
          <w:p w14:paraId="286E329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eastAsia="仿宋_GB2312"/>
                <w:kern w:val="0"/>
                <w:lang w:eastAsia="zh-CN"/>
              </w:rPr>
            </w:pPr>
            <w:r>
              <w:rPr>
                <w:rFonts w:hint="eastAsia" w:ascii="仿宋_GB2312" w:eastAsia="仿宋_GB2312"/>
                <w:kern w:val="0"/>
                <w:lang w:val="en-US" w:eastAsia="zh-CN"/>
              </w:rPr>
              <w:t>15</w:t>
            </w:r>
          </w:p>
        </w:tc>
        <w:tc>
          <w:tcPr>
            <w:tcW w:w="1983" w:type="dxa"/>
            <w:gridSpan w:val="2"/>
            <w:vAlign w:val="center"/>
          </w:tcPr>
          <w:p w14:paraId="2C55BCB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eastAsia="仿宋_GB2312"/>
                <w:kern w:val="0"/>
                <w:lang w:eastAsia="zh-CN"/>
              </w:rPr>
            </w:pPr>
            <w:r>
              <w:rPr>
                <w:rFonts w:hint="eastAsia" w:ascii="仿宋_GB2312" w:eastAsia="仿宋_GB2312"/>
                <w:kern w:val="0"/>
                <w:lang w:val="en-US" w:eastAsia="zh-CN"/>
              </w:rPr>
              <w:t>15</w:t>
            </w:r>
          </w:p>
        </w:tc>
      </w:tr>
      <w:tr w14:paraId="55090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F275906">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疫情防控</w:t>
            </w:r>
          </w:p>
        </w:tc>
        <w:tc>
          <w:tcPr>
            <w:tcW w:w="2116" w:type="dxa"/>
            <w:gridSpan w:val="2"/>
            <w:shd w:val="clear" w:color="auto" w:fill="auto"/>
            <w:vAlign w:val="center"/>
          </w:tcPr>
          <w:p w14:paraId="3A1C10A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eastAsia="仿宋_GB2312"/>
                <w:kern w:val="0"/>
                <w:lang w:val="en-US" w:eastAsia="zh-CN"/>
              </w:rPr>
            </w:pPr>
            <w:r>
              <w:rPr>
                <w:rFonts w:hint="eastAsia" w:ascii="仿宋_GB2312" w:eastAsia="仿宋_GB2312"/>
                <w:kern w:val="0"/>
                <w:lang w:val="en-US" w:eastAsia="zh-CN"/>
              </w:rPr>
              <w:t>30</w:t>
            </w:r>
          </w:p>
        </w:tc>
        <w:tc>
          <w:tcPr>
            <w:tcW w:w="2039" w:type="dxa"/>
            <w:gridSpan w:val="2"/>
            <w:vAlign w:val="center"/>
          </w:tcPr>
          <w:p w14:paraId="14CE672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eastAsia="仿宋_GB2312"/>
                <w:kern w:val="0"/>
                <w:lang w:eastAsia="zh-CN"/>
              </w:rPr>
            </w:pPr>
            <w:r>
              <w:rPr>
                <w:rFonts w:hint="eastAsia" w:ascii="仿宋_GB2312" w:eastAsia="仿宋_GB2312"/>
                <w:kern w:val="0"/>
                <w:lang w:val="en-US" w:eastAsia="zh-CN"/>
              </w:rPr>
              <w:t>30</w:t>
            </w:r>
          </w:p>
        </w:tc>
        <w:tc>
          <w:tcPr>
            <w:tcW w:w="1983" w:type="dxa"/>
            <w:gridSpan w:val="2"/>
            <w:vAlign w:val="center"/>
          </w:tcPr>
          <w:p w14:paraId="7F2FD47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eastAsia="仿宋_GB2312"/>
                <w:kern w:val="0"/>
                <w:lang w:eastAsia="zh-CN"/>
              </w:rPr>
            </w:pPr>
            <w:r>
              <w:rPr>
                <w:rFonts w:hint="eastAsia" w:ascii="仿宋_GB2312" w:eastAsia="仿宋_GB2312"/>
                <w:kern w:val="0"/>
                <w:lang w:val="en-US" w:eastAsia="zh-CN"/>
              </w:rPr>
              <w:t>30</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color="auto" w:fill="auto"/>
            <w:vAlign w:val="center"/>
          </w:tcPr>
          <w:p w14:paraId="4A5B86C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3110.26</w:t>
            </w: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110.11</w:t>
            </w: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2134.52</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eastAsia="仿宋_GB2312"/>
                <w:kern w:val="0"/>
              </w:rPr>
            </w:pPr>
            <w:r>
              <w:rPr>
                <w:rFonts w:hint="eastAsia" w:ascii="仿宋_GB2312" w:eastAsia="仿宋_GB2312"/>
                <w:kern w:val="0"/>
                <w:lang w:val="en-US" w:eastAsia="zh-CN"/>
              </w:rPr>
              <w:t>17.23</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9.4</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12.6</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eastAsia="仿宋_GB2312"/>
                <w:kern w:val="0"/>
              </w:rPr>
            </w:pPr>
            <w:r>
              <w:rPr>
                <w:rFonts w:hint="eastAsia" w:ascii="仿宋_GB2312" w:eastAsia="仿宋_GB2312"/>
                <w:kern w:val="0"/>
                <w:lang w:val="en-US" w:eastAsia="zh-CN"/>
              </w:rPr>
              <w:t>39.19</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31.26</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eastAsia="仿宋_GB2312"/>
                <w:kern w:val="0"/>
              </w:rPr>
            </w:pPr>
            <w:r>
              <w:rPr>
                <w:rFonts w:hint="eastAsia" w:ascii="仿宋_GB2312" w:eastAsia="仿宋_GB2312"/>
                <w:kern w:val="0"/>
                <w:lang w:val="en-US" w:eastAsia="zh-CN"/>
              </w:rPr>
              <w:t>5.43</w:t>
            </w:r>
          </w:p>
        </w:tc>
        <w:tc>
          <w:tcPr>
            <w:tcW w:w="2039" w:type="dxa"/>
            <w:gridSpan w:val="2"/>
            <w:vAlign w:val="center"/>
          </w:tcPr>
          <w:p w14:paraId="467174B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3.69</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eastAsia="仿宋_GB2312"/>
                <w:kern w:val="0"/>
              </w:rPr>
            </w:pPr>
            <w:r>
              <w:rPr>
                <w:rFonts w:hint="eastAsia" w:ascii="仿宋_GB2312" w:eastAsia="仿宋_GB2312"/>
                <w:kern w:val="0"/>
                <w:lang w:val="en-US" w:eastAsia="zh-CN"/>
              </w:rPr>
              <w:t>76.29</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102.79</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102.79</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4</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1B173A16">
      <w:pPr>
        <w:kinsoku w:val="0"/>
        <w:autoSpaceDE w:val="0"/>
        <w:autoSpaceDN w:val="0"/>
        <w:adjustRightInd w:val="0"/>
        <w:snapToGrid w:val="0"/>
        <w:spacing w:before="65" w:line="228" w:lineRule="auto"/>
        <w:ind w:firstLine="102" w:firstLineChars="49"/>
        <w:textAlignment w:val="baseline"/>
        <w:rPr>
          <w:rFonts w:hint="default" w:eastAsiaTheme="minorEastAsia"/>
          <w:sz w:val="20"/>
          <w:szCs w:val="20"/>
          <w:lang w:val="en-US" w:eastAsia="zh-CN"/>
        </w:rPr>
        <w:sectPr>
          <w:footerReference r:id="rId5" w:type="default"/>
          <w:footerReference r:id="rId6" w:type="even"/>
          <w:pgSz w:w="11907" w:h="16839"/>
          <w:pgMar w:top="737" w:right="1474" w:bottom="794" w:left="1474" w:header="0" w:footer="1587" w:gutter="0"/>
          <w:pgNumType w:fmt="numberInDash"/>
          <w:cols w:space="0" w:num="1"/>
          <w:titlePg/>
          <w:rtlGutter w:val="0"/>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彭云</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2025.09.20</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13407302850</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单位负责人签字：</w:t>
      </w:r>
      <w:r>
        <w:rPr>
          <w:rFonts w:hint="eastAsia" w:eastAsiaTheme="minorEastAsia"/>
          <w:sz w:val="20"/>
          <w:szCs w:val="20"/>
          <w:lang w:val="en-US" w:eastAsia="zh-CN"/>
        </w:rPr>
        <w:t>黎清华</w:t>
      </w:r>
    </w:p>
    <w:p w14:paraId="1D533184">
      <w:pPr>
        <w:spacing w:before="117" w:line="219" w:lineRule="auto"/>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08F87BB3">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27937B09">
      <w:pPr>
        <w:spacing w:line="237" w:lineRule="exact"/>
        <w:jc w:val="left"/>
        <w:rPr>
          <w:kern w:val="0"/>
          <w:lang w:eastAsia="zh-CN"/>
        </w:rPr>
      </w:pPr>
    </w:p>
    <w:tbl>
      <w:tblPr>
        <w:tblStyle w:val="7"/>
        <w:tblW w:w="10640" w:type="dxa"/>
        <w:tblInd w:w="-9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6"/>
        <w:gridCol w:w="1069"/>
        <w:gridCol w:w="1506"/>
        <w:gridCol w:w="1746"/>
        <w:gridCol w:w="1468"/>
        <w:gridCol w:w="1007"/>
        <w:gridCol w:w="461"/>
        <w:gridCol w:w="525"/>
        <w:gridCol w:w="1532"/>
      </w:tblGrid>
      <w:tr w14:paraId="620C0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326" w:type="dxa"/>
            <w:vAlign w:val="center"/>
          </w:tcPr>
          <w:p w14:paraId="666D980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6381259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9314" w:type="dxa"/>
            <w:gridSpan w:val="8"/>
            <w:vAlign w:val="center"/>
          </w:tcPr>
          <w:p w14:paraId="1490915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r>
              <w:rPr>
                <w:rFonts w:hint="eastAsia" w:ascii="仿宋_GB2312" w:eastAsia="仿宋_GB2312"/>
                <w:kern w:val="0"/>
                <w:lang w:eastAsia="zh-CN"/>
              </w:rPr>
              <w:t>汨罗市疾病预防控制中心</w:t>
            </w:r>
          </w:p>
        </w:tc>
      </w:tr>
      <w:tr w14:paraId="3A3CC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326" w:type="dxa"/>
            <w:vMerge w:val="restart"/>
            <w:tcBorders>
              <w:bottom w:val="nil"/>
            </w:tcBorders>
            <w:vAlign w:val="center"/>
          </w:tcPr>
          <w:p w14:paraId="2732C9FC">
            <w:pPr>
              <w:spacing w:line="240" w:lineRule="auto"/>
              <w:ind w:firstLine="420"/>
              <w:jc w:val="center"/>
              <w:rPr>
                <w:rFonts w:ascii="仿宋_GB2312" w:eastAsia="仿宋_GB2312"/>
                <w:kern w:val="0"/>
              </w:rPr>
            </w:pPr>
          </w:p>
          <w:p w14:paraId="42D9816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575" w:type="dxa"/>
            <w:gridSpan w:val="2"/>
            <w:vAlign w:val="center"/>
          </w:tcPr>
          <w:p w14:paraId="2CDF8D4E">
            <w:pPr>
              <w:spacing w:line="240" w:lineRule="auto"/>
              <w:ind w:firstLine="420"/>
              <w:jc w:val="center"/>
              <w:rPr>
                <w:rFonts w:ascii="仿宋_GB2312" w:eastAsia="仿宋_GB2312"/>
                <w:kern w:val="0"/>
              </w:rPr>
            </w:pPr>
          </w:p>
        </w:tc>
        <w:tc>
          <w:tcPr>
            <w:tcW w:w="1746" w:type="dxa"/>
            <w:vAlign w:val="center"/>
          </w:tcPr>
          <w:p w14:paraId="753D31D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22E08901">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468" w:type="dxa"/>
            <w:vAlign w:val="center"/>
          </w:tcPr>
          <w:p w14:paraId="3A760E2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255078FF">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007" w:type="dxa"/>
            <w:vAlign w:val="center"/>
          </w:tcPr>
          <w:p w14:paraId="6ABE0A5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63BC2D69">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461" w:type="dxa"/>
            <w:vAlign w:val="center"/>
          </w:tcPr>
          <w:p w14:paraId="1A1CB204">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525" w:type="dxa"/>
            <w:vAlign w:val="center"/>
          </w:tcPr>
          <w:p w14:paraId="6451F2F3">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532" w:type="dxa"/>
            <w:vAlign w:val="center"/>
          </w:tcPr>
          <w:p w14:paraId="3A8E531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r>
              <w:rPr>
                <w:rFonts w:hint="eastAsia" w:ascii="仿宋_GB2312" w:hAnsi="宋体" w:eastAsia="仿宋_GB2312" w:cs="宋体"/>
                <w:kern w:val="0"/>
              </w:rPr>
              <w:t>得分</w:t>
            </w:r>
          </w:p>
        </w:tc>
      </w:tr>
      <w:tr w14:paraId="1326C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326" w:type="dxa"/>
            <w:vMerge w:val="continue"/>
            <w:tcBorders>
              <w:top w:val="nil"/>
              <w:bottom w:val="nil"/>
            </w:tcBorders>
            <w:vAlign w:val="center"/>
          </w:tcPr>
          <w:p w14:paraId="189C07A1">
            <w:pPr>
              <w:spacing w:line="240" w:lineRule="auto"/>
              <w:ind w:firstLine="420"/>
              <w:jc w:val="center"/>
              <w:rPr>
                <w:rFonts w:ascii="仿宋_GB2312" w:eastAsia="仿宋_GB2312"/>
                <w:kern w:val="0"/>
              </w:rPr>
            </w:pPr>
          </w:p>
        </w:tc>
        <w:tc>
          <w:tcPr>
            <w:tcW w:w="2575" w:type="dxa"/>
            <w:gridSpan w:val="2"/>
            <w:vAlign w:val="center"/>
          </w:tcPr>
          <w:p w14:paraId="0DBFC0E2">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746" w:type="dxa"/>
            <w:shd w:val="clear" w:color="auto" w:fill="auto"/>
            <w:vAlign w:val="center"/>
          </w:tcPr>
          <w:p w14:paraId="17C6E26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861.47</w:t>
            </w:r>
          </w:p>
        </w:tc>
        <w:tc>
          <w:tcPr>
            <w:tcW w:w="1468" w:type="dxa"/>
            <w:shd w:val="clear" w:color="auto" w:fill="auto"/>
            <w:vAlign w:val="center"/>
          </w:tcPr>
          <w:p w14:paraId="574DA45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3771.20</w:t>
            </w:r>
          </w:p>
        </w:tc>
        <w:tc>
          <w:tcPr>
            <w:tcW w:w="1007" w:type="dxa"/>
            <w:shd w:val="clear" w:color="auto" w:fill="auto"/>
            <w:vAlign w:val="center"/>
          </w:tcPr>
          <w:p w14:paraId="2EFEBCC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3771.20</w:t>
            </w:r>
          </w:p>
        </w:tc>
        <w:tc>
          <w:tcPr>
            <w:tcW w:w="461" w:type="dxa"/>
            <w:shd w:val="clear" w:color="auto" w:fill="auto"/>
            <w:vAlign w:val="center"/>
          </w:tcPr>
          <w:p w14:paraId="06B17DC0">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w:t>
            </w:r>
          </w:p>
        </w:tc>
        <w:tc>
          <w:tcPr>
            <w:tcW w:w="525" w:type="dxa"/>
            <w:shd w:val="clear" w:color="auto" w:fill="auto"/>
            <w:vAlign w:val="center"/>
          </w:tcPr>
          <w:p w14:paraId="2B6BEB6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532" w:type="dxa"/>
            <w:shd w:val="clear" w:color="auto" w:fill="auto"/>
            <w:vAlign w:val="center"/>
          </w:tcPr>
          <w:p w14:paraId="3F6B460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r>
      <w:tr w14:paraId="01F45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326" w:type="dxa"/>
            <w:vMerge w:val="continue"/>
            <w:tcBorders>
              <w:top w:val="nil"/>
              <w:bottom w:val="nil"/>
            </w:tcBorders>
            <w:vAlign w:val="center"/>
          </w:tcPr>
          <w:p w14:paraId="0B672498">
            <w:pPr>
              <w:spacing w:line="240" w:lineRule="auto"/>
              <w:ind w:firstLine="420"/>
              <w:jc w:val="center"/>
              <w:rPr>
                <w:rFonts w:ascii="仿宋_GB2312" w:eastAsia="仿宋_GB2312"/>
                <w:kern w:val="0"/>
              </w:rPr>
            </w:pPr>
          </w:p>
        </w:tc>
        <w:tc>
          <w:tcPr>
            <w:tcW w:w="5789" w:type="dxa"/>
            <w:gridSpan w:val="4"/>
            <w:vAlign w:val="center"/>
          </w:tcPr>
          <w:p w14:paraId="21BA92EC">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r>
              <w:rPr>
                <w:rFonts w:hint="eastAsia" w:ascii="仿宋_GB2312" w:eastAsia="仿宋_GB2312"/>
                <w:kern w:val="0"/>
                <w:lang w:val="en-US" w:eastAsia="zh-CN"/>
              </w:rPr>
              <w:t>3771.20</w:t>
            </w:r>
          </w:p>
        </w:tc>
        <w:tc>
          <w:tcPr>
            <w:tcW w:w="3525" w:type="dxa"/>
            <w:gridSpan w:val="4"/>
            <w:vAlign w:val="center"/>
          </w:tcPr>
          <w:p w14:paraId="43DE8D75">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r>
              <w:rPr>
                <w:rFonts w:hint="eastAsia" w:ascii="仿宋_GB2312" w:eastAsia="仿宋_GB2312"/>
                <w:kern w:val="0"/>
                <w:lang w:val="en-US" w:eastAsia="zh-CN"/>
              </w:rPr>
              <w:t>3771.20</w:t>
            </w:r>
          </w:p>
        </w:tc>
      </w:tr>
      <w:tr w14:paraId="054DE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326" w:type="dxa"/>
            <w:vMerge w:val="continue"/>
            <w:tcBorders>
              <w:top w:val="nil"/>
              <w:bottom w:val="nil"/>
            </w:tcBorders>
            <w:vAlign w:val="center"/>
          </w:tcPr>
          <w:p w14:paraId="7BE1B7CE">
            <w:pPr>
              <w:spacing w:line="240" w:lineRule="auto"/>
              <w:ind w:firstLine="420"/>
              <w:jc w:val="center"/>
              <w:rPr>
                <w:rFonts w:ascii="仿宋_GB2312" w:eastAsia="仿宋_GB2312"/>
                <w:kern w:val="0"/>
              </w:rPr>
            </w:pPr>
          </w:p>
        </w:tc>
        <w:tc>
          <w:tcPr>
            <w:tcW w:w="5789" w:type="dxa"/>
            <w:gridSpan w:val="4"/>
            <w:vAlign w:val="center"/>
          </w:tcPr>
          <w:p w14:paraId="30EC5330">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w:t>
            </w:r>
            <w:r>
              <w:rPr>
                <w:rFonts w:hint="eastAsia" w:ascii="仿宋_GB2312" w:eastAsia="仿宋_GB2312"/>
                <w:kern w:val="0"/>
                <w:lang w:val="en-US" w:eastAsia="zh-CN"/>
              </w:rPr>
              <w:t>1430.45</w:t>
            </w:r>
          </w:p>
        </w:tc>
        <w:tc>
          <w:tcPr>
            <w:tcW w:w="3525" w:type="dxa"/>
            <w:gridSpan w:val="4"/>
            <w:vAlign w:val="center"/>
          </w:tcPr>
          <w:p w14:paraId="2DF3B827">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3087.15</w:t>
            </w:r>
          </w:p>
        </w:tc>
      </w:tr>
      <w:tr w14:paraId="763D6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326" w:type="dxa"/>
            <w:vMerge w:val="continue"/>
            <w:tcBorders>
              <w:top w:val="nil"/>
              <w:bottom w:val="nil"/>
            </w:tcBorders>
            <w:vAlign w:val="center"/>
          </w:tcPr>
          <w:p w14:paraId="5E570564">
            <w:pPr>
              <w:spacing w:line="240" w:lineRule="auto"/>
              <w:ind w:firstLine="420"/>
              <w:jc w:val="center"/>
              <w:rPr>
                <w:rFonts w:ascii="仿宋_GB2312" w:eastAsia="仿宋_GB2312"/>
                <w:kern w:val="0"/>
              </w:rPr>
            </w:pPr>
          </w:p>
        </w:tc>
        <w:tc>
          <w:tcPr>
            <w:tcW w:w="5789" w:type="dxa"/>
            <w:gridSpan w:val="4"/>
            <w:vAlign w:val="center"/>
          </w:tcPr>
          <w:p w14:paraId="347B30A1">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3525" w:type="dxa"/>
            <w:gridSpan w:val="4"/>
            <w:vAlign w:val="center"/>
          </w:tcPr>
          <w:p w14:paraId="3D249A84">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684.04</w:t>
            </w:r>
          </w:p>
        </w:tc>
      </w:tr>
      <w:tr w14:paraId="4C966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326" w:type="dxa"/>
            <w:vMerge w:val="continue"/>
            <w:tcBorders>
              <w:top w:val="nil"/>
              <w:bottom w:val="nil"/>
            </w:tcBorders>
            <w:vAlign w:val="center"/>
          </w:tcPr>
          <w:p w14:paraId="46E01E9E">
            <w:pPr>
              <w:spacing w:line="240" w:lineRule="auto"/>
              <w:ind w:firstLine="420"/>
              <w:jc w:val="center"/>
              <w:rPr>
                <w:rFonts w:ascii="仿宋_GB2312" w:eastAsia="仿宋_GB2312"/>
                <w:kern w:val="0"/>
              </w:rPr>
            </w:pPr>
          </w:p>
        </w:tc>
        <w:tc>
          <w:tcPr>
            <w:tcW w:w="5789" w:type="dxa"/>
            <w:gridSpan w:val="4"/>
            <w:vAlign w:val="center"/>
          </w:tcPr>
          <w:p w14:paraId="75D505D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纳入专户管理的非税收入拨款：2340.75</w:t>
            </w:r>
          </w:p>
        </w:tc>
        <w:tc>
          <w:tcPr>
            <w:tcW w:w="3525" w:type="dxa"/>
            <w:gridSpan w:val="4"/>
            <w:vAlign w:val="center"/>
          </w:tcPr>
          <w:p w14:paraId="3D6D24B6">
            <w:pPr>
              <w:spacing w:line="240" w:lineRule="auto"/>
              <w:ind w:firstLine="420"/>
              <w:jc w:val="left"/>
              <w:rPr>
                <w:rFonts w:ascii="仿宋_GB2312" w:eastAsia="仿宋_GB2312"/>
                <w:kern w:val="0"/>
                <w:lang w:eastAsia="zh-CN"/>
              </w:rPr>
            </w:pPr>
          </w:p>
        </w:tc>
      </w:tr>
      <w:tr w14:paraId="164B2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326" w:type="dxa"/>
            <w:vMerge w:val="continue"/>
            <w:tcBorders>
              <w:top w:val="nil"/>
            </w:tcBorders>
            <w:vAlign w:val="center"/>
          </w:tcPr>
          <w:p w14:paraId="5BCC2EC5">
            <w:pPr>
              <w:spacing w:line="240" w:lineRule="auto"/>
              <w:ind w:firstLine="420"/>
              <w:jc w:val="center"/>
              <w:rPr>
                <w:rFonts w:ascii="仿宋_GB2312" w:eastAsia="仿宋_GB2312"/>
                <w:kern w:val="0"/>
                <w:lang w:eastAsia="zh-CN"/>
              </w:rPr>
            </w:pPr>
          </w:p>
        </w:tc>
        <w:tc>
          <w:tcPr>
            <w:tcW w:w="5789" w:type="dxa"/>
            <w:gridSpan w:val="4"/>
            <w:vAlign w:val="center"/>
          </w:tcPr>
          <w:p w14:paraId="770DDD80">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3525" w:type="dxa"/>
            <w:gridSpan w:val="4"/>
            <w:vAlign w:val="center"/>
          </w:tcPr>
          <w:p w14:paraId="4BF18B29">
            <w:pPr>
              <w:spacing w:line="240" w:lineRule="auto"/>
              <w:ind w:firstLine="420"/>
              <w:jc w:val="center"/>
              <w:rPr>
                <w:rFonts w:ascii="仿宋_GB2312" w:eastAsia="仿宋_GB2312"/>
                <w:kern w:val="0"/>
              </w:rPr>
            </w:pPr>
          </w:p>
        </w:tc>
      </w:tr>
      <w:tr w14:paraId="23212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326" w:type="dxa"/>
            <w:vMerge w:val="restart"/>
            <w:tcBorders>
              <w:bottom w:val="nil"/>
            </w:tcBorders>
            <w:vAlign w:val="center"/>
          </w:tcPr>
          <w:p w14:paraId="4987F90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年度总体目标</w:t>
            </w:r>
          </w:p>
        </w:tc>
        <w:tc>
          <w:tcPr>
            <w:tcW w:w="5789" w:type="dxa"/>
            <w:gridSpan w:val="4"/>
            <w:vAlign w:val="center"/>
          </w:tcPr>
          <w:p w14:paraId="0E76370C">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3525" w:type="dxa"/>
            <w:gridSpan w:val="4"/>
            <w:vAlign w:val="center"/>
          </w:tcPr>
          <w:p w14:paraId="40BBD85C">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564E5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326" w:type="dxa"/>
            <w:vMerge w:val="continue"/>
            <w:tcBorders>
              <w:top w:val="nil"/>
            </w:tcBorders>
            <w:vAlign w:val="center"/>
          </w:tcPr>
          <w:p w14:paraId="6D55B54A">
            <w:pPr>
              <w:spacing w:line="240" w:lineRule="auto"/>
              <w:ind w:firstLine="420"/>
              <w:jc w:val="center"/>
              <w:rPr>
                <w:rFonts w:ascii="仿宋_GB2312" w:eastAsia="仿宋_GB2312"/>
                <w:kern w:val="0"/>
              </w:rPr>
            </w:pPr>
          </w:p>
        </w:tc>
        <w:tc>
          <w:tcPr>
            <w:tcW w:w="5789" w:type="dxa"/>
            <w:gridSpan w:val="4"/>
            <w:vAlign w:val="center"/>
          </w:tcPr>
          <w:p w14:paraId="66C308B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left"/>
              <w:textAlignment w:val="baseline"/>
              <w:rPr>
                <w:rFonts w:hint="eastAsia" w:ascii="仿宋_GB2312" w:eastAsia="仿宋_GB2312"/>
                <w:kern w:val="0"/>
              </w:rPr>
            </w:pPr>
            <w:r>
              <w:rPr>
                <w:rFonts w:hint="eastAsia" w:ascii="仿宋_GB2312" w:eastAsia="仿宋_GB2312"/>
                <w:kern w:val="0"/>
              </w:rPr>
              <w:t>1、为全市适龄儿童提供全面、规范的预防接种服务；</w:t>
            </w:r>
          </w:p>
          <w:p w14:paraId="1D8E657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left"/>
              <w:textAlignment w:val="baseline"/>
              <w:rPr>
                <w:rFonts w:hint="eastAsia" w:ascii="仿宋_GB2312" w:eastAsia="仿宋_GB2312"/>
                <w:kern w:val="0"/>
              </w:rPr>
            </w:pPr>
            <w:r>
              <w:rPr>
                <w:rFonts w:hint="eastAsia" w:ascii="仿宋_GB2312" w:eastAsia="仿宋_GB2312"/>
                <w:kern w:val="0"/>
              </w:rPr>
              <w:t>2、卫生监测；</w:t>
            </w:r>
          </w:p>
          <w:p w14:paraId="37C267B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left"/>
              <w:textAlignment w:val="baseline"/>
              <w:rPr>
                <w:rFonts w:hint="eastAsia" w:ascii="仿宋_GB2312" w:eastAsia="仿宋_GB2312"/>
                <w:kern w:val="0"/>
              </w:rPr>
            </w:pPr>
            <w:r>
              <w:rPr>
                <w:rFonts w:hint="eastAsia" w:ascii="仿宋_GB2312" w:eastAsia="仿宋_GB2312"/>
                <w:kern w:val="0"/>
              </w:rPr>
              <w:t>3、地方病、慢性病、学校传染病防治工作；</w:t>
            </w:r>
          </w:p>
          <w:p w14:paraId="546B53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left"/>
              <w:textAlignment w:val="baseline"/>
              <w:rPr>
                <w:rFonts w:hint="eastAsia" w:ascii="仿宋_GB2312" w:eastAsia="仿宋_GB2312"/>
                <w:kern w:val="0"/>
              </w:rPr>
            </w:pPr>
            <w:r>
              <w:rPr>
                <w:rFonts w:hint="eastAsia" w:ascii="仿宋_GB2312" w:eastAsia="仿宋_GB2312"/>
                <w:kern w:val="0"/>
              </w:rPr>
              <w:t>4、传染病防控；</w:t>
            </w:r>
          </w:p>
          <w:p w14:paraId="4458A7E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left"/>
              <w:textAlignment w:val="baseline"/>
              <w:rPr>
                <w:rFonts w:hint="eastAsia" w:ascii="仿宋_GB2312" w:eastAsia="仿宋_GB2312"/>
                <w:kern w:val="0"/>
              </w:rPr>
            </w:pPr>
            <w:r>
              <w:rPr>
                <w:rFonts w:hint="eastAsia" w:ascii="仿宋_GB2312" w:eastAsia="仿宋_GB2312"/>
                <w:kern w:val="0"/>
              </w:rPr>
              <w:t>5、开展健康教育活动，提高信息化管理水平；</w:t>
            </w:r>
          </w:p>
          <w:p w14:paraId="295D621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left"/>
              <w:textAlignment w:val="baseline"/>
              <w:rPr>
                <w:rFonts w:ascii="仿宋_GB2312" w:eastAsia="仿宋_GB2312"/>
                <w:kern w:val="0"/>
              </w:rPr>
            </w:pPr>
            <w:r>
              <w:rPr>
                <w:rFonts w:hint="eastAsia" w:ascii="仿宋_GB2312" w:eastAsia="仿宋_GB2312"/>
                <w:kern w:val="0"/>
              </w:rPr>
              <w:t>6、突发公共卫生事件处理。</w:t>
            </w:r>
          </w:p>
        </w:tc>
        <w:tc>
          <w:tcPr>
            <w:tcW w:w="3525" w:type="dxa"/>
            <w:gridSpan w:val="4"/>
            <w:vAlign w:val="center"/>
          </w:tcPr>
          <w:p w14:paraId="49B0C67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r>
              <w:rPr>
                <w:rFonts w:hint="eastAsia" w:ascii="仿宋_GB2312" w:hAnsi="宋体" w:eastAsia="仿宋_GB2312" w:cs="宋体"/>
                <w:snapToGrid w:val="0"/>
                <w:color w:val="000000"/>
                <w:kern w:val="0"/>
                <w:sz w:val="21"/>
                <w:szCs w:val="21"/>
                <w:lang w:val="en-US" w:eastAsia="zh-CN" w:bidi="ar-SA"/>
              </w:rPr>
              <w:t>完成率100%</w:t>
            </w:r>
          </w:p>
        </w:tc>
      </w:tr>
      <w:tr w14:paraId="627B4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1326" w:type="dxa"/>
            <w:vMerge w:val="restart"/>
            <w:textDirection w:val="tbRlV"/>
            <w:vAlign w:val="center"/>
          </w:tcPr>
          <w:p w14:paraId="35C7C50C">
            <w:pPr>
              <w:spacing w:line="240" w:lineRule="auto"/>
              <w:ind w:firstLine="420"/>
              <w:jc w:val="center"/>
              <w:rPr>
                <w:rFonts w:ascii="仿宋_GB2312" w:eastAsia="仿宋_GB2312"/>
                <w:kern w:val="0"/>
              </w:rPr>
            </w:pPr>
          </w:p>
          <w:p w14:paraId="6C1F6808">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7BA3DCAE">
            <w:pPr>
              <w:spacing w:line="240" w:lineRule="auto"/>
              <w:ind w:firstLine="420"/>
              <w:jc w:val="center"/>
              <w:rPr>
                <w:rFonts w:ascii="仿宋_GB2312" w:eastAsia="仿宋_GB2312"/>
                <w:kern w:val="0"/>
              </w:rPr>
            </w:pPr>
          </w:p>
          <w:p w14:paraId="5E6BED05">
            <w:pPr>
              <w:spacing w:line="240" w:lineRule="auto"/>
              <w:ind w:firstLine="420"/>
              <w:jc w:val="center"/>
              <w:rPr>
                <w:rFonts w:ascii="仿宋_GB2312" w:eastAsia="仿宋_GB2312"/>
                <w:kern w:val="0"/>
              </w:rPr>
            </w:pPr>
          </w:p>
        </w:tc>
        <w:tc>
          <w:tcPr>
            <w:tcW w:w="1069" w:type="dxa"/>
            <w:vAlign w:val="center"/>
          </w:tcPr>
          <w:p w14:paraId="6852B5C1">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506" w:type="dxa"/>
            <w:vAlign w:val="center"/>
          </w:tcPr>
          <w:p w14:paraId="4D9CFFBE">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746" w:type="dxa"/>
            <w:vAlign w:val="center"/>
          </w:tcPr>
          <w:p w14:paraId="7F8762B8">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468" w:type="dxa"/>
            <w:vAlign w:val="center"/>
          </w:tcPr>
          <w:p w14:paraId="318B29DC">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007" w:type="dxa"/>
            <w:vAlign w:val="center"/>
          </w:tcPr>
          <w:p w14:paraId="24FD88AF">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461" w:type="dxa"/>
            <w:vAlign w:val="center"/>
          </w:tcPr>
          <w:p w14:paraId="5301BF18">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525" w:type="dxa"/>
            <w:vAlign w:val="center"/>
          </w:tcPr>
          <w:p w14:paraId="5549729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532" w:type="dxa"/>
            <w:vAlign w:val="center"/>
          </w:tcPr>
          <w:p w14:paraId="6CB67B2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7C02403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41A30F7E">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13B12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26" w:type="dxa"/>
            <w:vMerge w:val="continue"/>
            <w:textDirection w:val="tbRlV"/>
            <w:vAlign w:val="center"/>
          </w:tcPr>
          <w:p w14:paraId="55F64AEE">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7FB54275">
            <w:pPr>
              <w:spacing w:line="240" w:lineRule="auto"/>
              <w:jc w:val="center"/>
              <w:rPr>
                <w:rFonts w:ascii="仿宋_GB2312" w:eastAsia="仿宋_GB2312"/>
                <w:kern w:val="0"/>
              </w:rPr>
            </w:pPr>
            <w:r>
              <w:rPr>
                <w:rFonts w:hint="eastAsia" w:ascii="仿宋_GB2312" w:hAnsi="宋体" w:eastAsia="仿宋_GB2312" w:cs="宋体"/>
                <w:kern w:val="0"/>
              </w:rPr>
              <w:t>产出指标</w:t>
            </w:r>
          </w:p>
          <w:p w14:paraId="17D2038A">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506" w:type="dxa"/>
            <w:tcBorders>
              <w:bottom w:val="nil"/>
            </w:tcBorders>
            <w:vAlign w:val="center"/>
          </w:tcPr>
          <w:p w14:paraId="13ECF6B6">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746" w:type="dxa"/>
            <w:shd w:val="clear" w:color="auto" w:fill="auto"/>
            <w:vAlign w:val="center"/>
          </w:tcPr>
          <w:p w14:paraId="03D0BEBF">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基本公共卫生服务</w:t>
            </w:r>
          </w:p>
        </w:tc>
        <w:tc>
          <w:tcPr>
            <w:tcW w:w="1468" w:type="dxa"/>
            <w:shd w:val="clear" w:color="auto" w:fill="auto"/>
            <w:vAlign w:val="center"/>
          </w:tcPr>
          <w:p w14:paraId="503FA77E">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全覆盖</w:t>
            </w:r>
          </w:p>
        </w:tc>
        <w:tc>
          <w:tcPr>
            <w:tcW w:w="1007" w:type="dxa"/>
            <w:shd w:val="clear" w:color="auto" w:fill="auto"/>
            <w:vAlign w:val="center"/>
          </w:tcPr>
          <w:p w14:paraId="350A5A6D">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rPr>
              <w:t>全覆盖</w:t>
            </w:r>
          </w:p>
        </w:tc>
        <w:tc>
          <w:tcPr>
            <w:tcW w:w="461" w:type="dxa"/>
            <w:shd w:val="clear" w:color="auto" w:fill="auto"/>
            <w:vAlign w:val="center"/>
          </w:tcPr>
          <w:p w14:paraId="4527404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kern w:val="0"/>
                <w:lang w:val="en-US" w:eastAsia="zh-CN"/>
              </w:rPr>
              <w:t>10</w:t>
            </w:r>
          </w:p>
        </w:tc>
        <w:tc>
          <w:tcPr>
            <w:tcW w:w="525" w:type="dxa"/>
            <w:shd w:val="clear" w:color="auto" w:fill="auto"/>
            <w:vAlign w:val="center"/>
          </w:tcPr>
          <w:p w14:paraId="1F08C4F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kern w:val="0"/>
                <w:lang w:val="en-US" w:eastAsia="zh-CN"/>
              </w:rPr>
              <w:t>10</w:t>
            </w:r>
          </w:p>
        </w:tc>
        <w:tc>
          <w:tcPr>
            <w:tcW w:w="1532" w:type="dxa"/>
            <w:shd w:val="clear" w:color="auto" w:fill="auto"/>
            <w:vAlign w:val="center"/>
          </w:tcPr>
          <w:p w14:paraId="5E21307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无偏差</w:t>
            </w:r>
          </w:p>
        </w:tc>
      </w:tr>
      <w:tr w14:paraId="17F49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326" w:type="dxa"/>
            <w:vMerge w:val="continue"/>
            <w:textDirection w:val="tbRlV"/>
            <w:vAlign w:val="center"/>
          </w:tcPr>
          <w:p w14:paraId="1179926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5B648F7">
            <w:pPr>
              <w:spacing w:line="240" w:lineRule="auto"/>
              <w:ind w:firstLine="420"/>
              <w:jc w:val="center"/>
              <w:rPr>
                <w:rFonts w:ascii="仿宋_GB2312" w:eastAsia="仿宋_GB2312"/>
                <w:kern w:val="0"/>
              </w:rPr>
            </w:pPr>
          </w:p>
        </w:tc>
        <w:tc>
          <w:tcPr>
            <w:tcW w:w="1506" w:type="dxa"/>
            <w:tcBorders>
              <w:bottom w:val="nil"/>
            </w:tcBorders>
            <w:vAlign w:val="center"/>
          </w:tcPr>
          <w:p w14:paraId="26EF404E">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746" w:type="dxa"/>
            <w:shd w:val="clear" w:color="auto" w:fill="auto"/>
            <w:vAlign w:val="center"/>
          </w:tcPr>
          <w:p w14:paraId="0B0964B3">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符合国家疾控工作考评要求</w:t>
            </w:r>
          </w:p>
        </w:tc>
        <w:tc>
          <w:tcPr>
            <w:tcW w:w="1468" w:type="dxa"/>
            <w:shd w:val="clear" w:color="auto" w:fill="auto"/>
            <w:vAlign w:val="center"/>
          </w:tcPr>
          <w:p w14:paraId="32A9F577">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无重大医疗事故</w:t>
            </w:r>
          </w:p>
        </w:tc>
        <w:tc>
          <w:tcPr>
            <w:tcW w:w="1007" w:type="dxa"/>
            <w:shd w:val="clear" w:color="auto" w:fill="auto"/>
            <w:vAlign w:val="center"/>
          </w:tcPr>
          <w:p w14:paraId="7CA0C9E1">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无重大医疗事故</w:t>
            </w:r>
          </w:p>
        </w:tc>
        <w:tc>
          <w:tcPr>
            <w:tcW w:w="461" w:type="dxa"/>
            <w:shd w:val="clear" w:color="auto" w:fill="auto"/>
            <w:vAlign w:val="center"/>
          </w:tcPr>
          <w:p w14:paraId="4BBECAB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kern w:val="0"/>
                <w:lang w:val="en-US" w:eastAsia="zh-CN"/>
              </w:rPr>
              <w:t>10</w:t>
            </w:r>
          </w:p>
        </w:tc>
        <w:tc>
          <w:tcPr>
            <w:tcW w:w="525" w:type="dxa"/>
            <w:shd w:val="clear" w:color="auto" w:fill="auto"/>
            <w:vAlign w:val="center"/>
          </w:tcPr>
          <w:p w14:paraId="0ACD9C2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kern w:val="0"/>
                <w:lang w:val="en-US" w:eastAsia="zh-CN"/>
              </w:rPr>
              <w:t>10</w:t>
            </w:r>
          </w:p>
        </w:tc>
        <w:tc>
          <w:tcPr>
            <w:tcW w:w="1532" w:type="dxa"/>
            <w:shd w:val="clear" w:color="auto" w:fill="auto"/>
            <w:vAlign w:val="center"/>
          </w:tcPr>
          <w:p w14:paraId="3529964F">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无偏差</w:t>
            </w:r>
          </w:p>
        </w:tc>
      </w:tr>
      <w:tr w14:paraId="235A8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326" w:type="dxa"/>
            <w:vMerge w:val="continue"/>
            <w:textDirection w:val="tbRlV"/>
            <w:vAlign w:val="center"/>
          </w:tcPr>
          <w:p w14:paraId="5249261D">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45DFDF6">
            <w:pPr>
              <w:spacing w:line="240" w:lineRule="auto"/>
              <w:ind w:firstLine="420"/>
              <w:jc w:val="center"/>
              <w:rPr>
                <w:rFonts w:ascii="仿宋_GB2312" w:eastAsia="仿宋_GB2312"/>
                <w:kern w:val="0"/>
              </w:rPr>
            </w:pPr>
          </w:p>
        </w:tc>
        <w:tc>
          <w:tcPr>
            <w:tcW w:w="1506" w:type="dxa"/>
            <w:tcBorders>
              <w:bottom w:val="nil"/>
            </w:tcBorders>
            <w:vAlign w:val="center"/>
          </w:tcPr>
          <w:p w14:paraId="0307E6FC">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746" w:type="dxa"/>
            <w:shd w:val="clear" w:color="auto" w:fill="auto"/>
            <w:vAlign w:val="center"/>
          </w:tcPr>
          <w:p w14:paraId="22C57E09">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完成时间</w:t>
            </w:r>
          </w:p>
        </w:tc>
        <w:tc>
          <w:tcPr>
            <w:tcW w:w="1468" w:type="dxa"/>
            <w:shd w:val="clear" w:color="auto" w:fill="auto"/>
            <w:vAlign w:val="center"/>
          </w:tcPr>
          <w:p w14:paraId="33211F7E">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val="en-US" w:eastAsia="zh-CN"/>
              </w:rPr>
              <w:t>2024年全年</w:t>
            </w:r>
          </w:p>
        </w:tc>
        <w:tc>
          <w:tcPr>
            <w:tcW w:w="1007" w:type="dxa"/>
            <w:shd w:val="clear" w:color="auto" w:fill="auto"/>
            <w:vAlign w:val="center"/>
          </w:tcPr>
          <w:p w14:paraId="662C0C15">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val="en-US" w:eastAsia="zh-CN"/>
              </w:rPr>
              <w:t>按时完成</w:t>
            </w:r>
          </w:p>
        </w:tc>
        <w:tc>
          <w:tcPr>
            <w:tcW w:w="461" w:type="dxa"/>
            <w:shd w:val="clear" w:color="auto" w:fill="auto"/>
            <w:vAlign w:val="center"/>
          </w:tcPr>
          <w:p w14:paraId="1FE4669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kern w:val="0"/>
                <w:lang w:val="en-US" w:eastAsia="zh-CN"/>
              </w:rPr>
              <w:t>10</w:t>
            </w:r>
          </w:p>
        </w:tc>
        <w:tc>
          <w:tcPr>
            <w:tcW w:w="525" w:type="dxa"/>
            <w:shd w:val="clear" w:color="auto" w:fill="auto"/>
            <w:vAlign w:val="center"/>
          </w:tcPr>
          <w:p w14:paraId="1FDD17D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kern w:val="0"/>
                <w:lang w:val="en-US" w:eastAsia="zh-CN"/>
              </w:rPr>
              <w:t>10</w:t>
            </w:r>
          </w:p>
        </w:tc>
        <w:tc>
          <w:tcPr>
            <w:tcW w:w="1532" w:type="dxa"/>
            <w:shd w:val="clear" w:color="auto" w:fill="auto"/>
            <w:vAlign w:val="center"/>
          </w:tcPr>
          <w:p w14:paraId="6DEA6307">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无偏差</w:t>
            </w:r>
          </w:p>
        </w:tc>
      </w:tr>
      <w:tr w14:paraId="2C6EC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326" w:type="dxa"/>
            <w:vMerge w:val="continue"/>
            <w:textDirection w:val="tbRlV"/>
            <w:vAlign w:val="center"/>
          </w:tcPr>
          <w:p w14:paraId="23B040C1">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4BBB08F2">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506" w:type="dxa"/>
            <w:tcBorders>
              <w:bottom w:val="nil"/>
            </w:tcBorders>
            <w:vAlign w:val="center"/>
          </w:tcPr>
          <w:p w14:paraId="31608F13">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746" w:type="dxa"/>
            <w:shd w:val="clear" w:color="auto" w:fill="auto"/>
            <w:vAlign w:val="center"/>
          </w:tcPr>
          <w:p w14:paraId="0CE41355">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减轻群众负担</w:t>
            </w:r>
          </w:p>
        </w:tc>
        <w:tc>
          <w:tcPr>
            <w:tcW w:w="1468" w:type="dxa"/>
            <w:shd w:val="clear" w:color="auto" w:fill="auto"/>
            <w:vAlign w:val="center"/>
          </w:tcPr>
          <w:p w14:paraId="3D2B3936">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逐步减轻</w:t>
            </w:r>
          </w:p>
        </w:tc>
        <w:tc>
          <w:tcPr>
            <w:tcW w:w="1007" w:type="dxa"/>
            <w:shd w:val="clear" w:color="auto" w:fill="auto"/>
            <w:vAlign w:val="center"/>
          </w:tcPr>
          <w:p w14:paraId="537C5002">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逐步减轻</w:t>
            </w:r>
          </w:p>
        </w:tc>
        <w:tc>
          <w:tcPr>
            <w:tcW w:w="461" w:type="dxa"/>
            <w:shd w:val="clear" w:color="auto" w:fill="auto"/>
            <w:vAlign w:val="center"/>
          </w:tcPr>
          <w:p w14:paraId="6A5B7AE2">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10</w:t>
            </w:r>
          </w:p>
        </w:tc>
        <w:tc>
          <w:tcPr>
            <w:tcW w:w="525" w:type="dxa"/>
            <w:shd w:val="clear" w:color="auto" w:fill="auto"/>
            <w:vAlign w:val="center"/>
          </w:tcPr>
          <w:p w14:paraId="4EDD1498">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10</w:t>
            </w:r>
          </w:p>
        </w:tc>
        <w:tc>
          <w:tcPr>
            <w:tcW w:w="1532" w:type="dxa"/>
            <w:shd w:val="clear" w:color="auto" w:fill="auto"/>
            <w:vAlign w:val="center"/>
          </w:tcPr>
          <w:p w14:paraId="06BA3B7E">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无偏差</w:t>
            </w:r>
          </w:p>
        </w:tc>
      </w:tr>
      <w:tr w14:paraId="0BA5A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326" w:type="dxa"/>
            <w:vMerge w:val="continue"/>
            <w:textDirection w:val="tbRlV"/>
            <w:vAlign w:val="center"/>
          </w:tcPr>
          <w:p w14:paraId="0EFF726B">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E8A56DA">
            <w:pPr>
              <w:spacing w:line="240" w:lineRule="auto"/>
              <w:ind w:firstLine="420"/>
              <w:jc w:val="center"/>
              <w:rPr>
                <w:rFonts w:ascii="仿宋_GB2312" w:eastAsia="仿宋_GB2312"/>
                <w:kern w:val="0"/>
              </w:rPr>
            </w:pPr>
          </w:p>
        </w:tc>
        <w:tc>
          <w:tcPr>
            <w:tcW w:w="1506" w:type="dxa"/>
            <w:tcBorders>
              <w:bottom w:val="nil"/>
            </w:tcBorders>
            <w:vAlign w:val="center"/>
          </w:tcPr>
          <w:p w14:paraId="521B77BB">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746" w:type="dxa"/>
            <w:shd w:val="clear" w:color="auto" w:fill="auto"/>
            <w:vAlign w:val="center"/>
          </w:tcPr>
          <w:p w14:paraId="072D1D0E">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人民健康得到保障</w:t>
            </w:r>
          </w:p>
        </w:tc>
        <w:tc>
          <w:tcPr>
            <w:tcW w:w="1468" w:type="dxa"/>
            <w:shd w:val="clear" w:color="auto" w:fill="auto"/>
            <w:vAlign w:val="center"/>
          </w:tcPr>
          <w:p w14:paraId="0ED04551">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无传染病暴发</w:t>
            </w:r>
          </w:p>
        </w:tc>
        <w:tc>
          <w:tcPr>
            <w:tcW w:w="1007" w:type="dxa"/>
            <w:shd w:val="clear" w:color="auto" w:fill="auto"/>
            <w:vAlign w:val="center"/>
          </w:tcPr>
          <w:p w14:paraId="38302FD2">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val="en-US" w:eastAsia="zh-CN"/>
              </w:rPr>
              <w:t>无传染病暴发</w:t>
            </w:r>
          </w:p>
        </w:tc>
        <w:tc>
          <w:tcPr>
            <w:tcW w:w="461" w:type="dxa"/>
            <w:shd w:val="clear" w:color="auto" w:fill="auto"/>
            <w:vAlign w:val="center"/>
          </w:tcPr>
          <w:p w14:paraId="408A6431">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10</w:t>
            </w:r>
          </w:p>
        </w:tc>
        <w:tc>
          <w:tcPr>
            <w:tcW w:w="525" w:type="dxa"/>
            <w:shd w:val="clear" w:color="auto" w:fill="auto"/>
            <w:vAlign w:val="center"/>
          </w:tcPr>
          <w:p w14:paraId="31DE22ED">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10</w:t>
            </w:r>
          </w:p>
        </w:tc>
        <w:tc>
          <w:tcPr>
            <w:tcW w:w="1532" w:type="dxa"/>
            <w:shd w:val="clear" w:color="auto" w:fill="auto"/>
            <w:vAlign w:val="center"/>
          </w:tcPr>
          <w:p w14:paraId="369A791D">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无偏差</w:t>
            </w:r>
          </w:p>
        </w:tc>
      </w:tr>
      <w:tr w14:paraId="75158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326" w:type="dxa"/>
            <w:vMerge w:val="continue"/>
            <w:textDirection w:val="tbRlV"/>
            <w:vAlign w:val="center"/>
          </w:tcPr>
          <w:p w14:paraId="4B534754">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B99E5A3">
            <w:pPr>
              <w:spacing w:line="240" w:lineRule="auto"/>
              <w:ind w:firstLine="420"/>
              <w:jc w:val="center"/>
              <w:rPr>
                <w:rFonts w:ascii="仿宋_GB2312" w:eastAsia="仿宋_GB2312"/>
                <w:kern w:val="0"/>
              </w:rPr>
            </w:pPr>
          </w:p>
        </w:tc>
        <w:tc>
          <w:tcPr>
            <w:tcW w:w="1506" w:type="dxa"/>
            <w:tcBorders>
              <w:bottom w:val="nil"/>
            </w:tcBorders>
            <w:vAlign w:val="center"/>
          </w:tcPr>
          <w:p w14:paraId="5692A437">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746" w:type="dxa"/>
            <w:shd w:val="clear" w:color="auto" w:fill="auto"/>
            <w:vAlign w:val="center"/>
          </w:tcPr>
          <w:p w14:paraId="7386DC66">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生态环境改变状况</w:t>
            </w:r>
          </w:p>
        </w:tc>
        <w:tc>
          <w:tcPr>
            <w:tcW w:w="1468" w:type="dxa"/>
            <w:shd w:val="clear" w:color="auto" w:fill="auto"/>
            <w:vAlign w:val="center"/>
          </w:tcPr>
          <w:p w14:paraId="46B07E5C">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有所改善</w:t>
            </w:r>
          </w:p>
        </w:tc>
        <w:tc>
          <w:tcPr>
            <w:tcW w:w="1007" w:type="dxa"/>
            <w:shd w:val="clear" w:color="auto" w:fill="auto"/>
            <w:vAlign w:val="center"/>
          </w:tcPr>
          <w:p w14:paraId="4D6FB9DC">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有所改善</w:t>
            </w:r>
          </w:p>
        </w:tc>
        <w:tc>
          <w:tcPr>
            <w:tcW w:w="461" w:type="dxa"/>
            <w:shd w:val="clear" w:color="auto" w:fill="auto"/>
            <w:vAlign w:val="center"/>
          </w:tcPr>
          <w:p w14:paraId="4625D3DD">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5</w:t>
            </w:r>
          </w:p>
        </w:tc>
        <w:tc>
          <w:tcPr>
            <w:tcW w:w="525" w:type="dxa"/>
            <w:shd w:val="clear" w:color="auto" w:fill="auto"/>
            <w:vAlign w:val="center"/>
          </w:tcPr>
          <w:p w14:paraId="67ADFF09">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5</w:t>
            </w:r>
          </w:p>
        </w:tc>
        <w:tc>
          <w:tcPr>
            <w:tcW w:w="1532" w:type="dxa"/>
            <w:shd w:val="clear" w:color="auto" w:fill="auto"/>
            <w:vAlign w:val="center"/>
          </w:tcPr>
          <w:p w14:paraId="3F135D10">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无偏差</w:t>
            </w:r>
          </w:p>
        </w:tc>
      </w:tr>
      <w:tr w14:paraId="7F167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326" w:type="dxa"/>
            <w:vMerge w:val="continue"/>
            <w:textDirection w:val="tbRlV"/>
            <w:vAlign w:val="center"/>
          </w:tcPr>
          <w:p w14:paraId="7BAD3BC9">
            <w:pPr>
              <w:spacing w:line="240" w:lineRule="auto"/>
              <w:ind w:firstLine="420"/>
              <w:jc w:val="center"/>
              <w:rPr>
                <w:rFonts w:ascii="仿宋_GB2312" w:eastAsia="仿宋_GB2312"/>
                <w:kern w:val="0"/>
              </w:rPr>
            </w:pPr>
          </w:p>
        </w:tc>
        <w:tc>
          <w:tcPr>
            <w:tcW w:w="1069" w:type="dxa"/>
            <w:vMerge w:val="continue"/>
            <w:tcBorders>
              <w:top w:val="nil"/>
              <w:bottom w:val="single" w:color="000000" w:sz="4" w:space="0"/>
            </w:tcBorders>
            <w:vAlign w:val="center"/>
          </w:tcPr>
          <w:p w14:paraId="3AD2A4D3">
            <w:pPr>
              <w:spacing w:line="240" w:lineRule="auto"/>
              <w:ind w:firstLine="420"/>
              <w:jc w:val="center"/>
              <w:rPr>
                <w:rFonts w:ascii="仿宋_GB2312" w:eastAsia="仿宋_GB2312"/>
                <w:kern w:val="0"/>
              </w:rPr>
            </w:pPr>
          </w:p>
        </w:tc>
        <w:tc>
          <w:tcPr>
            <w:tcW w:w="1506" w:type="dxa"/>
            <w:tcBorders>
              <w:bottom w:val="single" w:color="000000" w:sz="4" w:space="0"/>
            </w:tcBorders>
            <w:vAlign w:val="center"/>
          </w:tcPr>
          <w:p w14:paraId="02904B2C">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746" w:type="dxa"/>
            <w:shd w:val="clear" w:color="auto" w:fill="auto"/>
            <w:vAlign w:val="center"/>
          </w:tcPr>
          <w:p w14:paraId="37333377">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促进生态可持续发展；促进经济可持续发展</w:t>
            </w:r>
          </w:p>
        </w:tc>
        <w:tc>
          <w:tcPr>
            <w:tcW w:w="1468" w:type="dxa"/>
            <w:shd w:val="clear" w:color="auto" w:fill="auto"/>
            <w:vAlign w:val="center"/>
          </w:tcPr>
          <w:p w14:paraId="423331E9">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持续</w:t>
            </w:r>
          </w:p>
        </w:tc>
        <w:tc>
          <w:tcPr>
            <w:tcW w:w="1007" w:type="dxa"/>
            <w:shd w:val="clear" w:color="auto" w:fill="auto"/>
            <w:vAlign w:val="center"/>
          </w:tcPr>
          <w:p w14:paraId="05FE8A7A">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持续</w:t>
            </w:r>
          </w:p>
        </w:tc>
        <w:tc>
          <w:tcPr>
            <w:tcW w:w="461" w:type="dxa"/>
            <w:shd w:val="clear" w:color="auto" w:fill="auto"/>
            <w:vAlign w:val="center"/>
          </w:tcPr>
          <w:p w14:paraId="6D921CDC">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5</w:t>
            </w:r>
          </w:p>
        </w:tc>
        <w:tc>
          <w:tcPr>
            <w:tcW w:w="525" w:type="dxa"/>
            <w:shd w:val="clear" w:color="auto" w:fill="auto"/>
            <w:vAlign w:val="center"/>
          </w:tcPr>
          <w:p w14:paraId="379B56AA">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5</w:t>
            </w:r>
          </w:p>
        </w:tc>
        <w:tc>
          <w:tcPr>
            <w:tcW w:w="1532" w:type="dxa"/>
            <w:shd w:val="clear" w:color="auto" w:fill="auto"/>
            <w:vAlign w:val="center"/>
          </w:tcPr>
          <w:p w14:paraId="4C64BF4D">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无偏差</w:t>
            </w:r>
          </w:p>
        </w:tc>
      </w:tr>
      <w:tr w14:paraId="79E1A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326" w:type="dxa"/>
            <w:vMerge w:val="continue"/>
            <w:textDirection w:val="tbRlV"/>
            <w:vAlign w:val="center"/>
          </w:tcPr>
          <w:p w14:paraId="25B83F69">
            <w:pPr>
              <w:spacing w:line="240" w:lineRule="auto"/>
              <w:ind w:firstLine="420"/>
              <w:jc w:val="center"/>
              <w:rPr>
                <w:rFonts w:ascii="仿宋_GB2312" w:eastAsia="仿宋_GB2312"/>
                <w:kern w:val="0"/>
              </w:rPr>
            </w:pPr>
          </w:p>
        </w:tc>
        <w:tc>
          <w:tcPr>
            <w:tcW w:w="1069" w:type="dxa"/>
            <w:tcBorders>
              <w:top w:val="single" w:color="000000" w:sz="4" w:space="0"/>
              <w:bottom w:val="single" w:color="000000" w:sz="4" w:space="0"/>
            </w:tcBorders>
            <w:vAlign w:val="center"/>
          </w:tcPr>
          <w:p w14:paraId="2046DA91">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EA7DABA">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506" w:type="dxa"/>
            <w:tcBorders>
              <w:top w:val="single" w:color="000000" w:sz="4" w:space="0"/>
              <w:bottom w:val="single" w:color="000000" w:sz="4" w:space="0"/>
            </w:tcBorders>
            <w:vAlign w:val="center"/>
          </w:tcPr>
          <w:p w14:paraId="72233B67">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746" w:type="dxa"/>
            <w:shd w:val="clear" w:color="auto" w:fill="auto"/>
            <w:vAlign w:val="center"/>
          </w:tcPr>
          <w:p w14:paraId="35D8891C">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社会公众满意度</w:t>
            </w:r>
          </w:p>
        </w:tc>
        <w:tc>
          <w:tcPr>
            <w:tcW w:w="1468" w:type="dxa"/>
            <w:shd w:val="clear" w:color="auto" w:fill="auto"/>
            <w:vAlign w:val="center"/>
          </w:tcPr>
          <w:p w14:paraId="3C2B58D7">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w:t>
            </w:r>
            <w:r>
              <w:rPr>
                <w:rFonts w:hint="eastAsia" w:ascii="仿宋" w:hAnsi="仿宋" w:eastAsia="仿宋" w:cs="仿宋"/>
                <w:lang w:val="en-US" w:eastAsia="zh-CN"/>
              </w:rPr>
              <w:t>95%</w:t>
            </w:r>
          </w:p>
        </w:tc>
        <w:tc>
          <w:tcPr>
            <w:tcW w:w="1007" w:type="dxa"/>
            <w:shd w:val="clear" w:color="auto" w:fill="auto"/>
            <w:vAlign w:val="center"/>
          </w:tcPr>
          <w:p w14:paraId="34ABE2C1">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99.5%</w:t>
            </w:r>
          </w:p>
        </w:tc>
        <w:tc>
          <w:tcPr>
            <w:tcW w:w="461" w:type="dxa"/>
            <w:shd w:val="clear" w:color="auto" w:fill="auto"/>
            <w:vAlign w:val="center"/>
          </w:tcPr>
          <w:p w14:paraId="66AA56B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kern w:val="0"/>
                <w:lang w:val="en-US" w:eastAsia="zh-CN"/>
              </w:rPr>
              <w:t>10</w:t>
            </w:r>
          </w:p>
        </w:tc>
        <w:tc>
          <w:tcPr>
            <w:tcW w:w="525" w:type="dxa"/>
            <w:shd w:val="clear" w:color="auto" w:fill="auto"/>
            <w:vAlign w:val="center"/>
          </w:tcPr>
          <w:p w14:paraId="53C32BB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kern w:val="0"/>
                <w:lang w:val="en-US" w:eastAsia="zh-CN"/>
              </w:rPr>
              <w:t>10</w:t>
            </w:r>
          </w:p>
        </w:tc>
        <w:tc>
          <w:tcPr>
            <w:tcW w:w="1532" w:type="dxa"/>
            <w:shd w:val="clear" w:color="auto" w:fill="auto"/>
            <w:vAlign w:val="center"/>
          </w:tcPr>
          <w:p w14:paraId="69BDD79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无偏差</w:t>
            </w:r>
          </w:p>
        </w:tc>
      </w:tr>
      <w:tr w14:paraId="17327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1326" w:type="dxa"/>
            <w:vMerge w:val="continue"/>
            <w:textDirection w:val="tbRlV"/>
            <w:vAlign w:val="center"/>
          </w:tcPr>
          <w:p w14:paraId="4C9CE560">
            <w:pPr>
              <w:spacing w:line="240" w:lineRule="auto"/>
              <w:ind w:firstLine="420"/>
              <w:jc w:val="center"/>
              <w:rPr>
                <w:rFonts w:ascii="仿宋_GB2312" w:eastAsia="仿宋_GB2312"/>
                <w:kern w:val="0"/>
              </w:rPr>
            </w:pPr>
          </w:p>
        </w:tc>
        <w:tc>
          <w:tcPr>
            <w:tcW w:w="1069" w:type="dxa"/>
            <w:tcBorders>
              <w:top w:val="single" w:color="000000" w:sz="4" w:space="0"/>
            </w:tcBorders>
            <w:vAlign w:val="center"/>
          </w:tcPr>
          <w:p w14:paraId="4A24D99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C33A85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506" w:type="dxa"/>
            <w:tcBorders>
              <w:top w:val="single" w:color="000000" w:sz="4" w:space="0"/>
            </w:tcBorders>
            <w:vAlign w:val="center"/>
          </w:tcPr>
          <w:p w14:paraId="7C22A07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746" w:type="dxa"/>
            <w:shd w:val="clear" w:color="auto" w:fill="auto"/>
            <w:vAlign w:val="center"/>
          </w:tcPr>
          <w:p w14:paraId="73A48CE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预算批复金额</w:t>
            </w:r>
          </w:p>
        </w:tc>
        <w:tc>
          <w:tcPr>
            <w:tcW w:w="1468" w:type="dxa"/>
            <w:shd w:val="clear" w:color="auto" w:fill="auto"/>
            <w:vAlign w:val="center"/>
          </w:tcPr>
          <w:p w14:paraId="27E4C95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zh-CN" w:bidi="ar-SA"/>
              </w:rPr>
              <w:t>预算批复金额</w:t>
            </w:r>
          </w:p>
        </w:tc>
        <w:tc>
          <w:tcPr>
            <w:tcW w:w="1007" w:type="dxa"/>
            <w:shd w:val="clear" w:color="auto" w:fill="auto"/>
            <w:vAlign w:val="center"/>
          </w:tcPr>
          <w:p w14:paraId="6B86326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zh-CN" w:bidi="ar-SA"/>
              </w:rPr>
              <w:t>预算批复金额</w:t>
            </w:r>
          </w:p>
        </w:tc>
        <w:tc>
          <w:tcPr>
            <w:tcW w:w="461" w:type="dxa"/>
            <w:shd w:val="clear" w:color="auto" w:fill="auto"/>
            <w:vAlign w:val="center"/>
          </w:tcPr>
          <w:p w14:paraId="0F0C21E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kern w:val="0"/>
                <w:lang w:val="en-US" w:eastAsia="zh-CN"/>
              </w:rPr>
              <w:t>20</w:t>
            </w:r>
          </w:p>
        </w:tc>
        <w:tc>
          <w:tcPr>
            <w:tcW w:w="525" w:type="dxa"/>
            <w:shd w:val="clear" w:color="auto" w:fill="auto"/>
            <w:vAlign w:val="center"/>
          </w:tcPr>
          <w:p w14:paraId="6B4A1F3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kern w:val="0"/>
                <w:lang w:val="en-US" w:eastAsia="zh-CN"/>
              </w:rPr>
              <w:t>20</w:t>
            </w:r>
          </w:p>
        </w:tc>
        <w:tc>
          <w:tcPr>
            <w:tcW w:w="1532" w:type="dxa"/>
            <w:shd w:val="clear" w:color="auto" w:fill="auto"/>
            <w:vAlign w:val="center"/>
          </w:tcPr>
          <w:p w14:paraId="6ABAD5E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无偏差</w:t>
            </w:r>
          </w:p>
        </w:tc>
      </w:tr>
      <w:tr w14:paraId="7AD0B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8122" w:type="dxa"/>
            <w:gridSpan w:val="6"/>
            <w:vAlign w:val="center"/>
          </w:tcPr>
          <w:p w14:paraId="12228E15">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eastAsia="仿宋_GB2312"/>
                <w:kern w:val="0"/>
                <w:lang w:eastAsia="zh-CN"/>
              </w:rPr>
            </w:pPr>
            <w:r>
              <w:rPr>
                <w:rFonts w:hint="eastAsia" w:ascii="仿宋_GB2312" w:eastAsia="仿宋_GB2312"/>
                <w:kern w:val="0"/>
                <w:lang w:eastAsia="zh-CN"/>
              </w:rPr>
              <w:t>总分</w:t>
            </w:r>
          </w:p>
        </w:tc>
        <w:tc>
          <w:tcPr>
            <w:tcW w:w="461" w:type="dxa"/>
            <w:vAlign w:val="center"/>
          </w:tcPr>
          <w:p w14:paraId="15B3045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_GB2312" w:eastAsia="仿宋_GB2312"/>
                <w:kern w:val="0"/>
              </w:rPr>
            </w:pPr>
            <w:r>
              <w:rPr>
                <w:rFonts w:hint="eastAsia" w:ascii="仿宋_GB2312" w:eastAsia="仿宋_GB2312"/>
                <w:kern w:val="0"/>
              </w:rPr>
              <w:t>100</w:t>
            </w:r>
          </w:p>
        </w:tc>
        <w:tc>
          <w:tcPr>
            <w:tcW w:w="525" w:type="dxa"/>
            <w:shd w:val="clear" w:color="auto" w:fill="auto"/>
            <w:vAlign w:val="center"/>
          </w:tcPr>
          <w:p w14:paraId="53FEA67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532" w:type="dxa"/>
            <w:shd w:val="clear" w:color="auto" w:fill="auto"/>
            <w:vAlign w:val="center"/>
          </w:tcPr>
          <w:p w14:paraId="10156D1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lang w:eastAsia="zh-CN"/>
              </w:rPr>
              <w:t>无偏差</w:t>
            </w:r>
          </w:p>
        </w:tc>
      </w:tr>
    </w:tbl>
    <w:p w14:paraId="7BE1B937">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彭云</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填报日期：</w:t>
      </w:r>
      <w:r>
        <w:rPr>
          <w:rFonts w:hint="eastAsia" w:ascii="仿宋_GB2312" w:hAnsi="宋体" w:eastAsia="仿宋_GB2312" w:cs="宋体"/>
          <w:snapToGrid w:val="0"/>
          <w:color w:val="000000"/>
          <w:sz w:val="21"/>
          <w:szCs w:val="21"/>
          <w:lang w:val="en-US" w:eastAsia="zh-CN" w:bidi="ar-SA"/>
        </w:rPr>
        <w:t>2025.09.22</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13407302850</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黎清华</w:t>
      </w:r>
      <w:r>
        <w:rPr>
          <w:rFonts w:ascii="仿宋_GB2312" w:hAnsi="宋体" w:eastAsia="仿宋_GB2312" w:cs="宋体"/>
          <w:snapToGrid w:val="0"/>
          <w:color w:val="000000"/>
          <w:sz w:val="35"/>
          <w:szCs w:val="35"/>
          <w:lang w:val="en-US" w:eastAsia="zh-CN" w:bidi="ar-SA"/>
        </w:rPr>
        <w:t xml:space="preserve"> </w:t>
      </w:r>
    </w:p>
    <w:p w14:paraId="75FA61C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p>
    <w:p w14:paraId="5D5A342C">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3EC81C0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7EF3F58">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5893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877CF7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5F54AAE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val="en-US" w:eastAsia="zh-CN"/>
              </w:rPr>
              <w:t>疫情防控</w:t>
            </w:r>
          </w:p>
        </w:tc>
      </w:tr>
      <w:tr w14:paraId="021B5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62F9F9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0D3FA0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c>
          <w:tcPr>
            <w:tcW w:w="1099" w:type="dxa"/>
            <w:vAlign w:val="center"/>
          </w:tcPr>
          <w:p w14:paraId="37CA36F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03B752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914300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汨罗市疾病预防控制中心</w:t>
            </w:r>
          </w:p>
        </w:tc>
      </w:tr>
      <w:tr w14:paraId="3D77D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0FB5D9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669BB9C9">
            <w:pPr>
              <w:spacing w:line="240" w:lineRule="auto"/>
              <w:ind w:firstLine="420"/>
              <w:jc w:val="center"/>
              <w:rPr>
                <w:rFonts w:ascii="仿宋_GB2312" w:hAnsi="宋体" w:eastAsia="仿宋_GB2312" w:cs="宋体"/>
                <w:kern w:val="0"/>
                <w:lang w:eastAsia="zh-CN"/>
              </w:rPr>
            </w:pPr>
          </w:p>
        </w:tc>
        <w:tc>
          <w:tcPr>
            <w:tcW w:w="1020" w:type="dxa"/>
            <w:vAlign w:val="center"/>
          </w:tcPr>
          <w:p w14:paraId="4AA6110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16473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671011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CF1B51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D311BF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E3B95F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F2DECD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6B037F1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331C6D6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1528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C43377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B7D163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shd w:val="clear" w:color="auto" w:fill="auto"/>
            <w:vAlign w:val="center"/>
          </w:tcPr>
          <w:p w14:paraId="7562BFE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1099" w:type="dxa"/>
            <w:shd w:val="clear" w:color="auto" w:fill="auto"/>
            <w:vAlign w:val="center"/>
          </w:tcPr>
          <w:p w14:paraId="1621291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1099" w:type="dxa"/>
            <w:shd w:val="clear" w:color="auto" w:fill="auto"/>
            <w:vAlign w:val="center"/>
          </w:tcPr>
          <w:p w14:paraId="727D182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809" w:type="dxa"/>
            <w:shd w:val="clear" w:color="auto" w:fill="auto"/>
            <w:vAlign w:val="center"/>
          </w:tcPr>
          <w:p w14:paraId="063EE26E">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10</w:t>
            </w:r>
          </w:p>
        </w:tc>
        <w:tc>
          <w:tcPr>
            <w:tcW w:w="849" w:type="dxa"/>
            <w:shd w:val="clear" w:color="auto" w:fill="auto"/>
            <w:vAlign w:val="center"/>
          </w:tcPr>
          <w:p w14:paraId="78FF5FCB">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14:paraId="0F4D3066">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22D4F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78E657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C0371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3D0614A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1099" w:type="dxa"/>
            <w:shd w:val="clear" w:color="auto" w:fill="auto"/>
            <w:vAlign w:val="center"/>
          </w:tcPr>
          <w:p w14:paraId="64D651E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1099" w:type="dxa"/>
            <w:shd w:val="clear" w:color="auto" w:fill="auto"/>
            <w:vAlign w:val="center"/>
          </w:tcPr>
          <w:p w14:paraId="5B61F08B">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809" w:type="dxa"/>
            <w:shd w:val="clear" w:color="auto" w:fill="auto"/>
            <w:vAlign w:val="center"/>
          </w:tcPr>
          <w:p w14:paraId="43CD1E55">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5199C129">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14:paraId="28134288">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3F1C2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7CE852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CF06FC1">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16F41E7D">
            <w:pPr>
              <w:spacing w:line="240" w:lineRule="auto"/>
              <w:ind w:firstLine="420"/>
              <w:jc w:val="center"/>
              <w:rPr>
                <w:rFonts w:ascii="仿宋_GB2312" w:hAnsi="宋体" w:eastAsia="仿宋_GB2312" w:cs="宋体"/>
                <w:kern w:val="0"/>
                <w:lang w:eastAsia="zh-CN"/>
              </w:rPr>
            </w:pPr>
          </w:p>
        </w:tc>
        <w:tc>
          <w:tcPr>
            <w:tcW w:w="1099" w:type="dxa"/>
            <w:vAlign w:val="center"/>
          </w:tcPr>
          <w:p w14:paraId="00EFA6D6">
            <w:pPr>
              <w:spacing w:line="240" w:lineRule="auto"/>
              <w:ind w:firstLine="420"/>
              <w:jc w:val="center"/>
              <w:rPr>
                <w:rFonts w:ascii="仿宋_GB2312" w:hAnsi="宋体" w:eastAsia="仿宋_GB2312" w:cs="宋体"/>
                <w:kern w:val="0"/>
                <w:lang w:eastAsia="zh-CN"/>
              </w:rPr>
            </w:pPr>
          </w:p>
        </w:tc>
        <w:tc>
          <w:tcPr>
            <w:tcW w:w="1099" w:type="dxa"/>
            <w:vAlign w:val="center"/>
          </w:tcPr>
          <w:p w14:paraId="289D1233">
            <w:pPr>
              <w:spacing w:line="240" w:lineRule="auto"/>
              <w:ind w:firstLine="420"/>
              <w:jc w:val="center"/>
              <w:rPr>
                <w:rFonts w:ascii="仿宋_GB2312" w:hAnsi="宋体" w:eastAsia="仿宋_GB2312" w:cs="宋体"/>
                <w:kern w:val="0"/>
                <w:lang w:eastAsia="zh-CN"/>
              </w:rPr>
            </w:pPr>
          </w:p>
        </w:tc>
        <w:tc>
          <w:tcPr>
            <w:tcW w:w="809" w:type="dxa"/>
            <w:vAlign w:val="center"/>
          </w:tcPr>
          <w:p w14:paraId="113BA056">
            <w:pPr>
              <w:spacing w:line="240" w:lineRule="auto"/>
              <w:ind w:firstLine="420"/>
              <w:jc w:val="center"/>
              <w:rPr>
                <w:rFonts w:ascii="仿宋_GB2312" w:hAnsi="宋体" w:eastAsia="仿宋_GB2312" w:cs="宋体"/>
                <w:kern w:val="0"/>
                <w:lang w:eastAsia="zh-CN"/>
              </w:rPr>
            </w:pPr>
          </w:p>
        </w:tc>
        <w:tc>
          <w:tcPr>
            <w:tcW w:w="849" w:type="dxa"/>
            <w:vAlign w:val="center"/>
          </w:tcPr>
          <w:p w14:paraId="156D76FB">
            <w:pPr>
              <w:spacing w:line="240" w:lineRule="auto"/>
              <w:ind w:firstLine="420"/>
              <w:jc w:val="center"/>
              <w:rPr>
                <w:rFonts w:ascii="仿宋_GB2312" w:hAnsi="宋体" w:eastAsia="仿宋_GB2312" w:cs="宋体"/>
                <w:kern w:val="0"/>
                <w:lang w:eastAsia="zh-CN"/>
              </w:rPr>
            </w:pPr>
          </w:p>
        </w:tc>
        <w:tc>
          <w:tcPr>
            <w:tcW w:w="1383" w:type="dxa"/>
            <w:vAlign w:val="center"/>
          </w:tcPr>
          <w:p w14:paraId="341D5CA0">
            <w:pPr>
              <w:spacing w:line="240" w:lineRule="auto"/>
              <w:ind w:firstLine="420"/>
              <w:jc w:val="center"/>
              <w:rPr>
                <w:rFonts w:ascii="仿宋_GB2312" w:hAnsi="宋体" w:eastAsia="仿宋_GB2312" w:cs="宋体"/>
                <w:kern w:val="0"/>
                <w:lang w:eastAsia="zh-CN"/>
              </w:rPr>
            </w:pPr>
          </w:p>
        </w:tc>
      </w:tr>
      <w:tr w14:paraId="3E56C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88AAB5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01E650">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9C4AED4">
            <w:pPr>
              <w:spacing w:line="240" w:lineRule="auto"/>
              <w:ind w:firstLine="420"/>
              <w:jc w:val="center"/>
              <w:rPr>
                <w:rFonts w:ascii="仿宋_GB2312" w:hAnsi="宋体" w:eastAsia="仿宋_GB2312" w:cs="宋体"/>
                <w:kern w:val="0"/>
              </w:rPr>
            </w:pPr>
          </w:p>
        </w:tc>
        <w:tc>
          <w:tcPr>
            <w:tcW w:w="1099" w:type="dxa"/>
            <w:vAlign w:val="center"/>
          </w:tcPr>
          <w:p w14:paraId="6F610DBE">
            <w:pPr>
              <w:spacing w:line="240" w:lineRule="auto"/>
              <w:ind w:firstLine="420"/>
              <w:jc w:val="center"/>
              <w:rPr>
                <w:rFonts w:ascii="仿宋_GB2312" w:hAnsi="宋体" w:eastAsia="仿宋_GB2312" w:cs="宋体"/>
                <w:kern w:val="0"/>
              </w:rPr>
            </w:pPr>
          </w:p>
        </w:tc>
        <w:tc>
          <w:tcPr>
            <w:tcW w:w="1099" w:type="dxa"/>
            <w:vAlign w:val="center"/>
          </w:tcPr>
          <w:p w14:paraId="24FA977C">
            <w:pPr>
              <w:spacing w:line="240" w:lineRule="auto"/>
              <w:ind w:firstLine="420"/>
              <w:jc w:val="center"/>
              <w:rPr>
                <w:rFonts w:ascii="仿宋_GB2312" w:hAnsi="宋体" w:eastAsia="仿宋_GB2312" w:cs="宋体"/>
                <w:kern w:val="0"/>
              </w:rPr>
            </w:pPr>
          </w:p>
        </w:tc>
        <w:tc>
          <w:tcPr>
            <w:tcW w:w="809" w:type="dxa"/>
            <w:vAlign w:val="center"/>
          </w:tcPr>
          <w:p w14:paraId="49D25CC9">
            <w:pPr>
              <w:spacing w:line="240" w:lineRule="auto"/>
              <w:ind w:firstLine="420"/>
              <w:jc w:val="center"/>
              <w:rPr>
                <w:rFonts w:ascii="仿宋_GB2312" w:hAnsi="宋体" w:eastAsia="仿宋_GB2312" w:cs="宋体"/>
                <w:kern w:val="0"/>
              </w:rPr>
            </w:pPr>
          </w:p>
        </w:tc>
        <w:tc>
          <w:tcPr>
            <w:tcW w:w="849" w:type="dxa"/>
            <w:vAlign w:val="center"/>
          </w:tcPr>
          <w:p w14:paraId="0D4E7E4B">
            <w:pPr>
              <w:spacing w:line="240" w:lineRule="auto"/>
              <w:ind w:firstLine="420"/>
              <w:jc w:val="center"/>
              <w:rPr>
                <w:rFonts w:ascii="仿宋_GB2312" w:hAnsi="宋体" w:eastAsia="仿宋_GB2312" w:cs="宋体"/>
                <w:kern w:val="0"/>
              </w:rPr>
            </w:pPr>
          </w:p>
        </w:tc>
        <w:tc>
          <w:tcPr>
            <w:tcW w:w="1383" w:type="dxa"/>
            <w:vAlign w:val="center"/>
          </w:tcPr>
          <w:p w14:paraId="53A517D6">
            <w:pPr>
              <w:spacing w:line="240" w:lineRule="auto"/>
              <w:ind w:firstLine="420"/>
              <w:jc w:val="center"/>
              <w:rPr>
                <w:rFonts w:ascii="仿宋_GB2312" w:hAnsi="宋体" w:eastAsia="仿宋_GB2312" w:cs="宋体"/>
                <w:kern w:val="0"/>
              </w:rPr>
            </w:pPr>
          </w:p>
        </w:tc>
      </w:tr>
      <w:tr w14:paraId="7DA5A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527362A">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5248F9E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13F1B24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02BD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6CC4DE5">
            <w:pPr>
              <w:spacing w:line="240" w:lineRule="auto"/>
              <w:ind w:firstLine="420"/>
              <w:jc w:val="center"/>
              <w:rPr>
                <w:rFonts w:ascii="仿宋_GB2312" w:hAnsi="宋体" w:eastAsia="仿宋_GB2312" w:cs="宋体"/>
                <w:kern w:val="0"/>
              </w:rPr>
            </w:pPr>
          </w:p>
        </w:tc>
        <w:tc>
          <w:tcPr>
            <w:tcW w:w="4396" w:type="dxa"/>
            <w:gridSpan w:val="4"/>
            <w:vAlign w:val="center"/>
          </w:tcPr>
          <w:p w14:paraId="4766C51E">
            <w:pPr>
              <w:pStyle w:val="8"/>
              <w:keepNext w:val="0"/>
              <w:keepLines w:val="0"/>
              <w:pageBreakBefore w:val="0"/>
              <w:widowControl/>
              <w:kinsoku/>
              <w:wordWrap/>
              <w:overflowPunct/>
              <w:topLinePunct w:val="0"/>
              <w:autoSpaceDE w:val="0"/>
              <w:autoSpaceDN w:val="0"/>
              <w:bidi w:val="0"/>
              <w:adjustRightInd w:val="0"/>
              <w:snapToGrid w:val="0"/>
              <w:ind w:firstLine="0"/>
              <w:textAlignment w:val="baseline"/>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 xml:space="preserve">1、是保障重大社会活动疫情防控  </w:t>
            </w:r>
          </w:p>
          <w:p w14:paraId="67E6239D">
            <w:pPr>
              <w:pStyle w:val="8"/>
              <w:keepNext w:val="0"/>
              <w:keepLines w:val="0"/>
              <w:pageBreakBefore w:val="0"/>
              <w:widowControl/>
              <w:kinsoku/>
              <w:wordWrap/>
              <w:overflowPunct/>
              <w:topLinePunct w:val="0"/>
              <w:autoSpaceDE w:val="0"/>
              <w:autoSpaceDN w:val="0"/>
              <w:bidi w:val="0"/>
              <w:adjustRightInd w:val="0"/>
              <w:snapToGrid w:val="0"/>
              <w:ind w:firstLine="0"/>
              <w:textAlignment w:val="baseline"/>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2、是严格开展流行病学调查，及时追踪管理密切接触者、次密切接触者</w:t>
            </w:r>
          </w:p>
          <w:p w14:paraId="52C89954">
            <w:pPr>
              <w:pStyle w:val="8"/>
              <w:keepNext w:val="0"/>
              <w:keepLines w:val="0"/>
              <w:pageBreakBefore w:val="0"/>
              <w:widowControl/>
              <w:kinsoku/>
              <w:wordWrap/>
              <w:overflowPunct/>
              <w:topLinePunct w:val="0"/>
              <w:autoSpaceDE w:val="0"/>
              <w:autoSpaceDN w:val="0"/>
              <w:bidi w:val="0"/>
              <w:adjustRightInd w:val="0"/>
              <w:snapToGrid w:val="0"/>
              <w:ind w:firstLine="0"/>
              <w:textAlignment w:val="baseline"/>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3、是参与重大疫情防控、报告管理，现场处置传染病疫情</w:t>
            </w:r>
          </w:p>
          <w:p w14:paraId="681B411A">
            <w:pPr>
              <w:pStyle w:val="8"/>
              <w:keepNext w:val="0"/>
              <w:keepLines w:val="0"/>
              <w:pageBreakBefore w:val="0"/>
              <w:widowControl/>
              <w:kinsoku/>
              <w:wordWrap/>
              <w:overflowPunct/>
              <w:topLinePunct w:val="0"/>
              <w:autoSpaceDE w:val="0"/>
              <w:autoSpaceDN w:val="0"/>
              <w:bidi w:val="0"/>
              <w:adjustRightInd w:val="0"/>
              <w:snapToGrid w:val="0"/>
              <w:ind w:firstLine="0"/>
              <w:textAlignment w:val="baseline"/>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4、四是冷链食品新冠病毒核酸监测；</w:t>
            </w:r>
          </w:p>
          <w:p w14:paraId="05906907">
            <w:pPr>
              <w:keepNext w:val="0"/>
              <w:keepLines w:val="0"/>
              <w:pageBreakBefore w:val="0"/>
              <w:widowControl/>
              <w:wordWrap/>
              <w:overflowPunct/>
              <w:topLinePunct w:val="0"/>
              <w:autoSpaceDE w:val="0"/>
              <w:autoSpaceDN w:val="0"/>
              <w:bidi w:val="0"/>
              <w:adjustRightInd w:val="0"/>
              <w:snapToGrid w:val="0"/>
              <w:spacing w:line="240" w:lineRule="auto"/>
              <w:ind w:firstLine="0"/>
              <w:jc w:val="both"/>
              <w:textAlignment w:val="baseline"/>
              <w:rPr>
                <w:rFonts w:ascii="仿宋_GB2312" w:hAnsi="宋体" w:eastAsia="仿宋_GB2312" w:cs="宋体"/>
                <w:kern w:val="0"/>
              </w:rPr>
            </w:pPr>
            <w:r>
              <w:rPr>
                <w:rFonts w:hint="eastAsia" w:ascii="仿宋_GB2312" w:hAnsi="宋体" w:eastAsia="仿宋_GB2312" w:cs="宋体"/>
                <w:snapToGrid w:val="0"/>
                <w:color w:val="000000"/>
                <w:kern w:val="0"/>
                <w:sz w:val="21"/>
                <w:szCs w:val="21"/>
                <w:lang w:val="en-US" w:eastAsia="zh-CN" w:bidi="ar-SA"/>
              </w:rPr>
              <w:t>5、及时处理传染病自动预警信息系统预警。</w:t>
            </w:r>
          </w:p>
        </w:tc>
        <w:tc>
          <w:tcPr>
            <w:tcW w:w="4140" w:type="dxa"/>
            <w:gridSpan w:val="4"/>
            <w:vAlign w:val="center"/>
          </w:tcPr>
          <w:p w14:paraId="65A5974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snapToGrid w:val="0"/>
                <w:color w:val="000000"/>
                <w:kern w:val="0"/>
                <w:sz w:val="21"/>
                <w:szCs w:val="21"/>
                <w:lang w:val="en-US" w:eastAsia="zh-CN" w:bidi="ar-SA"/>
              </w:rPr>
              <w:t>完成率100%</w:t>
            </w:r>
          </w:p>
        </w:tc>
      </w:tr>
      <w:tr w14:paraId="12D9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AEF7925">
            <w:pPr>
              <w:spacing w:line="240" w:lineRule="auto"/>
              <w:ind w:firstLine="420"/>
              <w:jc w:val="center"/>
              <w:rPr>
                <w:rFonts w:ascii="仿宋_GB2312" w:hAnsi="宋体" w:eastAsia="仿宋_GB2312" w:cs="宋体"/>
                <w:kern w:val="0"/>
              </w:rPr>
            </w:pPr>
          </w:p>
          <w:p w14:paraId="57F8671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66A52A78">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489E2A1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2FB00DF3">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93381F8">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422DE64">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E4970AF">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48F04C8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4D5F297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6C0E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1054" w:type="dxa"/>
            <w:vMerge w:val="continue"/>
            <w:textDirection w:val="tbRlV"/>
            <w:vAlign w:val="center"/>
          </w:tcPr>
          <w:p w14:paraId="1BB1BED5">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07CDF0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AB67E95">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3D151F3D">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Merge w:val="restart"/>
            <w:shd w:val="clear" w:color="auto" w:fill="auto"/>
            <w:vAlign w:val="center"/>
          </w:tcPr>
          <w:p w14:paraId="03B304D6">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完成指令任务</w:t>
            </w:r>
          </w:p>
        </w:tc>
        <w:tc>
          <w:tcPr>
            <w:tcW w:w="1099" w:type="dxa"/>
            <w:vMerge w:val="restart"/>
            <w:shd w:val="clear" w:color="auto" w:fill="auto"/>
            <w:vAlign w:val="center"/>
          </w:tcPr>
          <w:p w14:paraId="40ABB4D3">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全部完成</w:t>
            </w:r>
          </w:p>
        </w:tc>
        <w:tc>
          <w:tcPr>
            <w:tcW w:w="1099" w:type="dxa"/>
            <w:vMerge w:val="restart"/>
            <w:shd w:val="clear" w:color="auto" w:fill="auto"/>
            <w:vAlign w:val="center"/>
          </w:tcPr>
          <w:p w14:paraId="3BD3529F">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全部完成</w:t>
            </w:r>
          </w:p>
        </w:tc>
        <w:tc>
          <w:tcPr>
            <w:tcW w:w="809" w:type="dxa"/>
            <w:vMerge w:val="restart"/>
            <w:shd w:val="clear" w:color="auto" w:fill="auto"/>
            <w:vAlign w:val="center"/>
          </w:tcPr>
          <w:p w14:paraId="76AC8544">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Merge w:val="restart"/>
            <w:shd w:val="clear" w:color="auto" w:fill="auto"/>
            <w:vAlign w:val="center"/>
          </w:tcPr>
          <w:p w14:paraId="13CEB6D8">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078240EA">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无偏差</w:t>
            </w:r>
          </w:p>
        </w:tc>
      </w:tr>
      <w:tr w14:paraId="70256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1054" w:type="dxa"/>
            <w:vMerge w:val="continue"/>
            <w:textDirection w:val="tbRlV"/>
            <w:vAlign w:val="center"/>
          </w:tcPr>
          <w:p w14:paraId="2A57F12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1A87D91">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81627DE">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Merge w:val="restart"/>
            <w:shd w:val="clear" w:color="auto" w:fill="auto"/>
            <w:vAlign w:val="center"/>
          </w:tcPr>
          <w:p w14:paraId="291DC60B">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保障正常运转</w:t>
            </w:r>
          </w:p>
        </w:tc>
        <w:tc>
          <w:tcPr>
            <w:tcW w:w="1099" w:type="dxa"/>
            <w:vMerge w:val="restart"/>
            <w:shd w:val="clear" w:color="auto" w:fill="auto"/>
            <w:vAlign w:val="center"/>
          </w:tcPr>
          <w:p w14:paraId="28CA921A">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正常运转</w:t>
            </w:r>
          </w:p>
        </w:tc>
        <w:tc>
          <w:tcPr>
            <w:tcW w:w="1099" w:type="dxa"/>
            <w:vMerge w:val="restart"/>
            <w:shd w:val="clear" w:color="auto" w:fill="auto"/>
            <w:vAlign w:val="center"/>
          </w:tcPr>
          <w:p w14:paraId="0F1A0FCD">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正常运转</w:t>
            </w:r>
          </w:p>
        </w:tc>
        <w:tc>
          <w:tcPr>
            <w:tcW w:w="809" w:type="dxa"/>
            <w:vMerge w:val="restart"/>
            <w:shd w:val="clear" w:color="auto" w:fill="auto"/>
            <w:vAlign w:val="center"/>
          </w:tcPr>
          <w:p w14:paraId="26D6A52C">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Merge w:val="restart"/>
            <w:shd w:val="clear" w:color="auto" w:fill="auto"/>
            <w:vAlign w:val="center"/>
          </w:tcPr>
          <w:p w14:paraId="00290484">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1B51F06F">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无偏差</w:t>
            </w:r>
          </w:p>
        </w:tc>
      </w:tr>
      <w:tr w14:paraId="0A5B6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054" w:type="dxa"/>
            <w:vMerge w:val="continue"/>
            <w:textDirection w:val="tbRlV"/>
            <w:vAlign w:val="center"/>
          </w:tcPr>
          <w:p w14:paraId="382C640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090172">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921BFC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Merge w:val="restart"/>
            <w:shd w:val="clear" w:color="auto" w:fill="auto"/>
            <w:vAlign w:val="center"/>
          </w:tcPr>
          <w:p w14:paraId="7CD2BC5D">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完成时间</w:t>
            </w:r>
          </w:p>
        </w:tc>
        <w:tc>
          <w:tcPr>
            <w:tcW w:w="1099" w:type="dxa"/>
            <w:vMerge w:val="restart"/>
            <w:shd w:val="clear" w:color="auto" w:fill="auto"/>
            <w:vAlign w:val="center"/>
          </w:tcPr>
          <w:p w14:paraId="722679B4">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年全年</w:t>
            </w:r>
          </w:p>
        </w:tc>
        <w:tc>
          <w:tcPr>
            <w:tcW w:w="1099" w:type="dxa"/>
            <w:vMerge w:val="restart"/>
            <w:shd w:val="clear" w:color="auto" w:fill="auto"/>
            <w:vAlign w:val="center"/>
          </w:tcPr>
          <w:p w14:paraId="5CF0F161">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按时完成</w:t>
            </w:r>
          </w:p>
        </w:tc>
        <w:tc>
          <w:tcPr>
            <w:tcW w:w="809" w:type="dxa"/>
            <w:vMerge w:val="restart"/>
            <w:shd w:val="clear" w:color="auto" w:fill="auto"/>
            <w:vAlign w:val="center"/>
          </w:tcPr>
          <w:p w14:paraId="4A2E46D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Merge w:val="restart"/>
            <w:shd w:val="clear" w:color="auto" w:fill="auto"/>
            <w:vAlign w:val="center"/>
          </w:tcPr>
          <w:p w14:paraId="024BE3A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15B12C44">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无偏差</w:t>
            </w:r>
          </w:p>
        </w:tc>
      </w:tr>
      <w:tr w14:paraId="5ECB6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34D8DFD4">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2E12F19">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1C61F8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08223FE2">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Merge w:val="restart"/>
            <w:shd w:val="clear" w:color="auto" w:fill="auto"/>
            <w:vAlign w:val="center"/>
          </w:tcPr>
          <w:p w14:paraId="01578157">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提高卫生服务质量</w:t>
            </w:r>
          </w:p>
        </w:tc>
        <w:tc>
          <w:tcPr>
            <w:tcW w:w="1099" w:type="dxa"/>
            <w:vMerge w:val="restart"/>
            <w:shd w:val="clear" w:color="auto" w:fill="auto"/>
            <w:vAlign w:val="center"/>
          </w:tcPr>
          <w:p w14:paraId="09CC8A5B">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有所提升</w:t>
            </w:r>
          </w:p>
        </w:tc>
        <w:tc>
          <w:tcPr>
            <w:tcW w:w="1099" w:type="dxa"/>
            <w:vMerge w:val="restart"/>
            <w:shd w:val="clear" w:color="auto" w:fill="auto"/>
            <w:vAlign w:val="center"/>
          </w:tcPr>
          <w:p w14:paraId="671E754F">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有所提升</w:t>
            </w:r>
          </w:p>
        </w:tc>
        <w:tc>
          <w:tcPr>
            <w:tcW w:w="809" w:type="dxa"/>
            <w:vMerge w:val="restart"/>
            <w:shd w:val="clear" w:color="auto" w:fill="auto"/>
            <w:vAlign w:val="center"/>
          </w:tcPr>
          <w:p w14:paraId="2FA77B94">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Merge w:val="restart"/>
            <w:shd w:val="clear" w:color="auto" w:fill="auto"/>
            <w:vAlign w:val="center"/>
          </w:tcPr>
          <w:p w14:paraId="65E0728B">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41CB8274">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无偏差</w:t>
            </w:r>
          </w:p>
        </w:tc>
      </w:tr>
      <w:tr w14:paraId="64841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55F03DB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BA9A281">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DD138A6">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Merge w:val="restart"/>
            <w:shd w:val="clear" w:color="auto" w:fill="auto"/>
            <w:vAlign w:val="center"/>
          </w:tcPr>
          <w:p w14:paraId="0FC658C7">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保障社会和谐稳定</w:t>
            </w:r>
          </w:p>
        </w:tc>
        <w:tc>
          <w:tcPr>
            <w:tcW w:w="1099" w:type="dxa"/>
            <w:vMerge w:val="restart"/>
            <w:shd w:val="clear" w:color="auto" w:fill="auto"/>
            <w:vAlign w:val="center"/>
          </w:tcPr>
          <w:p w14:paraId="3F7F510E">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保障稳定</w:t>
            </w:r>
          </w:p>
        </w:tc>
        <w:tc>
          <w:tcPr>
            <w:tcW w:w="1099" w:type="dxa"/>
            <w:vMerge w:val="restart"/>
            <w:shd w:val="clear" w:color="auto" w:fill="auto"/>
            <w:vAlign w:val="center"/>
          </w:tcPr>
          <w:p w14:paraId="2D350D24">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保障稳定</w:t>
            </w:r>
          </w:p>
        </w:tc>
        <w:tc>
          <w:tcPr>
            <w:tcW w:w="809" w:type="dxa"/>
            <w:vMerge w:val="restart"/>
            <w:shd w:val="clear" w:color="auto" w:fill="auto"/>
            <w:vAlign w:val="center"/>
          </w:tcPr>
          <w:p w14:paraId="7AB83A06">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Merge w:val="restart"/>
            <w:shd w:val="clear" w:color="auto" w:fill="auto"/>
            <w:vAlign w:val="center"/>
          </w:tcPr>
          <w:p w14:paraId="5DBBEA7E">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4E15EAC9">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无偏差</w:t>
            </w:r>
          </w:p>
        </w:tc>
      </w:tr>
      <w:tr w14:paraId="441C7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7E70FC9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472F606">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14875CB9">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Merge w:val="restart"/>
            <w:shd w:val="clear" w:color="auto" w:fill="auto"/>
            <w:vAlign w:val="center"/>
          </w:tcPr>
          <w:p w14:paraId="7EDB1916">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en-US"/>
              </w:rPr>
              <w:t>生态环境改变状况</w:t>
            </w:r>
          </w:p>
        </w:tc>
        <w:tc>
          <w:tcPr>
            <w:tcW w:w="1099" w:type="dxa"/>
            <w:vMerge w:val="restart"/>
            <w:shd w:val="clear" w:color="auto" w:fill="auto"/>
            <w:vAlign w:val="center"/>
          </w:tcPr>
          <w:p w14:paraId="380772BC">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有所改善</w:t>
            </w:r>
          </w:p>
        </w:tc>
        <w:tc>
          <w:tcPr>
            <w:tcW w:w="1099" w:type="dxa"/>
            <w:vMerge w:val="restart"/>
            <w:shd w:val="clear" w:color="auto" w:fill="auto"/>
            <w:vAlign w:val="center"/>
          </w:tcPr>
          <w:p w14:paraId="6B0178C0">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有所改善</w:t>
            </w:r>
          </w:p>
        </w:tc>
        <w:tc>
          <w:tcPr>
            <w:tcW w:w="809" w:type="dxa"/>
            <w:vMerge w:val="restart"/>
            <w:shd w:val="clear" w:color="auto" w:fill="auto"/>
            <w:vAlign w:val="center"/>
          </w:tcPr>
          <w:p w14:paraId="42A4A499">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vMerge w:val="restart"/>
            <w:shd w:val="clear" w:color="auto" w:fill="auto"/>
            <w:vAlign w:val="center"/>
          </w:tcPr>
          <w:p w14:paraId="3EDF21E6">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shd w:val="clear" w:color="auto" w:fill="auto"/>
            <w:vAlign w:val="center"/>
          </w:tcPr>
          <w:p w14:paraId="3D5918F3">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无偏差</w:t>
            </w:r>
          </w:p>
        </w:tc>
      </w:tr>
      <w:tr w14:paraId="6C09E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4929188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94710E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33E00B0">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76F617F0">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促进可持续发展</w:t>
            </w:r>
          </w:p>
        </w:tc>
        <w:tc>
          <w:tcPr>
            <w:tcW w:w="1099" w:type="dxa"/>
            <w:shd w:val="clear" w:color="auto" w:fill="auto"/>
            <w:vAlign w:val="center"/>
          </w:tcPr>
          <w:p w14:paraId="5EEFB4FD">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持续</w:t>
            </w:r>
          </w:p>
        </w:tc>
        <w:tc>
          <w:tcPr>
            <w:tcW w:w="1099" w:type="dxa"/>
            <w:shd w:val="clear" w:color="auto" w:fill="auto"/>
            <w:vAlign w:val="center"/>
          </w:tcPr>
          <w:p w14:paraId="1722BBA2">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持续</w:t>
            </w:r>
          </w:p>
        </w:tc>
        <w:tc>
          <w:tcPr>
            <w:tcW w:w="809" w:type="dxa"/>
            <w:shd w:val="clear" w:color="auto" w:fill="auto"/>
            <w:vAlign w:val="center"/>
          </w:tcPr>
          <w:p w14:paraId="78C0771B">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1FC238A2">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shd w:val="clear" w:color="auto" w:fill="auto"/>
            <w:vAlign w:val="center"/>
          </w:tcPr>
          <w:p w14:paraId="60C375C2">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无偏差</w:t>
            </w:r>
          </w:p>
        </w:tc>
      </w:tr>
      <w:tr w14:paraId="08258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1054" w:type="dxa"/>
            <w:vMerge w:val="continue"/>
            <w:textDirection w:val="tbRlV"/>
            <w:vAlign w:val="center"/>
          </w:tcPr>
          <w:p w14:paraId="75ED5292">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398AD84F">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04A7C14">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62414E61">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社会公众满意度</w:t>
            </w:r>
          </w:p>
        </w:tc>
        <w:tc>
          <w:tcPr>
            <w:tcW w:w="1099" w:type="dxa"/>
            <w:shd w:val="clear" w:color="auto" w:fill="auto"/>
            <w:vAlign w:val="center"/>
          </w:tcPr>
          <w:p w14:paraId="6E2389BC">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≥95%</w:t>
            </w:r>
          </w:p>
        </w:tc>
        <w:tc>
          <w:tcPr>
            <w:tcW w:w="1099" w:type="dxa"/>
            <w:shd w:val="clear" w:color="auto" w:fill="auto"/>
            <w:vAlign w:val="center"/>
          </w:tcPr>
          <w:p w14:paraId="1CE2495C">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99.5%</w:t>
            </w:r>
          </w:p>
        </w:tc>
        <w:tc>
          <w:tcPr>
            <w:tcW w:w="809" w:type="dxa"/>
            <w:shd w:val="clear" w:color="auto" w:fill="auto"/>
            <w:vAlign w:val="center"/>
          </w:tcPr>
          <w:p w14:paraId="481941FB">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74EBCCB0">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2109E439">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无偏差</w:t>
            </w:r>
          </w:p>
        </w:tc>
      </w:tr>
      <w:tr w14:paraId="491D3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1054" w:type="dxa"/>
            <w:vMerge w:val="continue"/>
            <w:textDirection w:val="tbRlV"/>
            <w:vAlign w:val="center"/>
          </w:tcPr>
          <w:p w14:paraId="305F86EF">
            <w:pPr>
              <w:spacing w:line="240" w:lineRule="auto"/>
              <w:ind w:firstLine="420"/>
              <w:jc w:val="center"/>
              <w:rPr>
                <w:rFonts w:ascii="仿宋_GB2312" w:hAnsi="宋体" w:eastAsia="仿宋_GB2312" w:cs="宋体"/>
                <w:kern w:val="0"/>
              </w:rPr>
            </w:pPr>
          </w:p>
        </w:tc>
        <w:tc>
          <w:tcPr>
            <w:tcW w:w="1059" w:type="dxa"/>
            <w:tcBorders>
              <w:top w:val="nil"/>
            </w:tcBorders>
            <w:vAlign w:val="center"/>
          </w:tcPr>
          <w:p w14:paraId="67F5B87D">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0A0409C">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4461FC47">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74E2BA18">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预算批复金额</w:t>
            </w:r>
          </w:p>
        </w:tc>
        <w:tc>
          <w:tcPr>
            <w:tcW w:w="1099" w:type="dxa"/>
            <w:shd w:val="clear" w:color="auto" w:fill="auto"/>
            <w:vAlign w:val="center"/>
          </w:tcPr>
          <w:p w14:paraId="0233B53E">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30</w:t>
            </w:r>
            <w:r>
              <w:rPr>
                <w:rFonts w:hint="eastAsia" w:ascii="仿宋_GB2312" w:hAnsi="宋体" w:eastAsia="仿宋_GB2312" w:cs="宋体"/>
                <w:kern w:val="0"/>
              </w:rPr>
              <w:t>万元</w:t>
            </w:r>
          </w:p>
        </w:tc>
        <w:tc>
          <w:tcPr>
            <w:tcW w:w="1099" w:type="dxa"/>
            <w:shd w:val="clear" w:color="auto" w:fill="auto"/>
            <w:vAlign w:val="center"/>
          </w:tcPr>
          <w:p w14:paraId="16D95452">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30</w:t>
            </w:r>
            <w:r>
              <w:rPr>
                <w:rFonts w:hint="eastAsia" w:ascii="仿宋_GB2312" w:hAnsi="宋体" w:eastAsia="仿宋_GB2312" w:cs="宋体"/>
                <w:kern w:val="0"/>
              </w:rPr>
              <w:t>万元</w:t>
            </w:r>
          </w:p>
        </w:tc>
        <w:tc>
          <w:tcPr>
            <w:tcW w:w="809" w:type="dxa"/>
            <w:shd w:val="clear" w:color="auto" w:fill="auto"/>
            <w:vAlign w:val="center"/>
          </w:tcPr>
          <w:p w14:paraId="52BF855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849" w:type="dxa"/>
            <w:shd w:val="clear" w:color="auto" w:fill="auto"/>
            <w:vAlign w:val="center"/>
          </w:tcPr>
          <w:p w14:paraId="661C81D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1383" w:type="dxa"/>
            <w:shd w:val="clear" w:color="auto" w:fill="auto"/>
            <w:vAlign w:val="center"/>
          </w:tcPr>
          <w:p w14:paraId="62237675">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无偏差</w:t>
            </w:r>
          </w:p>
        </w:tc>
      </w:tr>
      <w:tr w14:paraId="3FF57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D893D6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14CBCB5">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shd w:val="clear" w:color="auto" w:fill="auto"/>
            <w:vAlign w:val="center"/>
          </w:tcPr>
          <w:p w14:paraId="3DEC9E8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14:paraId="4B95C6F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无偏差</w:t>
            </w:r>
          </w:p>
        </w:tc>
      </w:tr>
    </w:tbl>
    <w:p w14:paraId="30449504">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785945D">
      <w:pPr>
        <w:spacing w:line="240" w:lineRule="auto"/>
        <w:ind w:firstLine="420"/>
        <w:jc w:val="left"/>
        <w:rPr>
          <w:rFonts w:ascii="宋体" w:hAnsi="宋体" w:eastAsia="宋体" w:cs="宋体"/>
          <w:kern w:val="0"/>
          <w:lang w:eastAsia="zh-CN"/>
        </w:rPr>
      </w:pPr>
    </w:p>
    <w:p w14:paraId="52F64ACE">
      <w:pPr>
        <w:rPr>
          <w:rFonts w:ascii="仿宋_GB2312" w:hAnsi="宋体" w:eastAsia="仿宋_GB2312" w:cs="宋体"/>
          <w:lang w:eastAsia="zh-CN"/>
        </w:rPr>
        <w:sectPr>
          <w:footerReference r:id="rId7" w:type="default"/>
          <w:pgSz w:w="11907" w:h="16839"/>
          <w:pgMar w:top="737" w:right="1474" w:bottom="794" w:left="1474" w:header="0" w:footer="1588" w:gutter="0"/>
          <w:pgNumType w:fmt="numberInDash"/>
          <w:cols w:space="720" w:num="1"/>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彭云</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填报日期：</w:t>
      </w:r>
      <w:r>
        <w:rPr>
          <w:rFonts w:hint="eastAsia" w:ascii="仿宋_GB2312" w:hAnsi="宋体" w:eastAsia="仿宋_GB2312" w:cs="宋体"/>
          <w:snapToGrid w:val="0"/>
          <w:color w:val="000000"/>
          <w:sz w:val="21"/>
          <w:szCs w:val="21"/>
          <w:lang w:val="en-US" w:eastAsia="zh-CN" w:bidi="ar-SA"/>
        </w:rPr>
        <w:t>2025.09.22</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13407302850</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黎清华</w:t>
      </w:r>
      <w:r>
        <w:rPr>
          <w:rFonts w:ascii="仿宋_GB2312" w:hAnsi="宋体" w:eastAsia="仿宋_GB2312" w:cs="宋体"/>
          <w:snapToGrid w:val="0"/>
          <w:color w:val="000000"/>
          <w:sz w:val="35"/>
          <w:szCs w:val="35"/>
          <w:lang w:val="en-US" w:eastAsia="zh-CN" w:bidi="ar-SA"/>
        </w:rPr>
        <w:t xml:space="preserve"> </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79F5E417">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汨罗市疾病预防控制中心</w:t>
      </w:r>
      <w:r>
        <w:rPr>
          <w:rFonts w:hint="eastAsia" w:ascii="方正小标宋简体" w:hAnsi="宋体" w:eastAsia="方正小标宋简体" w:cs="宋体"/>
          <w:kern w:val="0"/>
          <w:sz w:val="44"/>
          <w:szCs w:val="44"/>
          <w:lang w:eastAsia="zh-CN"/>
        </w:rPr>
        <w:t>部门整体支出绩效自评报告</w:t>
      </w:r>
    </w:p>
    <w:p w14:paraId="2A572F05">
      <w:pPr>
        <w:spacing w:line="240" w:lineRule="auto"/>
        <w:ind w:firstLine="880"/>
        <w:jc w:val="center"/>
        <w:rPr>
          <w:rFonts w:ascii="方正小标宋简体" w:eastAsia="方正小标宋简体"/>
          <w:kern w:val="0"/>
          <w:sz w:val="44"/>
          <w:szCs w:val="44"/>
          <w:lang w:eastAsia="zh-CN"/>
        </w:rPr>
      </w:pP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9</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22</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1562D586">
      <w:pPr>
        <w:spacing w:before="130" w:line="221" w:lineRule="auto"/>
        <w:jc w:val="center"/>
        <w:rPr>
          <w:rFonts w:ascii="黑体" w:hAnsi="黑体" w:eastAsia="黑体" w:cs="黑体"/>
          <w:spacing w:val="0"/>
          <w:w w:val="94"/>
          <w:sz w:val="40"/>
          <w:szCs w:val="40"/>
        </w:rPr>
      </w:pPr>
      <w:r>
        <w:rPr>
          <w:rFonts w:hint="eastAsia" w:ascii="黑体" w:hAnsi="黑体" w:eastAsia="黑体" w:cs="黑体"/>
          <w:spacing w:val="0"/>
          <w:w w:val="94"/>
          <w:sz w:val="40"/>
          <w:szCs w:val="40"/>
        </w:rPr>
        <w:t>202</w:t>
      </w:r>
      <w:r>
        <w:rPr>
          <w:rFonts w:hint="eastAsia" w:ascii="黑体" w:hAnsi="黑体" w:eastAsia="黑体" w:cs="黑体"/>
          <w:spacing w:val="0"/>
          <w:w w:val="94"/>
          <w:sz w:val="40"/>
          <w:szCs w:val="40"/>
          <w:lang w:val="en-US" w:eastAsia="zh-CN"/>
        </w:rPr>
        <w:t>4</w:t>
      </w:r>
      <w:r>
        <w:rPr>
          <w:rFonts w:hint="eastAsia" w:ascii="黑体" w:hAnsi="黑体" w:eastAsia="黑体" w:cs="黑体"/>
          <w:spacing w:val="0"/>
          <w:w w:val="94"/>
          <w:sz w:val="40"/>
          <w:szCs w:val="40"/>
        </w:rPr>
        <w:t>年度</w:t>
      </w:r>
      <w:r>
        <w:rPr>
          <w:rFonts w:hint="eastAsia" w:ascii="黑体" w:hAnsi="黑体" w:eastAsia="黑体" w:cs="黑体"/>
          <w:spacing w:val="0"/>
          <w:w w:val="94"/>
          <w:sz w:val="40"/>
          <w:szCs w:val="40"/>
          <w:lang w:val="en-US" w:eastAsia="zh-CN"/>
        </w:rPr>
        <w:t>汨</w:t>
      </w:r>
      <w:r>
        <w:rPr>
          <w:rFonts w:hint="eastAsia" w:ascii="黑体" w:hAnsi="黑体" w:eastAsia="黑体" w:cs="黑体"/>
          <w:spacing w:val="0"/>
          <w:w w:val="94"/>
          <w:sz w:val="40"/>
          <w:szCs w:val="40"/>
        </w:rPr>
        <w:t>罗市疾病预防控制中心</w:t>
      </w:r>
      <w:r>
        <w:rPr>
          <w:rFonts w:ascii="黑体" w:hAnsi="黑体" w:eastAsia="黑体" w:cs="黑体"/>
          <w:spacing w:val="0"/>
          <w:w w:val="94"/>
          <w:sz w:val="40"/>
          <w:szCs w:val="40"/>
        </w:rPr>
        <w:t>部门整体支出绩效</w:t>
      </w:r>
    </w:p>
    <w:p w14:paraId="7BB5BC73">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35EE942B">
      <w:pPr>
        <w:spacing w:before="130" w:line="221" w:lineRule="auto"/>
        <w:jc w:val="center"/>
        <w:rPr>
          <w:rFonts w:ascii="黑体" w:hAnsi="黑体" w:eastAsia="黑体" w:cs="黑体"/>
          <w:sz w:val="40"/>
          <w:szCs w:val="40"/>
        </w:rPr>
      </w:pP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61D491B0">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一、部门基本情况</w:t>
      </w:r>
    </w:p>
    <w:p w14:paraId="5267F485">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left="0" w:firstLine="640" w:firstLineChars="200"/>
        <w:textAlignment w:val="baseline"/>
        <w:rPr>
          <w:rFonts w:hint="eastAsia" w:ascii="Times New Roman" w:hAnsi="Times New Roman" w:eastAsia="仿宋_GB2312" w:cs="Arial"/>
          <w:snapToGrid w:val="0"/>
          <w:color w:val="000000"/>
          <w:kern w:val="0"/>
          <w:sz w:val="32"/>
          <w:szCs w:val="32"/>
          <w:lang w:val="en-US" w:eastAsia="en-US" w:bidi="ar-SA"/>
        </w:rPr>
      </w:pPr>
      <w:r>
        <w:rPr>
          <w:rFonts w:hint="eastAsia" w:ascii="Times New Roman" w:hAnsi="Times New Roman" w:eastAsia="仿宋_GB2312" w:cs="Arial"/>
          <w:snapToGrid w:val="0"/>
          <w:color w:val="000000"/>
          <w:kern w:val="0"/>
          <w:sz w:val="32"/>
          <w:szCs w:val="32"/>
          <w:lang w:val="en-US" w:eastAsia="en-US" w:bidi="ar-SA"/>
        </w:rPr>
        <w:t>1、职能职责</w:t>
      </w:r>
    </w:p>
    <w:p w14:paraId="17A7C155">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en-US" w:bidi="ar-SA"/>
        </w:rPr>
        <w:t>负责全市疾病监测，疾病防治研究，疾病预防控制、卫生监测突发公共卫生事件处理、卫生宣传与健康教育、卫生防疫培训与技术指导等工作</w:t>
      </w:r>
      <w:r>
        <w:rPr>
          <w:rFonts w:hint="eastAsia" w:ascii="Times New Roman" w:hAnsi="Times New Roman" w:eastAsia="仿宋_GB2312" w:cs="Arial"/>
          <w:snapToGrid w:val="0"/>
          <w:color w:val="000000"/>
          <w:kern w:val="0"/>
          <w:sz w:val="32"/>
          <w:szCs w:val="32"/>
          <w:lang w:val="en-US" w:eastAsia="zh-CN" w:bidi="ar-SA"/>
        </w:rPr>
        <w:t>。</w:t>
      </w:r>
    </w:p>
    <w:p w14:paraId="3575FA47">
      <w:pPr>
        <w:keepNext w:val="0"/>
        <w:keepLines w:val="0"/>
        <w:pageBreakBefore w:val="0"/>
        <w:widowControl/>
        <w:kinsoku w:val="0"/>
        <w:wordWrap/>
        <w:overflowPunct/>
        <w:topLinePunct w:val="0"/>
        <w:autoSpaceDE w:val="0"/>
        <w:autoSpaceDN w:val="0"/>
        <w:bidi w:val="0"/>
        <w:adjustRightInd w:val="0"/>
        <w:snapToGrid w:val="0"/>
        <w:spacing w:after="0" w:afterLines="50" w:line="600" w:lineRule="exact"/>
        <w:ind w:left="0" w:firstLine="640" w:firstLineChars="200"/>
        <w:textAlignment w:val="baseline"/>
        <w:rPr>
          <w:rFonts w:hint="eastAsia" w:ascii="Times New Roman" w:hAnsi="Times New Roman" w:eastAsia="仿宋_GB2312" w:cs="Arial"/>
          <w:snapToGrid w:val="0"/>
          <w:color w:val="000000"/>
          <w:kern w:val="0"/>
          <w:sz w:val="32"/>
          <w:szCs w:val="32"/>
          <w:lang w:val="en-US" w:eastAsia="en-US" w:bidi="ar-SA"/>
        </w:rPr>
      </w:pPr>
      <w:r>
        <w:rPr>
          <w:rFonts w:hint="eastAsia" w:ascii="Times New Roman" w:hAnsi="Times New Roman" w:eastAsia="仿宋_GB2312" w:cs="Arial"/>
          <w:snapToGrid w:val="0"/>
          <w:color w:val="000000"/>
          <w:kern w:val="0"/>
          <w:sz w:val="32"/>
          <w:szCs w:val="32"/>
          <w:lang w:val="en-US" w:eastAsia="en-US" w:bidi="ar-SA"/>
        </w:rPr>
        <w:t>2、机构设置</w:t>
      </w:r>
    </w:p>
    <w:p w14:paraId="4DD2C49E">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textAlignment w:val="baseline"/>
        <w:rPr>
          <w:rFonts w:hint="eastAsia" w:ascii="Times New Roman" w:hAnsi="Times New Roman" w:eastAsia="仿宋_GB2312" w:cs="Arial"/>
          <w:snapToGrid w:val="0"/>
          <w:color w:val="000000"/>
          <w:kern w:val="0"/>
          <w:sz w:val="32"/>
          <w:szCs w:val="32"/>
          <w:lang w:val="en-US" w:eastAsia="en-US" w:bidi="ar-SA"/>
        </w:rPr>
      </w:pPr>
      <w:r>
        <w:rPr>
          <w:rFonts w:hint="eastAsia" w:ascii="Times New Roman" w:hAnsi="Times New Roman" w:eastAsia="仿宋_GB2312" w:cs="Arial"/>
          <w:snapToGrid w:val="0"/>
          <w:color w:val="000000"/>
          <w:kern w:val="0"/>
          <w:sz w:val="32"/>
          <w:szCs w:val="32"/>
          <w:lang w:val="en-US" w:eastAsia="en-US" w:bidi="ar-SA"/>
        </w:rPr>
        <w:t>我单位为财政全额拨款单位,执行事业单位会计制度。现有人数</w:t>
      </w:r>
      <w:r>
        <w:rPr>
          <w:rFonts w:hint="eastAsia" w:ascii="Times New Roman" w:hAnsi="Times New Roman" w:eastAsia="仿宋_GB2312" w:cs="Arial"/>
          <w:snapToGrid w:val="0"/>
          <w:color w:val="000000"/>
          <w:kern w:val="0"/>
          <w:sz w:val="32"/>
          <w:szCs w:val="32"/>
          <w:lang w:val="en-US" w:eastAsia="zh-CN" w:bidi="ar-SA"/>
        </w:rPr>
        <w:t>115</w:t>
      </w:r>
      <w:r>
        <w:rPr>
          <w:rFonts w:hint="eastAsia" w:ascii="Times New Roman" w:hAnsi="Times New Roman" w:eastAsia="仿宋_GB2312" w:cs="Arial"/>
          <w:snapToGrid w:val="0"/>
          <w:color w:val="000000"/>
          <w:kern w:val="0"/>
          <w:sz w:val="32"/>
          <w:szCs w:val="32"/>
          <w:lang w:val="en-US" w:eastAsia="en-US" w:bidi="ar-SA"/>
        </w:rPr>
        <w:t>人，其中：在职7</w:t>
      </w:r>
      <w:r>
        <w:rPr>
          <w:rFonts w:hint="eastAsia" w:ascii="Times New Roman" w:hAnsi="Times New Roman" w:eastAsia="仿宋_GB2312" w:cs="Arial"/>
          <w:snapToGrid w:val="0"/>
          <w:color w:val="000000"/>
          <w:kern w:val="0"/>
          <w:sz w:val="32"/>
          <w:szCs w:val="32"/>
          <w:lang w:val="en-US" w:eastAsia="zh-CN" w:bidi="ar-SA"/>
        </w:rPr>
        <w:t>2</w:t>
      </w:r>
      <w:r>
        <w:rPr>
          <w:rFonts w:hint="eastAsia" w:ascii="Times New Roman" w:hAnsi="Times New Roman" w:eastAsia="仿宋_GB2312" w:cs="Arial"/>
          <w:snapToGrid w:val="0"/>
          <w:color w:val="000000"/>
          <w:kern w:val="0"/>
          <w:sz w:val="32"/>
          <w:szCs w:val="32"/>
          <w:lang w:val="en-US" w:eastAsia="en-US" w:bidi="ar-SA"/>
        </w:rPr>
        <w:t>人（</w:t>
      </w:r>
      <w:r>
        <w:rPr>
          <w:rFonts w:hint="eastAsia" w:ascii="Times New Roman" w:hAnsi="Times New Roman" w:eastAsia="仿宋_GB2312" w:cs="Arial"/>
          <w:snapToGrid w:val="0"/>
          <w:color w:val="000000"/>
          <w:kern w:val="0"/>
          <w:sz w:val="32"/>
          <w:szCs w:val="32"/>
          <w:lang w:val="en-US" w:eastAsia="zh-CN" w:bidi="ar-SA"/>
        </w:rPr>
        <w:t>单位</w:t>
      </w:r>
      <w:r>
        <w:rPr>
          <w:rFonts w:hint="eastAsia" w:ascii="Times New Roman" w:hAnsi="Times New Roman" w:eastAsia="仿宋_GB2312" w:cs="Arial"/>
          <w:snapToGrid w:val="0"/>
          <w:color w:val="000000"/>
          <w:kern w:val="0"/>
          <w:sz w:val="32"/>
          <w:szCs w:val="32"/>
          <w:lang w:val="en-US" w:eastAsia="en-US" w:bidi="ar-SA"/>
        </w:rPr>
        <w:t>编制</w:t>
      </w:r>
      <w:r>
        <w:rPr>
          <w:rFonts w:hint="eastAsia" w:ascii="Times New Roman" w:hAnsi="Times New Roman" w:eastAsia="仿宋_GB2312" w:cs="Arial"/>
          <w:snapToGrid w:val="0"/>
          <w:color w:val="000000"/>
          <w:kern w:val="0"/>
          <w:sz w:val="32"/>
          <w:szCs w:val="32"/>
          <w:lang w:val="en-US" w:eastAsia="zh-CN" w:bidi="ar-SA"/>
        </w:rPr>
        <w:t>数</w:t>
      </w:r>
      <w:r>
        <w:rPr>
          <w:rFonts w:hint="eastAsia" w:ascii="Times New Roman" w:hAnsi="Times New Roman" w:eastAsia="仿宋_GB2312" w:cs="Arial"/>
          <w:snapToGrid w:val="0"/>
          <w:color w:val="000000"/>
          <w:kern w:val="0"/>
          <w:sz w:val="32"/>
          <w:szCs w:val="32"/>
          <w:lang w:val="en-US" w:eastAsia="en-US" w:bidi="ar-SA"/>
        </w:rPr>
        <w:t>67人，</w:t>
      </w:r>
      <w:r>
        <w:rPr>
          <w:rFonts w:hint="eastAsia" w:ascii="Times New Roman" w:hAnsi="Times New Roman" w:eastAsia="仿宋_GB2312" w:cs="Arial"/>
          <w:snapToGrid w:val="0"/>
          <w:color w:val="000000"/>
          <w:kern w:val="0"/>
          <w:sz w:val="32"/>
          <w:szCs w:val="32"/>
          <w:lang w:val="en-US" w:eastAsia="zh-CN" w:bidi="ar-SA"/>
        </w:rPr>
        <w:t>年初</w:t>
      </w:r>
      <w:r>
        <w:rPr>
          <w:rFonts w:hint="eastAsia" w:ascii="Times New Roman" w:hAnsi="Times New Roman" w:eastAsia="仿宋_GB2312" w:cs="Arial"/>
          <w:snapToGrid w:val="0"/>
          <w:color w:val="000000"/>
          <w:kern w:val="0"/>
          <w:sz w:val="32"/>
          <w:szCs w:val="32"/>
          <w:lang w:val="en-US" w:eastAsia="en-US" w:bidi="ar-SA"/>
        </w:rPr>
        <w:t>财政预算编制</w:t>
      </w:r>
      <w:r>
        <w:rPr>
          <w:rFonts w:hint="eastAsia" w:ascii="Times New Roman" w:hAnsi="Times New Roman" w:eastAsia="仿宋_GB2312" w:cs="Arial"/>
          <w:snapToGrid w:val="0"/>
          <w:color w:val="000000"/>
          <w:kern w:val="0"/>
          <w:sz w:val="32"/>
          <w:szCs w:val="32"/>
          <w:lang w:val="en-US" w:eastAsia="zh-CN" w:bidi="ar-SA"/>
        </w:rPr>
        <w:t>数</w:t>
      </w:r>
      <w:r>
        <w:rPr>
          <w:rFonts w:hint="eastAsia" w:ascii="Times New Roman" w:hAnsi="Times New Roman" w:eastAsia="仿宋_GB2312" w:cs="Arial"/>
          <w:snapToGrid w:val="0"/>
          <w:color w:val="000000"/>
          <w:kern w:val="0"/>
          <w:sz w:val="32"/>
          <w:szCs w:val="32"/>
          <w:lang w:val="en-US" w:eastAsia="en-US" w:bidi="ar-SA"/>
        </w:rPr>
        <w:t>6</w:t>
      </w:r>
      <w:r>
        <w:rPr>
          <w:rFonts w:hint="eastAsia" w:ascii="Times New Roman" w:hAnsi="Times New Roman" w:eastAsia="仿宋_GB2312" w:cs="Arial"/>
          <w:snapToGrid w:val="0"/>
          <w:color w:val="000000"/>
          <w:kern w:val="0"/>
          <w:sz w:val="32"/>
          <w:szCs w:val="32"/>
          <w:lang w:val="en-US" w:eastAsia="zh-CN" w:bidi="ar-SA"/>
        </w:rPr>
        <w:t>3</w:t>
      </w:r>
      <w:r>
        <w:rPr>
          <w:rFonts w:hint="eastAsia" w:ascii="Times New Roman" w:hAnsi="Times New Roman" w:eastAsia="仿宋_GB2312" w:cs="Arial"/>
          <w:snapToGrid w:val="0"/>
          <w:color w:val="000000"/>
          <w:kern w:val="0"/>
          <w:sz w:val="32"/>
          <w:szCs w:val="32"/>
          <w:lang w:val="en-US" w:eastAsia="en-US" w:bidi="ar-SA"/>
        </w:rPr>
        <w:t>人</w:t>
      </w:r>
      <w:r>
        <w:rPr>
          <w:rFonts w:hint="eastAsia" w:ascii="Times New Roman" w:hAnsi="Times New Roman" w:eastAsia="仿宋_GB2312" w:cs="Arial"/>
          <w:snapToGrid w:val="0"/>
          <w:color w:val="000000"/>
          <w:kern w:val="0"/>
          <w:sz w:val="32"/>
          <w:szCs w:val="32"/>
          <w:lang w:val="en-US" w:eastAsia="zh-CN" w:bidi="ar-SA"/>
        </w:rPr>
        <w:t>，年末实际在职人数65人</w:t>
      </w:r>
      <w:r>
        <w:rPr>
          <w:rFonts w:hint="eastAsia" w:ascii="Times New Roman" w:hAnsi="Times New Roman" w:eastAsia="仿宋_GB2312" w:cs="Arial"/>
          <w:snapToGrid w:val="0"/>
          <w:color w:val="000000"/>
          <w:kern w:val="0"/>
          <w:sz w:val="32"/>
          <w:szCs w:val="32"/>
          <w:lang w:val="en-US" w:eastAsia="en-US" w:bidi="ar-SA"/>
        </w:rPr>
        <w:t>）、退休</w:t>
      </w:r>
      <w:r>
        <w:rPr>
          <w:rFonts w:hint="eastAsia" w:ascii="Times New Roman" w:hAnsi="Times New Roman" w:eastAsia="仿宋_GB2312" w:cs="Arial"/>
          <w:snapToGrid w:val="0"/>
          <w:color w:val="000000"/>
          <w:kern w:val="0"/>
          <w:sz w:val="32"/>
          <w:szCs w:val="32"/>
          <w:lang w:val="en-US" w:eastAsia="zh-CN" w:bidi="ar-SA"/>
        </w:rPr>
        <w:t>43</w:t>
      </w:r>
      <w:r>
        <w:rPr>
          <w:rFonts w:hint="eastAsia" w:ascii="Times New Roman" w:hAnsi="Times New Roman" w:eastAsia="仿宋_GB2312" w:cs="Arial"/>
          <w:snapToGrid w:val="0"/>
          <w:color w:val="000000"/>
          <w:kern w:val="0"/>
          <w:sz w:val="32"/>
          <w:szCs w:val="32"/>
          <w:lang w:val="en-US" w:eastAsia="en-US" w:bidi="ar-SA"/>
        </w:rPr>
        <w:t>人。公务用车编制数2辆，实有数2辆。</w:t>
      </w:r>
    </w:p>
    <w:p w14:paraId="4EB58EB2">
      <w:pPr>
        <w:kinsoku w:val="0"/>
        <w:autoSpaceDE w:val="0"/>
        <w:autoSpaceDN w:val="0"/>
        <w:adjustRightInd w:val="0"/>
        <w:snapToGrid w:val="0"/>
        <w:spacing w:before="211" w:line="224" w:lineRule="auto"/>
        <w:ind w:firstLine="64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en-US" w:bidi="ar-SA"/>
        </w:rPr>
        <w:t>内设机构共十二个，包括：办公室、财务室、后勤科、免疫规划科、急传科、结防科、地慢健教科、性艾科、监测科、质控科、检验科、门诊。</w:t>
      </w:r>
    </w:p>
    <w:p w14:paraId="298EFDFE">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二、一般公共预算财政拨款支出情况</w:t>
      </w:r>
    </w:p>
    <w:p w14:paraId="0C1B3ED6">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03597D12">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val="en-US" w:eastAsia="zh-CN"/>
        </w:rPr>
        <w:t>2024年基本支出决算数为3087.15万元，是指为保障单位机构正常运转、完成日常工作任务而发生的各项支出，包括用于基本工资、津贴补贴等人员经费以及办公费、印刷费、水电费、差旅费等日常公用经费。其中人员经费952.63万元，公用经费2134.52万元。</w:t>
      </w:r>
    </w:p>
    <w:p w14:paraId="68AECC61">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14:paraId="37B26F8F">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1、专项资金安排落实、总投入等情况分析</w:t>
      </w:r>
    </w:p>
    <w:p w14:paraId="68E7F22D">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2024年项目支出决算数为684.04万元，是指单位为完成特定行政工作任务或事业发展目标而发生的支出，包括有关业务工作经费和运行维护经费。各项目资金拨付使用情况为：疾病预防控制机构206.32万元，重大公共卫生服务项目：308.1万元，突发公共卫生事件应急处理0.61万元，基本公共卫生124.7万元，其他公共卫生支出3.5万元，其他疾病预防控制事务支出26.00万元，其他卫生健康管理事务支出14.52万元，其他卫生健康支出0.29万元。</w:t>
      </w:r>
    </w:p>
    <w:p w14:paraId="5B6E7B25">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2、专项资金实际使用情况分析</w:t>
      </w:r>
    </w:p>
    <w:p w14:paraId="494EAD56">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val="en-US" w:eastAsia="zh-CN"/>
        </w:rPr>
        <w:t>资金到位后，市疾控中心严格按照中央、省、县（市）规定的项目和标准使用资金，不存在虚列项目支出、超标准开支的情况，不存在截留、挤占、挪用项目资金现象，做到了专款专用。2024年，当年项目资金使用率达100%。</w:t>
      </w:r>
    </w:p>
    <w:p w14:paraId="01CB50E7">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三、政府性基金预算财政拨款支出情况</w:t>
      </w:r>
    </w:p>
    <w:p w14:paraId="1F32573C">
      <w:pPr>
        <w:spacing w:line="600" w:lineRule="exact"/>
        <w:ind w:firstLine="640" w:firstLineChars="200"/>
        <w:jc w:val="both"/>
        <w:rPr>
          <w:rFonts w:hint="eastAsia" w:ascii="方正黑体_GBK" w:eastAsia="方正黑体_GBK"/>
          <w:kern w:val="0"/>
          <w:sz w:val="32"/>
          <w:szCs w:val="32"/>
          <w:lang w:eastAsia="zh-CN"/>
        </w:rPr>
      </w:pPr>
      <w:r>
        <w:rPr>
          <w:rFonts w:hint="eastAsia" w:ascii="Times New Roman" w:hAnsi="Times New Roman" w:eastAsia="仿宋_GB2312" w:cs="Arial"/>
          <w:snapToGrid w:val="0"/>
          <w:color w:val="000000"/>
          <w:kern w:val="0"/>
          <w:sz w:val="32"/>
          <w:szCs w:val="32"/>
          <w:lang w:val="en-US" w:eastAsia="zh-CN" w:bidi="ar-SA"/>
        </w:rPr>
        <w:t>无</w:t>
      </w:r>
    </w:p>
    <w:p w14:paraId="77827B35">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四、国有资本经营预算财政拨款支出情况</w:t>
      </w:r>
    </w:p>
    <w:p w14:paraId="4C5572B0">
      <w:pPr>
        <w:spacing w:line="600" w:lineRule="exact"/>
        <w:ind w:firstLine="640" w:firstLineChars="200"/>
        <w:jc w:val="both"/>
        <w:rPr>
          <w:rFonts w:hint="eastAsia" w:ascii="方正黑体_GBK" w:eastAsia="方正黑体_GBK"/>
          <w:kern w:val="0"/>
          <w:sz w:val="32"/>
          <w:szCs w:val="32"/>
          <w:lang w:eastAsia="zh-CN"/>
        </w:rPr>
      </w:pPr>
      <w:r>
        <w:rPr>
          <w:rFonts w:hint="eastAsia" w:ascii="Times New Roman" w:hAnsi="Times New Roman" w:eastAsia="仿宋_GB2312" w:cs="Arial"/>
          <w:snapToGrid w:val="0"/>
          <w:color w:val="000000"/>
          <w:kern w:val="0"/>
          <w:sz w:val="32"/>
          <w:szCs w:val="32"/>
          <w:lang w:val="en-US" w:eastAsia="zh-CN" w:bidi="ar-SA"/>
        </w:rPr>
        <w:t>无</w:t>
      </w:r>
    </w:p>
    <w:p w14:paraId="16EBBCC1">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14:paraId="0B3ABA1D">
      <w:pPr>
        <w:spacing w:line="600" w:lineRule="exact"/>
        <w:ind w:firstLine="640" w:firstLineChars="200"/>
        <w:jc w:val="both"/>
        <w:rPr>
          <w:rFonts w:hint="eastAsia" w:ascii="方正黑体_GBK" w:eastAsia="方正黑体_GBK"/>
          <w:kern w:val="0"/>
          <w:sz w:val="32"/>
          <w:szCs w:val="32"/>
          <w:lang w:eastAsia="zh-CN"/>
        </w:rPr>
      </w:pPr>
      <w:r>
        <w:rPr>
          <w:rFonts w:hint="eastAsia" w:ascii="Times New Roman" w:hAnsi="Times New Roman" w:eastAsia="仿宋_GB2312" w:cs="Arial"/>
          <w:snapToGrid w:val="0"/>
          <w:color w:val="000000"/>
          <w:kern w:val="0"/>
          <w:sz w:val="32"/>
          <w:szCs w:val="32"/>
          <w:lang w:val="en-US" w:eastAsia="zh-CN" w:bidi="ar-SA"/>
        </w:rPr>
        <w:t>无</w:t>
      </w:r>
    </w:p>
    <w:p w14:paraId="3C6197DE">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08D623F1">
      <w:pPr>
        <w:spacing w:line="600" w:lineRule="exact"/>
        <w:ind w:firstLine="640" w:firstLineChars="200"/>
        <w:jc w:val="both"/>
        <w:rPr>
          <w:rFonts w:hint="eastAsia" w:ascii="楷体" w:hAnsi="楷体" w:eastAsia="楷体"/>
          <w:sz w:val="32"/>
          <w:szCs w:val="32"/>
        </w:rPr>
      </w:pPr>
      <w:r>
        <w:rPr>
          <w:rFonts w:hint="eastAsia" w:eastAsia="仿宋_GB2312"/>
          <w:kern w:val="0"/>
          <w:sz w:val="32"/>
          <w:szCs w:val="32"/>
          <w:lang w:eastAsia="zh-CN"/>
        </w:rPr>
        <w:t>（一）</w:t>
      </w:r>
      <w:r>
        <w:rPr>
          <w:rFonts w:hint="eastAsia" w:ascii="楷体" w:hAnsi="楷体" w:eastAsia="楷体"/>
          <w:sz w:val="32"/>
          <w:szCs w:val="32"/>
        </w:rPr>
        <w:t>免疫规划工作。</w:t>
      </w:r>
    </w:p>
    <w:p w14:paraId="77E3B5CD">
      <w:pPr>
        <w:spacing w:line="600" w:lineRule="exact"/>
        <w:ind w:firstLine="643" w:firstLineChars="200"/>
        <w:jc w:val="both"/>
        <w:rPr>
          <w:rFonts w:hint="eastAsia" w:ascii="仿宋" w:hAnsi="仿宋" w:eastAsia="仿宋"/>
          <w:sz w:val="32"/>
          <w:szCs w:val="32"/>
        </w:rPr>
      </w:pPr>
      <w:r>
        <w:rPr>
          <w:rFonts w:hint="eastAsia" w:ascii="仿宋" w:hAnsi="仿宋" w:eastAsia="仿宋"/>
          <w:b/>
          <w:sz w:val="32"/>
          <w:szCs w:val="32"/>
        </w:rPr>
        <w:t>一是</w:t>
      </w:r>
      <w:r>
        <w:rPr>
          <w:rFonts w:ascii="仿宋" w:hAnsi="仿宋" w:eastAsia="仿宋"/>
          <w:b/>
          <w:sz w:val="32"/>
          <w:szCs w:val="32"/>
        </w:rPr>
        <w:t>疫苗接种全面覆盖</w:t>
      </w:r>
      <w:r>
        <w:rPr>
          <w:rFonts w:hint="eastAsia" w:ascii="仿宋" w:hAnsi="仿宋" w:eastAsia="仿宋"/>
          <w:b/>
          <w:sz w:val="32"/>
          <w:szCs w:val="32"/>
        </w:rPr>
        <w:t>。</w:t>
      </w:r>
      <w:r>
        <w:rPr>
          <w:rFonts w:hint="eastAsia" w:ascii="仿宋" w:hAnsi="仿宋" w:eastAsia="仿宋"/>
          <w:sz w:val="32"/>
          <w:szCs w:val="32"/>
        </w:rPr>
        <w:t>全年全市实施疫苗接种65614针剂次，涵盖卡介苗至甲肝减毒活疫苗等多种类型，为儿童提供了全方位免疫保护。</w:t>
      </w:r>
      <w:r>
        <w:rPr>
          <w:rFonts w:hint="eastAsia" w:ascii="仿宋" w:hAnsi="仿宋" w:eastAsia="仿宋"/>
          <w:b/>
          <w:sz w:val="32"/>
          <w:szCs w:val="32"/>
        </w:rPr>
        <w:t>二是</w:t>
      </w:r>
      <w:r>
        <w:rPr>
          <w:rFonts w:ascii="仿宋" w:hAnsi="仿宋" w:eastAsia="仿宋"/>
          <w:b/>
          <w:sz w:val="32"/>
          <w:szCs w:val="32"/>
        </w:rPr>
        <w:t>疾病监测与应对</w:t>
      </w:r>
      <w:r>
        <w:rPr>
          <w:rFonts w:hint="eastAsia" w:ascii="仿宋" w:hAnsi="仿宋" w:eastAsia="仿宋"/>
          <w:b/>
          <w:sz w:val="32"/>
          <w:szCs w:val="32"/>
        </w:rPr>
        <w:t>及时有效。</w:t>
      </w:r>
      <w:r>
        <w:rPr>
          <w:rFonts w:hint="eastAsia" w:ascii="仿宋" w:hAnsi="仿宋" w:eastAsia="仿宋"/>
          <w:sz w:val="32"/>
          <w:szCs w:val="32"/>
        </w:rPr>
        <w:t>全年调查疑似麻疹病例14例并排除，对3例AFP病例进行流行病学调查与采样送检。AEFI监测报告35例，确保了预防接种安全。</w:t>
      </w:r>
      <w:r>
        <w:rPr>
          <w:rFonts w:hint="eastAsia" w:ascii="仿宋" w:hAnsi="仿宋" w:eastAsia="仿宋"/>
          <w:b/>
          <w:sz w:val="32"/>
          <w:szCs w:val="32"/>
        </w:rPr>
        <w:t>三是</w:t>
      </w:r>
      <w:r>
        <w:rPr>
          <w:rFonts w:ascii="仿宋" w:hAnsi="仿宋" w:eastAsia="仿宋"/>
          <w:b/>
          <w:sz w:val="32"/>
          <w:szCs w:val="32"/>
        </w:rPr>
        <w:t>流动儿童安全接种率保持高位</w:t>
      </w:r>
      <w:r>
        <w:rPr>
          <w:rFonts w:hint="eastAsia" w:ascii="仿宋" w:hAnsi="仿宋" w:eastAsia="仿宋"/>
          <w:b/>
          <w:sz w:val="32"/>
          <w:szCs w:val="32"/>
        </w:rPr>
        <w:t>。</w:t>
      </w:r>
      <w:r>
        <w:rPr>
          <w:rFonts w:hint="eastAsia" w:ascii="仿宋" w:hAnsi="仿宋" w:eastAsia="仿宋"/>
          <w:sz w:val="32"/>
          <w:szCs w:val="32"/>
        </w:rPr>
        <w:t>对流动儿童采取全面管理措施，建证建卡率、管理率及安全注射率均达100%，有效消除了免疫空白。</w:t>
      </w:r>
      <w:r>
        <w:rPr>
          <w:rFonts w:hint="eastAsia" w:ascii="仿宋" w:hAnsi="仿宋" w:eastAsia="仿宋"/>
          <w:b/>
          <w:sz w:val="32"/>
          <w:szCs w:val="32"/>
        </w:rPr>
        <w:t>四是</w:t>
      </w:r>
      <w:r>
        <w:rPr>
          <w:rFonts w:ascii="仿宋" w:hAnsi="仿宋" w:eastAsia="仿宋"/>
          <w:b/>
          <w:sz w:val="32"/>
          <w:szCs w:val="32"/>
        </w:rPr>
        <w:t>培训与督导并重</w:t>
      </w:r>
      <w:r>
        <w:rPr>
          <w:rFonts w:hint="eastAsia" w:ascii="仿宋" w:hAnsi="仿宋" w:eastAsia="仿宋"/>
          <w:b/>
          <w:sz w:val="32"/>
          <w:szCs w:val="32"/>
        </w:rPr>
        <w:t>。</w:t>
      </w:r>
      <w:r>
        <w:rPr>
          <w:rFonts w:hint="eastAsia" w:ascii="仿宋" w:hAnsi="仿宋" w:eastAsia="仿宋"/>
          <w:sz w:val="32"/>
          <w:szCs w:val="32"/>
        </w:rPr>
        <w:t>全年多次举办免疫规划项目培训，定期开展督导与考核，及时发现问题并督促整改，确保免疫规划工作质量。</w:t>
      </w:r>
      <w:r>
        <w:rPr>
          <w:rFonts w:hint="eastAsia" w:ascii="仿宋" w:hAnsi="仿宋" w:eastAsia="仿宋"/>
          <w:b/>
          <w:sz w:val="32"/>
          <w:szCs w:val="32"/>
        </w:rPr>
        <w:t>五是开展查漏补种和专项接种活动。</w:t>
      </w:r>
      <w:r>
        <w:rPr>
          <w:rFonts w:ascii="仿宋" w:hAnsi="仿宋" w:eastAsia="仿宋"/>
          <w:sz w:val="32"/>
          <w:szCs w:val="32"/>
        </w:rPr>
        <w:t>第二剂次脊灰灭活疫苗补种</w:t>
      </w:r>
      <w:r>
        <w:rPr>
          <w:rFonts w:hint="eastAsia" w:ascii="仿宋" w:hAnsi="仿宋" w:eastAsia="仿宋"/>
          <w:sz w:val="32"/>
          <w:szCs w:val="32"/>
        </w:rPr>
        <w:t>接种2871剂次，补种率95.12%，</w:t>
      </w:r>
      <w:r>
        <w:rPr>
          <w:rFonts w:ascii="仿宋" w:hAnsi="仿宋" w:eastAsia="仿宋"/>
          <w:sz w:val="32"/>
          <w:szCs w:val="32"/>
        </w:rPr>
        <w:t>免费接种13价肺炎球菌多糖结合疫苗</w:t>
      </w:r>
      <w:r>
        <w:rPr>
          <w:rFonts w:hint="eastAsia" w:ascii="仿宋" w:hAnsi="仿宋" w:eastAsia="仿宋"/>
          <w:sz w:val="32"/>
          <w:szCs w:val="32"/>
        </w:rPr>
        <w:t>225剂次，</w:t>
      </w:r>
      <w:r>
        <w:rPr>
          <w:rFonts w:ascii="仿宋" w:hAnsi="仿宋" w:eastAsia="仿宋"/>
          <w:sz w:val="32"/>
          <w:szCs w:val="32"/>
        </w:rPr>
        <w:t>中小学生乙肝疫苗第三针接种</w:t>
      </w:r>
      <w:r>
        <w:rPr>
          <w:rFonts w:hint="eastAsia" w:ascii="仿宋" w:hAnsi="仿宋" w:eastAsia="仿宋"/>
          <w:sz w:val="32"/>
          <w:szCs w:val="32"/>
        </w:rPr>
        <w:t>6554针次，23价肺炎疫苗接种6000余针次。</w:t>
      </w:r>
    </w:p>
    <w:p w14:paraId="23F4CF49">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（二）传染病防控及卫生应急</w:t>
      </w:r>
    </w:p>
    <w:p w14:paraId="6D48839F">
      <w:pPr>
        <w:ind w:firstLine="643" w:firstLineChars="200"/>
        <w:rPr>
          <w:rFonts w:hint="eastAsia" w:ascii="仿宋" w:hAnsi="仿宋" w:eastAsia="仿宋"/>
          <w:sz w:val="32"/>
          <w:szCs w:val="32"/>
        </w:rPr>
      </w:pPr>
      <w:r>
        <w:rPr>
          <w:rFonts w:hint="eastAsia" w:ascii="仿宋" w:hAnsi="仿宋" w:eastAsia="仿宋"/>
          <w:b/>
          <w:sz w:val="32"/>
          <w:szCs w:val="32"/>
        </w:rPr>
        <w:t>一是传染病预警信息报告精准高效。</w:t>
      </w:r>
      <w:r>
        <w:rPr>
          <w:rFonts w:hint="eastAsia" w:ascii="仿宋" w:hAnsi="仿宋" w:eastAsia="仿宋"/>
          <w:sz w:val="32"/>
          <w:szCs w:val="32"/>
        </w:rPr>
        <w:t>截至12月17日，共审核传染病报告卡3764张，处理预警129起，确保了疫情信息的及时准确传递。</w:t>
      </w:r>
      <w:r>
        <w:rPr>
          <w:rFonts w:hint="eastAsia" w:ascii="仿宋" w:hAnsi="仿宋" w:eastAsia="仿宋"/>
          <w:b/>
          <w:sz w:val="32"/>
          <w:szCs w:val="32"/>
        </w:rPr>
        <w:t>二是传染病个案调查科学开展。</w:t>
      </w:r>
      <w:r>
        <w:rPr>
          <w:rFonts w:hint="eastAsia" w:ascii="仿宋" w:hAnsi="仿宋" w:eastAsia="仿宋"/>
          <w:sz w:val="32"/>
          <w:szCs w:val="32"/>
        </w:rPr>
        <w:t>开展了沙溪出血热、古培钩体病、鹦鹉热、新冠肺炎重症患者及外来输入性登革热患者等在内的多个病例的救治工作。</w:t>
      </w:r>
      <w:r>
        <w:rPr>
          <w:rFonts w:hint="eastAsia" w:ascii="仿宋" w:hAnsi="仿宋" w:eastAsia="仿宋"/>
          <w:b/>
          <w:sz w:val="32"/>
          <w:szCs w:val="32"/>
        </w:rPr>
        <w:t>三是重点传染病哨点监测成效显著。</w:t>
      </w:r>
      <w:r>
        <w:rPr>
          <w:rFonts w:hint="eastAsia" w:ascii="仿宋" w:hAnsi="仿宋" w:eastAsia="仿宋"/>
          <w:sz w:val="32"/>
          <w:szCs w:val="32"/>
        </w:rPr>
        <w:t>加强了对手足口病、病毒性腹泻、流感样病例等的监测和防控力度，采集流感样样品980份，开展了流感样病例哨点监测和新冠肺炎病原学监测。完成省级疟疾媒介按蚊种群监测任务，开展土源性线虫监测，收集1024个粪便及肛拭子玻片样本检验并上报系统。</w:t>
      </w:r>
      <w:r>
        <w:rPr>
          <w:rFonts w:hint="eastAsia" w:ascii="仿宋" w:hAnsi="仿宋" w:eastAsia="仿宋"/>
          <w:b/>
          <w:sz w:val="32"/>
          <w:szCs w:val="32"/>
        </w:rPr>
        <w:t>四是应急响应迅速高效。</w:t>
      </w:r>
      <w:r>
        <w:rPr>
          <w:rFonts w:hint="eastAsia" w:ascii="仿宋" w:hAnsi="仿宋" w:eastAsia="仿宋"/>
          <w:sz w:val="32"/>
          <w:szCs w:val="32"/>
        </w:rPr>
        <w:t>全市报告20余起诺如病毒、手足口病、流感样、轮状病毒感染等聚集性疫情，我们均第一时间开展流调、采样及送检等工作，成功防止了疫情的扩散和蔓延。</w:t>
      </w:r>
      <w:r>
        <w:rPr>
          <w:rFonts w:hint="eastAsia" w:ascii="仿宋" w:hAnsi="仿宋" w:eastAsia="仿宋"/>
          <w:b/>
          <w:sz w:val="32"/>
          <w:szCs w:val="32"/>
        </w:rPr>
        <w:t>五是培训宣传督导多措并举。</w:t>
      </w:r>
      <w:r>
        <w:rPr>
          <w:rFonts w:hint="eastAsia" w:ascii="仿宋" w:hAnsi="仿宋" w:eastAsia="仿宋"/>
          <w:sz w:val="32"/>
          <w:szCs w:val="32"/>
        </w:rPr>
        <w:t>组织多次传染病防控及突发公卫事件培训及宣传，修订了《汨罗市国家基本公共卫生服务考核细则》（急传部分），多次开展国家基本公共卫生服务疾控项目督导工作，有效推动了各项防控措施的落实。</w:t>
      </w:r>
    </w:p>
    <w:p w14:paraId="3366C67A">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（三）地方病、慢性病、学校传染病防治工作</w:t>
      </w:r>
    </w:p>
    <w:p w14:paraId="4AF6F8C6">
      <w:pPr>
        <w:spacing w:line="600" w:lineRule="exact"/>
        <w:ind w:firstLine="643" w:firstLineChars="200"/>
        <w:jc w:val="both"/>
        <w:rPr>
          <w:rFonts w:ascii="仿宋" w:hAnsi="仿宋" w:eastAsia="仿宋"/>
          <w:sz w:val="32"/>
          <w:szCs w:val="32"/>
        </w:rPr>
      </w:pPr>
      <w:r>
        <w:rPr>
          <w:rFonts w:hint="eastAsia" w:ascii="仿宋" w:hAnsi="仿宋" w:eastAsia="仿宋"/>
          <w:b/>
          <w:sz w:val="32"/>
          <w:szCs w:val="32"/>
        </w:rPr>
        <w:t>一是</w:t>
      </w:r>
      <w:r>
        <w:rPr>
          <w:rFonts w:ascii="仿宋" w:hAnsi="仿宋" w:eastAsia="仿宋"/>
          <w:b/>
          <w:sz w:val="32"/>
          <w:szCs w:val="32"/>
        </w:rPr>
        <w:t>慢性非传染性疾病预防控制成效显著</w:t>
      </w:r>
      <w:r>
        <w:rPr>
          <w:rFonts w:hint="eastAsia" w:ascii="仿宋" w:hAnsi="仿宋" w:eastAsia="仿宋"/>
          <w:b/>
          <w:sz w:val="32"/>
          <w:szCs w:val="32"/>
        </w:rPr>
        <w:t>。</w:t>
      </w:r>
      <w:r>
        <w:rPr>
          <w:rFonts w:hint="eastAsia" w:ascii="仿宋" w:hAnsi="仿宋" w:eastAsia="仿宋"/>
          <w:sz w:val="32"/>
          <w:szCs w:val="32"/>
        </w:rPr>
        <w:t>截至2024年12月17日，</w:t>
      </w:r>
      <w:r>
        <w:rPr>
          <w:rFonts w:ascii="仿宋" w:hAnsi="仿宋" w:eastAsia="仿宋"/>
          <w:sz w:val="32"/>
          <w:szCs w:val="32"/>
        </w:rPr>
        <w:t>全市医疗机构共通过死因监测系统报告死亡4252例</w:t>
      </w:r>
      <w:r>
        <w:rPr>
          <w:rFonts w:hint="eastAsia" w:ascii="仿宋" w:hAnsi="仿宋" w:eastAsia="仿宋"/>
          <w:sz w:val="32"/>
          <w:szCs w:val="32"/>
        </w:rPr>
        <w:t>，</w:t>
      </w:r>
      <w:r>
        <w:rPr>
          <w:rFonts w:ascii="仿宋" w:hAnsi="仿宋" w:eastAsia="仿宋"/>
          <w:sz w:val="32"/>
          <w:szCs w:val="32"/>
        </w:rPr>
        <w:t>完成肿瘤数据整理22115条</w:t>
      </w:r>
      <w:r>
        <w:rPr>
          <w:rFonts w:hint="eastAsia" w:ascii="仿宋" w:hAnsi="仿宋" w:eastAsia="仿宋"/>
          <w:sz w:val="32"/>
          <w:szCs w:val="32"/>
        </w:rPr>
        <w:t>，</w:t>
      </w:r>
      <w:r>
        <w:rPr>
          <w:rFonts w:ascii="仿宋" w:hAnsi="仿宋" w:eastAsia="仿宋"/>
          <w:sz w:val="32"/>
          <w:szCs w:val="32"/>
        </w:rPr>
        <w:t>提交癌症筛查覆盖491人次，调查特定健康问题哨点监测1908人，为健康风险评估提供了宝贵数据。</w:t>
      </w:r>
      <w:r>
        <w:rPr>
          <w:rFonts w:hint="eastAsia" w:ascii="仿宋" w:hAnsi="仿宋" w:eastAsia="仿宋"/>
          <w:sz w:val="32"/>
          <w:szCs w:val="32"/>
        </w:rPr>
        <w:t>动员5141人参与湖南省卫健委湖南省总工会组织的“万步有约”大赛，参与人数全省第三名，万步率95.67%。</w:t>
      </w:r>
      <w:r>
        <w:rPr>
          <w:rFonts w:hint="eastAsia" w:ascii="仿宋" w:hAnsi="仿宋" w:eastAsia="仿宋"/>
          <w:b/>
          <w:sz w:val="32"/>
          <w:szCs w:val="32"/>
        </w:rPr>
        <w:t>二是</w:t>
      </w:r>
      <w:r>
        <w:rPr>
          <w:rFonts w:ascii="仿宋" w:hAnsi="仿宋" w:eastAsia="仿宋"/>
          <w:b/>
          <w:sz w:val="32"/>
          <w:szCs w:val="32"/>
        </w:rPr>
        <w:t>健康教育普及深入</w:t>
      </w:r>
      <w:r>
        <w:rPr>
          <w:rFonts w:hint="eastAsia" w:ascii="仿宋" w:hAnsi="仿宋" w:eastAsia="仿宋"/>
          <w:b/>
          <w:sz w:val="32"/>
          <w:szCs w:val="32"/>
        </w:rPr>
        <w:t>。</w:t>
      </w:r>
      <w:r>
        <w:rPr>
          <w:rFonts w:ascii="仿宋" w:hAnsi="仿宋" w:eastAsia="仿宋"/>
          <w:sz w:val="32"/>
          <w:szCs w:val="32"/>
        </w:rPr>
        <w:t>围绕肿瘤防治宣传周、</w:t>
      </w:r>
      <w:r>
        <w:rPr>
          <w:rFonts w:hint="eastAsia" w:ascii="仿宋" w:hAnsi="仿宋" w:eastAsia="仿宋"/>
          <w:sz w:val="32"/>
          <w:szCs w:val="32"/>
        </w:rPr>
        <w:t>碘缺乏病防治日</w:t>
      </w:r>
      <w:r>
        <w:rPr>
          <w:rFonts w:ascii="仿宋" w:hAnsi="仿宋" w:eastAsia="仿宋"/>
          <w:sz w:val="32"/>
          <w:szCs w:val="32"/>
        </w:rPr>
        <w:t>等多个主题日，</w:t>
      </w:r>
      <w:r>
        <w:rPr>
          <w:rFonts w:hint="eastAsia" w:ascii="仿宋" w:hAnsi="仿宋" w:eastAsia="仿宋"/>
          <w:sz w:val="32"/>
          <w:szCs w:val="32"/>
        </w:rPr>
        <w:t>开展</w:t>
      </w:r>
      <w:r>
        <w:rPr>
          <w:rFonts w:ascii="仿宋" w:hAnsi="仿宋" w:eastAsia="仿宋"/>
          <w:sz w:val="32"/>
          <w:szCs w:val="32"/>
        </w:rPr>
        <w:t>了系列宣传活动，更换了6期24版宣传栏</w:t>
      </w:r>
      <w:r>
        <w:rPr>
          <w:rFonts w:hint="eastAsia" w:ascii="仿宋" w:hAnsi="仿宋" w:eastAsia="仿宋"/>
          <w:sz w:val="32"/>
          <w:szCs w:val="32"/>
        </w:rPr>
        <w:t>，</w:t>
      </w:r>
      <w:r>
        <w:rPr>
          <w:rFonts w:ascii="仿宋" w:hAnsi="仿宋" w:eastAsia="仿宋"/>
          <w:sz w:val="32"/>
          <w:szCs w:val="32"/>
        </w:rPr>
        <w:t>有效提升了市民的健康素养。同时，我们积极向《</w:t>
      </w:r>
      <w:r>
        <w:rPr>
          <w:rFonts w:hint="eastAsia" w:ascii="仿宋" w:hAnsi="仿宋" w:eastAsia="仿宋"/>
          <w:sz w:val="32"/>
          <w:szCs w:val="32"/>
        </w:rPr>
        <w:t>湖南</w:t>
      </w:r>
      <w:r>
        <w:rPr>
          <w:rFonts w:ascii="仿宋" w:hAnsi="仿宋" w:eastAsia="仿宋"/>
          <w:sz w:val="32"/>
          <w:szCs w:val="32"/>
        </w:rPr>
        <w:t>疾控通讯》投稿</w:t>
      </w:r>
      <w:r>
        <w:rPr>
          <w:rFonts w:hint="eastAsia" w:ascii="仿宋" w:hAnsi="仿宋" w:eastAsia="仿宋"/>
          <w:sz w:val="32"/>
          <w:szCs w:val="32"/>
        </w:rPr>
        <w:t>11篇</w:t>
      </w:r>
      <w:r>
        <w:rPr>
          <w:rFonts w:ascii="仿宋" w:hAnsi="仿宋" w:eastAsia="仿宋"/>
          <w:sz w:val="32"/>
          <w:szCs w:val="32"/>
        </w:rPr>
        <w:t>，发表1篇</w:t>
      </w:r>
      <w:r>
        <w:rPr>
          <w:rFonts w:hint="eastAsia" w:ascii="仿宋" w:hAnsi="仿宋" w:eastAsia="仿宋"/>
          <w:sz w:val="32"/>
          <w:szCs w:val="32"/>
        </w:rPr>
        <w:t>。</w:t>
      </w:r>
      <w:r>
        <w:rPr>
          <w:rFonts w:ascii="仿宋" w:hAnsi="仿宋" w:eastAsia="仿宋"/>
          <w:sz w:val="32"/>
          <w:szCs w:val="32"/>
        </w:rPr>
        <w:t>对</w:t>
      </w:r>
      <w:r>
        <w:rPr>
          <w:rFonts w:hint="eastAsia" w:ascii="仿宋" w:hAnsi="仿宋" w:eastAsia="仿宋"/>
          <w:sz w:val="32"/>
          <w:szCs w:val="32"/>
        </w:rPr>
        <w:t>3个乡镇6个村</w:t>
      </w:r>
      <w:r>
        <w:rPr>
          <w:rFonts w:ascii="仿宋" w:hAnsi="仿宋" w:eastAsia="仿宋"/>
          <w:sz w:val="32"/>
          <w:szCs w:val="32"/>
        </w:rPr>
        <w:t>240名居民进行了居民健康素养问卷调查，为制定健康教育策略提供了科学依据。</w:t>
      </w:r>
      <w:r>
        <w:rPr>
          <w:rFonts w:hint="eastAsia" w:ascii="仿宋" w:hAnsi="仿宋" w:eastAsia="仿宋"/>
          <w:b/>
          <w:sz w:val="32"/>
          <w:szCs w:val="32"/>
        </w:rPr>
        <w:t>三是</w:t>
      </w:r>
      <w:r>
        <w:rPr>
          <w:rFonts w:ascii="仿宋" w:hAnsi="仿宋" w:eastAsia="仿宋"/>
          <w:b/>
          <w:sz w:val="32"/>
          <w:szCs w:val="32"/>
        </w:rPr>
        <w:t>地方病防治与管理持续推进</w:t>
      </w:r>
      <w:r>
        <w:rPr>
          <w:rFonts w:hint="eastAsia" w:ascii="仿宋" w:hAnsi="仿宋" w:eastAsia="仿宋"/>
          <w:b/>
          <w:sz w:val="32"/>
          <w:szCs w:val="32"/>
        </w:rPr>
        <w:t>。</w:t>
      </w:r>
      <w:r>
        <w:rPr>
          <w:rFonts w:ascii="仿宋" w:hAnsi="仿宋" w:eastAsia="仿宋"/>
          <w:sz w:val="32"/>
          <w:szCs w:val="32"/>
        </w:rPr>
        <w:t>采集食盐样300份、尿样300份，并检测了8-10岁儿童甲状腺，有效评估了碘缺乏病防控效果。积极参与地方病防治十五五规划前期研究自评工作，撰写自评报告，为后续规划制定提供了有力支持。</w:t>
      </w:r>
    </w:p>
    <w:p w14:paraId="675D0103">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（四）结核病防治工作</w:t>
      </w:r>
    </w:p>
    <w:p w14:paraId="4831C17B">
      <w:pPr>
        <w:ind w:firstLine="643" w:firstLineChars="200"/>
        <w:rPr>
          <w:rFonts w:hint="eastAsia" w:ascii="仿宋" w:hAnsi="仿宋" w:eastAsia="仿宋"/>
          <w:sz w:val="32"/>
          <w:szCs w:val="32"/>
        </w:rPr>
      </w:pPr>
      <w:r>
        <w:rPr>
          <w:rFonts w:hint="eastAsia" w:ascii="仿宋" w:hAnsi="仿宋" w:eastAsia="仿宋"/>
          <w:b/>
          <w:sz w:val="32"/>
          <w:szCs w:val="32"/>
        </w:rPr>
        <w:t>一是</w:t>
      </w:r>
      <w:r>
        <w:rPr>
          <w:rFonts w:ascii="仿宋" w:hAnsi="仿宋" w:eastAsia="仿宋"/>
          <w:b/>
          <w:sz w:val="32"/>
          <w:szCs w:val="32"/>
        </w:rPr>
        <w:t>结核病诊断与治疗工作成效显著</w:t>
      </w:r>
      <w:r>
        <w:rPr>
          <w:rFonts w:hint="eastAsia" w:ascii="仿宋" w:hAnsi="仿宋" w:eastAsia="仿宋"/>
          <w:b/>
          <w:sz w:val="32"/>
          <w:szCs w:val="32"/>
        </w:rPr>
        <w:t>。</w:t>
      </w:r>
      <w:r>
        <w:rPr>
          <w:rFonts w:hint="eastAsia" w:ascii="仿宋" w:hAnsi="仿宋" w:eastAsia="仿宋"/>
          <w:sz w:val="32"/>
          <w:szCs w:val="32"/>
        </w:rPr>
        <w:t>全年我市结核病定点医院接诊门诊病人1521人次，发现并确诊结核患者205例，其中病原学阳性检出率高达50.24%。</w:t>
      </w:r>
      <w:r>
        <w:rPr>
          <w:rFonts w:ascii="仿宋" w:hAnsi="仿宋" w:eastAsia="仿宋"/>
          <w:sz w:val="32"/>
          <w:szCs w:val="32"/>
        </w:rPr>
        <w:t>同期完成</w:t>
      </w:r>
      <w:r>
        <w:rPr>
          <w:rFonts w:hint="eastAsia" w:ascii="仿宋" w:hAnsi="仿宋" w:eastAsia="仿宋"/>
          <w:sz w:val="32"/>
          <w:szCs w:val="32"/>
        </w:rPr>
        <w:t>确诊患者</w:t>
      </w:r>
      <w:r>
        <w:rPr>
          <w:rFonts w:ascii="仿宋" w:hAnsi="仿宋" w:eastAsia="仿宋"/>
          <w:sz w:val="32"/>
          <w:szCs w:val="32"/>
        </w:rPr>
        <w:t>疗程人数70例，治愈87例，治愈率较高</w:t>
      </w:r>
      <w:r>
        <w:rPr>
          <w:rFonts w:hint="eastAsia" w:ascii="仿宋" w:hAnsi="仿宋" w:eastAsia="仿宋"/>
          <w:sz w:val="32"/>
          <w:szCs w:val="32"/>
        </w:rPr>
        <w:t>。对87例患者积极开展痰培养及耐药筛查，对233例初治涂阳肺结核患者的密切接触者也进行了严格追踪筛查，有效防止了病情扩散。</w:t>
      </w:r>
      <w:r>
        <w:rPr>
          <w:rFonts w:hint="eastAsia" w:ascii="仿宋" w:hAnsi="仿宋" w:eastAsia="仿宋"/>
          <w:b/>
          <w:sz w:val="32"/>
          <w:szCs w:val="32"/>
        </w:rPr>
        <w:t>二是</w:t>
      </w:r>
      <w:r>
        <w:rPr>
          <w:rFonts w:ascii="仿宋" w:hAnsi="仿宋" w:eastAsia="仿宋"/>
          <w:b/>
          <w:sz w:val="32"/>
          <w:szCs w:val="32"/>
        </w:rPr>
        <w:t>结核病人追踪</w:t>
      </w:r>
      <w:r>
        <w:rPr>
          <w:rFonts w:hint="eastAsia" w:ascii="仿宋" w:hAnsi="仿宋" w:eastAsia="仿宋"/>
          <w:b/>
          <w:sz w:val="32"/>
          <w:szCs w:val="32"/>
        </w:rPr>
        <w:t>督导</w:t>
      </w:r>
      <w:r>
        <w:rPr>
          <w:rFonts w:ascii="仿宋" w:hAnsi="仿宋" w:eastAsia="仿宋"/>
          <w:b/>
          <w:sz w:val="32"/>
          <w:szCs w:val="32"/>
        </w:rPr>
        <w:t>严谨高效</w:t>
      </w:r>
      <w:r>
        <w:rPr>
          <w:rFonts w:hint="eastAsia" w:ascii="仿宋" w:hAnsi="仿宋" w:eastAsia="仿宋"/>
          <w:b/>
          <w:sz w:val="32"/>
          <w:szCs w:val="32"/>
        </w:rPr>
        <w:t>。</w:t>
      </w:r>
      <w:r>
        <w:rPr>
          <w:rFonts w:hint="eastAsia" w:ascii="仿宋" w:hAnsi="仿宋" w:eastAsia="仿宋"/>
          <w:sz w:val="32"/>
          <w:szCs w:val="32"/>
        </w:rPr>
        <w:t>全年共追踪疑似或确诊结核病人484例，追踪到位率高达99%；对在治病人落实“三见面”和强化期、继续期4次督导频率，定期电话督导，确保了病人不断药、副作用及时解决、检查准时进行。</w:t>
      </w:r>
      <w:r>
        <w:rPr>
          <w:rFonts w:hint="eastAsia" w:ascii="仿宋" w:hAnsi="仿宋" w:eastAsia="仿宋"/>
          <w:b/>
          <w:sz w:val="32"/>
          <w:szCs w:val="32"/>
        </w:rPr>
        <w:t>三是</w:t>
      </w:r>
      <w:r>
        <w:rPr>
          <w:rFonts w:ascii="仿宋" w:hAnsi="仿宋" w:eastAsia="仿宋"/>
          <w:b/>
          <w:sz w:val="32"/>
          <w:szCs w:val="32"/>
        </w:rPr>
        <w:t>健康宣教工作深入人心</w:t>
      </w:r>
      <w:r>
        <w:rPr>
          <w:rFonts w:hint="eastAsia" w:ascii="仿宋" w:hAnsi="仿宋" w:eastAsia="仿宋"/>
          <w:b/>
          <w:sz w:val="32"/>
          <w:szCs w:val="32"/>
        </w:rPr>
        <w:t>。</w:t>
      </w:r>
      <w:r>
        <w:rPr>
          <w:rFonts w:hint="eastAsia" w:ascii="仿宋" w:hAnsi="仿宋" w:eastAsia="仿宋"/>
          <w:sz w:val="32"/>
          <w:szCs w:val="32"/>
        </w:rPr>
        <w:t>充分利用各种渠道和形式，深入开展健康宣教工作，特别是在“世界防治结核病日”期间，围绕主题开展了一系列宣传活动，有效提升了全民结核病防治知晓水平。同时，各级督导人员在诊疗服务与随访过程中也加强了健康宣教。</w:t>
      </w:r>
      <w:r>
        <w:rPr>
          <w:rFonts w:hint="eastAsia" w:ascii="仿宋" w:hAnsi="仿宋" w:eastAsia="仿宋"/>
          <w:b/>
          <w:sz w:val="32"/>
          <w:szCs w:val="32"/>
        </w:rPr>
        <w:t>四是</w:t>
      </w:r>
      <w:r>
        <w:rPr>
          <w:rFonts w:ascii="仿宋" w:hAnsi="仿宋" w:eastAsia="仿宋"/>
          <w:b/>
          <w:sz w:val="32"/>
          <w:szCs w:val="32"/>
        </w:rPr>
        <w:t>学校结核病防控和重点人群筛查工作有序进行</w:t>
      </w:r>
      <w:r>
        <w:rPr>
          <w:rFonts w:hint="eastAsia" w:ascii="仿宋" w:hAnsi="仿宋" w:eastAsia="仿宋"/>
          <w:b/>
          <w:sz w:val="32"/>
          <w:szCs w:val="32"/>
        </w:rPr>
        <w:t>。</w:t>
      </w:r>
      <w:r>
        <w:rPr>
          <w:rFonts w:hint="eastAsia" w:ascii="仿宋" w:hAnsi="仿宋" w:eastAsia="仿宋"/>
          <w:sz w:val="32"/>
          <w:szCs w:val="32"/>
        </w:rPr>
        <w:t>9月份开展</w:t>
      </w:r>
      <w:r>
        <w:rPr>
          <w:rFonts w:ascii="仿宋" w:hAnsi="仿宋" w:eastAsia="仿宋"/>
          <w:sz w:val="32"/>
          <w:szCs w:val="32"/>
        </w:rPr>
        <w:t>了全市学校结核病筛查，筛查27855人次，ppd/ec检测17199人次，阳性反应341人次，阳性检出率为1.98%，经进一步检查，初步诊断为肺结核临床诊断病例4例。</w:t>
      </w:r>
      <w:r>
        <w:rPr>
          <w:rFonts w:hint="eastAsia" w:ascii="仿宋" w:hAnsi="仿宋" w:eastAsia="仿宋"/>
          <w:sz w:val="32"/>
          <w:szCs w:val="32"/>
        </w:rPr>
        <w:t>做好了65岁以上老年人及糖尿病患者等重点人群筛查工作，为及时干预和治疗提供了有力支持。</w:t>
      </w:r>
    </w:p>
    <w:p w14:paraId="0E08BC20">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（五）艾滋病防治工作</w:t>
      </w:r>
    </w:p>
    <w:p w14:paraId="2CBD8069">
      <w:pPr>
        <w:ind w:firstLine="643" w:firstLineChars="200"/>
        <w:rPr>
          <w:rFonts w:hint="eastAsia" w:ascii="仿宋" w:hAnsi="仿宋" w:eastAsia="仿宋"/>
          <w:sz w:val="32"/>
          <w:szCs w:val="32"/>
        </w:rPr>
      </w:pPr>
      <w:r>
        <w:rPr>
          <w:rFonts w:hint="eastAsia" w:ascii="仿宋" w:hAnsi="仿宋" w:eastAsia="仿宋"/>
          <w:b/>
          <w:sz w:val="32"/>
          <w:szCs w:val="32"/>
        </w:rPr>
        <w:t>一是上下联动，全社会参与</w:t>
      </w:r>
      <w:r>
        <w:rPr>
          <w:rFonts w:hint="eastAsia" w:ascii="仿宋" w:hAnsi="仿宋" w:eastAsia="仿宋"/>
          <w:sz w:val="32"/>
          <w:szCs w:val="32"/>
        </w:rPr>
        <w:t>。我市</w:t>
      </w:r>
      <w:r>
        <w:rPr>
          <w:rFonts w:ascii="仿宋" w:hAnsi="仿宋" w:eastAsia="仿宋"/>
          <w:sz w:val="32"/>
          <w:szCs w:val="32"/>
        </w:rPr>
        <w:t>形成</w:t>
      </w:r>
      <w:r>
        <w:rPr>
          <w:rFonts w:hint="eastAsia" w:ascii="仿宋" w:hAnsi="仿宋" w:eastAsia="仿宋"/>
          <w:sz w:val="32"/>
          <w:szCs w:val="32"/>
        </w:rPr>
        <w:t>了</w:t>
      </w:r>
      <w:r>
        <w:rPr>
          <w:rFonts w:ascii="仿宋" w:hAnsi="仿宋" w:eastAsia="仿宋"/>
          <w:sz w:val="32"/>
          <w:szCs w:val="32"/>
        </w:rPr>
        <w:t>多部门协同、全社会参与的防治机制</w:t>
      </w:r>
      <w:r>
        <w:rPr>
          <w:rFonts w:hint="eastAsia" w:ascii="仿宋" w:hAnsi="仿宋" w:eastAsia="仿宋"/>
          <w:sz w:val="32"/>
          <w:szCs w:val="32"/>
        </w:rPr>
        <w:t>，</w:t>
      </w:r>
      <w:r>
        <w:rPr>
          <w:rFonts w:ascii="仿宋" w:hAnsi="仿宋" w:eastAsia="仿宋"/>
          <w:sz w:val="32"/>
          <w:szCs w:val="32"/>
        </w:rPr>
        <w:t>加强与市直医疗单位、社区妇女主任</w:t>
      </w:r>
      <w:r>
        <w:rPr>
          <w:rFonts w:hint="eastAsia" w:ascii="仿宋" w:hAnsi="仿宋" w:eastAsia="仿宋"/>
          <w:sz w:val="32"/>
          <w:szCs w:val="32"/>
        </w:rPr>
        <w:t>等</w:t>
      </w:r>
      <w:r>
        <w:rPr>
          <w:rFonts w:ascii="仿宋" w:hAnsi="仿宋" w:eastAsia="仿宋"/>
          <w:sz w:val="32"/>
          <w:szCs w:val="32"/>
        </w:rPr>
        <w:t>基层组织</w:t>
      </w:r>
      <w:r>
        <w:rPr>
          <w:rFonts w:hint="eastAsia" w:ascii="仿宋" w:hAnsi="仿宋" w:eastAsia="仿宋"/>
          <w:sz w:val="32"/>
          <w:szCs w:val="32"/>
        </w:rPr>
        <w:t>及成员</w:t>
      </w:r>
      <w:r>
        <w:rPr>
          <w:rFonts w:ascii="仿宋" w:hAnsi="仿宋" w:eastAsia="仿宋"/>
          <w:sz w:val="32"/>
          <w:szCs w:val="32"/>
        </w:rPr>
        <w:t>协作，共促防治工作深入。</w:t>
      </w:r>
      <w:r>
        <w:rPr>
          <w:rFonts w:hint="eastAsia" w:ascii="仿宋" w:hAnsi="仿宋" w:eastAsia="仿宋"/>
          <w:b/>
          <w:sz w:val="32"/>
          <w:szCs w:val="32"/>
        </w:rPr>
        <w:t>二是</w:t>
      </w:r>
      <w:r>
        <w:rPr>
          <w:rFonts w:ascii="仿宋" w:hAnsi="仿宋" w:eastAsia="仿宋"/>
          <w:b/>
          <w:sz w:val="32"/>
          <w:szCs w:val="32"/>
        </w:rPr>
        <w:t>能力提升与专业培训</w:t>
      </w:r>
      <w:r>
        <w:rPr>
          <w:rFonts w:hint="eastAsia" w:ascii="仿宋" w:hAnsi="仿宋" w:eastAsia="仿宋"/>
          <w:b/>
          <w:sz w:val="32"/>
          <w:szCs w:val="32"/>
        </w:rPr>
        <w:t>。</w:t>
      </w:r>
      <w:r>
        <w:rPr>
          <w:rFonts w:ascii="仿宋" w:hAnsi="仿宋" w:eastAsia="仿宋"/>
          <w:sz w:val="32"/>
          <w:szCs w:val="32"/>
        </w:rPr>
        <w:t>选派专业人员参加</w:t>
      </w:r>
      <w:r>
        <w:rPr>
          <w:rFonts w:hint="eastAsia" w:ascii="仿宋" w:hAnsi="仿宋" w:eastAsia="仿宋"/>
          <w:sz w:val="32"/>
          <w:szCs w:val="32"/>
        </w:rPr>
        <w:t>了</w:t>
      </w:r>
      <w:r>
        <w:rPr>
          <w:rFonts w:ascii="仿宋" w:hAnsi="仿宋" w:eastAsia="仿宋"/>
          <w:sz w:val="32"/>
          <w:szCs w:val="32"/>
        </w:rPr>
        <w:t>省市级培训，</w:t>
      </w:r>
      <w:r>
        <w:rPr>
          <w:rFonts w:hint="eastAsia" w:ascii="仿宋" w:hAnsi="仿宋" w:eastAsia="仿宋"/>
          <w:sz w:val="32"/>
          <w:szCs w:val="32"/>
        </w:rPr>
        <w:t>5月、11月</w:t>
      </w:r>
      <w:r>
        <w:rPr>
          <w:rFonts w:ascii="仿宋" w:hAnsi="仿宋" w:eastAsia="仿宋"/>
          <w:sz w:val="32"/>
          <w:szCs w:val="32"/>
        </w:rPr>
        <w:t>举办两场专题培训会议，</w:t>
      </w:r>
      <w:r>
        <w:rPr>
          <w:rFonts w:hint="eastAsia" w:ascii="仿宋" w:hAnsi="仿宋" w:eastAsia="仿宋"/>
          <w:sz w:val="32"/>
          <w:szCs w:val="32"/>
        </w:rPr>
        <w:t>培训人员40</w:t>
      </w:r>
      <w:r>
        <w:rPr>
          <w:rFonts w:ascii="仿宋" w:hAnsi="仿宋" w:eastAsia="仿宋"/>
          <w:sz w:val="32"/>
          <w:szCs w:val="32"/>
        </w:rPr>
        <w:t>余人次</w:t>
      </w:r>
      <w:r>
        <w:rPr>
          <w:rFonts w:hint="eastAsia" w:ascii="仿宋" w:hAnsi="仿宋" w:eastAsia="仿宋"/>
          <w:sz w:val="32"/>
          <w:szCs w:val="32"/>
        </w:rPr>
        <w:t>，</w:t>
      </w:r>
      <w:r>
        <w:rPr>
          <w:rFonts w:ascii="仿宋" w:hAnsi="仿宋" w:eastAsia="仿宋"/>
          <w:sz w:val="32"/>
          <w:szCs w:val="32"/>
        </w:rPr>
        <w:t>提升</w:t>
      </w:r>
      <w:r>
        <w:rPr>
          <w:rFonts w:hint="eastAsia" w:ascii="仿宋" w:hAnsi="仿宋" w:eastAsia="仿宋"/>
          <w:sz w:val="32"/>
          <w:szCs w:val="32"/>
        </w:rPr>
        <w:t>基层</w:t>
      </w:r>
      <w:r>
        <w:rPr>
          <w:rFonts w:ascii="仿宋" w:hAnsi="仿宋" w:eastAsia="仿宋"/>
          <w:sz w:val="32"/>
          <w:szCs w:val="32"/>
        </w:rPr>
        <w:t>防治水平。完善</w:t>
      </w:r>
      <w:r>
        <w:rPr>
          <w:rFonts w:hint="eastAsia" w:ascii="仿宋" w:hAnsi="仿宋" w:eastAsia="仿宋"/>
          <w:sz w:val="32"/>
          <w:szCs w:val="32"/>
        </w:rPr>
        <w:t>了艾滋病</w:t>
      </w:r>
      <w:r>
        <w:rPr>
          <w:rFonts w:ascii="仿宋" w:hAnsi="仿宋" w:eastAsia="仿宋"/>
          <w:sz w:val="32"/>
          <w:szCs w:val="32"/>
        </w:rPr>
        <w:t>初筛实验室建设，</w:t>
      </w:r>
      <w:r>
        <w:rPr>
          <w:rFonts w:hint="eastAsia" w:ascii="仿宋" w:hAnsi="仿宋" w:eastAsia="仿宋"/>
          <w:sz w:val="32"/>
          <w:szCs w:val="32"/>
        </w:rPr>
        <w:t>对我市</w:t>
      </w:r>
      <w:r>
        <w:rPr>
          <w:rFonts w:ascii="仿宋" w:hAnsi="仿宋" w:eastAsia="仿宋"/>
          <w:sz w:val="32"/>
          <w:szCs w:val="32"/>
        </w:rPr>
        <w:t>四家初筛实验室检测能力</w:t>
      </w:r>
      <w:r>
        <w:rPr>
          <w:rFonts w:hint="eastAsia" w:ascii="仿宋" w:hAnsi="仿宋" w:eastAsia="仿宋"/>
          <w:sz w:val="32"/>
          <w:szCs w:val="32"/>
        </w:rPr>
        <w:t>进行了提升</w:t>
      </w:r>
      <w:r>
        <w:rPr>
          <w:rFonts w:ascii="仿宋" w:hAnsi="仿宋" w:eastAsia="仿宋"/>
          <w:sz w:val="32"/>
          <w:szCs w:val="32"/>
        </w:rPr>
        <w:t>，确保检测质量。</w:t>
      </w:r>
      <w:r>
        <w:rPr>
          <w:rFonts w:hint="eastAsia" w:ascii="仿宋" w:hAnsi="仿宋" w:eastAsia="仿宋"/>
          <w:b/>
          <w:sz w:val="32"/>
          <w:szCs w:val="32"/>
        </w:rPr>
        <w:t>三是</w:t>
      </w:r>
      <w:r>
        <w:rPr>
          <w:rFonts w:ascii="仿宋" w:hAnsi="仿宋" w:eastAsia="仿宋"/>
          <w:b/>
          <w:sz w:val="32"/>
          <w:szCs w:val="32"/>
        </w:rPr>
        <w:t>宣传教育工作</w:t>
      </w:r>
      <w:r>
        <w:rPr>
          <w:rFonts w:hint="eastAsia" w:ascii="仿宋" w:hAnsi="仿宋" w:eastAsia="仿宋"/>
          <w:b/>
          <w:sz w:val="32"/>
          <w:szCs w:val="32"/>
        </w:rPr>
        <w:t>。</w:t>
      </w:r>
      <w:r>
        <w:rPr>
          <w:rFonts w:ascii="仿宋" w:hAnsi="仿宋" w:eastAsia="仿宋"/>
          <w:sz w:val="32"/>
          <w:szCs w:val="32"/>
        </w:rPr>
        <w:t>充分利用多种形式普及艾滋病防治知识，“12.1</w:t>
      </w:r>
      <w:r>
        <w:rPr>
          <w:rFonts w:hint="eastAsia" w:ascii="仿宋" w:hAnsi="仿宋" w:eastAsia="仿宋"/>
          <w:sz w:val="32"/>
          <w:szCs w:val="32"/>
        </w:rPr>
        <w:t>”</w:t>
      </w:r>
      <w:r>
        <w:rPr>
          <w:rFonts w:ascii="仿宋" w:hAnsi="仿宋" w:eastAsia="仿宋"/>
          <w:sz w:val="32"/>
          <w:szCs w:val="32"/>
        </w:rPr>
        <w:t>世界艾滋病日，联合多部门开展大型宣传活动，</w:t>
      </w:r>
      <w:r>
        <w:rPr>
          <w:rFonts w:hint="eastAsia" w:ascii="仿宋" w:hAnsi="仿宋" w:eastAsia="仿宋"/>
          <w:sz w:val="32"/>
          <w:szCs w:val="32"/>
        </w:rPr>
        <w:t>张贴海报400余份，制作展板10块，发放宣传册近5000份，安全套1880个</w:t>
      </w:r>
      <w:r>
        <w:rPr>
          <w:rFonts w:ascii="仿宋" w:hAnsi="仿宋" w:eastAsia="仿宋"/>
          <w:sz w:val="32"/>
          <w:szCs w:val="32"/>
        </w:rPr>
        <w:t>，覆盖人群广泛。</w:t>
      </w:r>
      <w:r>
        <w:rPr>
          <w:rFonts w:hint="eastAsia" w:ascii="仿宋" w:hAnsi="仿宋" w:eastAsia="仿宋"/>
          <w:b/>
          <w:sz w:val="32"/>
          <w:szCs w:val="32"/>
        </w:rPr>
        <w:t>四是按时完成</w:t>
      </w:r>
      <w:r>
        <w:rPr>
          <w:rFonts w:ascii="仿宋" w:hAnsi="仿宋" w:eastAsia="仿宋"/>
          <w:b/>
          <w:sz w:val="32"/>
          <w:szCs w:val="32"/>
        </w:rPr>
        <w:t>工作指标</w:t>
      </w:r>
      <w:r>
        <w:rPr>
          <w:rFonts w:hint="eastAsia" w:ascii="仿宋" w:hAnsi="仿宋" w:eastAsia="仿宋"/>
          <w:b/>
          <w:sz w:val="32"/>
          <w:szCs w:val="32"/>
        </w:rPr>
        <w:t>。</w:t>
      </w:r>
      <w:r>
        <w:rPr>
          <w:rFonts w:ascii="仿宋" w:hAnsi="仿宋" w:eastAsia="仿宋"/>
          <w:sz w:val="32"/>
          <w:szCs w:val="32"/>
        </w:rPr>
        <w:t>暗娼干预对象461人次，</w:t>
      </w:r>
      <w:r>
        <w:rPr>
          <w:rFonts w:hint="eastAsia" w:ascii="仿宋" w:hAnsi="仿宋" w:eastAsia="仿宋"/>
          <w:sz w:val="32"/>
          <w:szCs w:val="32"/>
        </w:rPr>
        <w:t>开展</w:t>
      </w:r>
      <w:r>
        <w:rPr>
          <w:rFonts w:ascii="仿宋" w:hAnsi="仿宋" w:eastAsia="仿宋"/>
          <w:sz w:val="32"/>
          <w:szCs w:val="32"/>
        </w:rPr>
        <w:t>羁押和吸毒人员HIV和HCV检测，</w:t>
      </w:r>
      <w:r>
        <w:rPr>
          <w:rFonts w:hint="eastAsia" w:ascii="仿宋" w:hAnsi="仿宋" w:eastAsia="仿宋"/>
          <w:sz w:val="32"/>
          <w:szCs w:val="32"/>
        </w:rPr>
        <w:t>联合18家医疗机构设立</w:t>
      </w:r>
      <w:r>
        <w:rPr>
          <w:rFonts w:ascii="仿宋" w:hAnsi="仿宋" w:eastAsia="仿宋"/>
          <w:sz w:val="32"/>
          <w:szCs w:val="32"/>
        </w:rPr>
        <w:t>艾滋病检测点并开展HIV快速检测人数16494人</w:t>
      </w:r>
      <w:r>
        <w:rPr>
          <w:rFonts w:hint="eastAsia" w:ascii="仿宋" w:hAnsi="仿宋" w:eastAsia="仿宋"/>
          <w:sz w:val="32"/>
          <w:szCs w:val="32"/>
        </w:rPr>
        <w:t>。</w:t>
      </w:r>
      <w:r>
        <w:rPr>
          <w:rFonts w:ascii="仿宋" w:hAnsi="仿宋" w:eastAsia="仿宋"/>
          <w:sz w:val="32"/>
          <w:szCs w:val="32"/>
        </w:rPr>
        <w:t>开展了HIV患者结核病监测、HIV患者阴性配偶和固定性伴监测、艾滋病检测点检测等工作，累计随访348名治疗病人，完成1392人次随访任务，</w:t>
      </w:r>
      <w:r>
        <w:rPr>
          <w:rFonts w:hint="eastAsia" w:ascii="仿宋" w:hAnsi="仿宋" w:eastAsia="仿宋"/>
          <w:sz w:val="32"/>
          <w:szCs w:val="32"/>
        </w:rPr>
        <w:t>开展麻风病与丙肝检测，收集动态数据及时上报。</w:t>
      </w:r>
    </w:p>
    <w:p w14:paraId="19861870">
      <w:pPr>
        <w:spacing w:line="600" w:lineRule="exact"/>
        <w:ind w:firstLine="640" w:firstLineChars="200"/>
        <w:jc w:val="both"/>
        <w:rPr>
          <w:rFonts w:hint="eastAsia" w:eastAsia="仿宋_GB2312"/>
          <w:kern w:val="0"/>
          <w:sz w:val="32"/>
          <w:szCs w:val="32"/>
          <w:lang w:eastAsia="zh-CN"/>
        </w:rPr>
      </w:pPr>
    </w:p>
    <w:p w14:paraId="231A8C96">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 xml:space="preserve">（六）开展卫生监测体检和职业病防治工作                     </w:t>
      </w:r>
    </w:p>
    <w:p w14:paraId="355B77AC">
      <w:pPr>
        <w:ind w:firstLine="643" w:firstLineChars="200"/>
        <w:rPr>
          <w:rFonts w:hint="eastAsia" w:ascii="仿宋" w:hAnsi="仿宋" w:eastAsia="仿宋"/>
          <w:sz w:val="32"/>
          <w:szCs w:val="32"/>
        </w:rPr>
      </w:pPr>
      <w:r>
        <w:rPr>
          <w:rFonts w:hint="eastAsia" w:ascii="仿宋" w:hAnsi="仿宋" w:eastAsia="仿宋"/>
          <w:b/>
          <w:sz w:val="32"/>
          <w:szCs w:val="32"/>
        </w:rPr>
        <w:t>一是饮用水卫生监测工作全面展开。</w:t>
      </w:r>
      <w:r>
        <w:rPr>
          <w:rFonts w:hint="eastAsia" w:ascii="仿宋" w:hAnsi="仿宋" w:eastAsia="仿宋"/>
          <w:sz w:val="32"/>
          <w:szCs w:val="32"/>
        </w:rPr>
        <w:t>全年采集城乡饮用水水样1023份，对26份城市饮用水进行了定点采样检测。采集学校水样35份，确保学校师生的饮水安全。</w:t>
      </w:r>
      <w:r>
        <w:rPr>
          <w:rFonts w:hint="eastAsia" w:ascii="仿宋" w:hAnsi="仿宋" w:eastAsia="仿宋"/>
          <w:b/>
          <w:sz w:val="32"/>
          <w:szCs w:val="32"/>
        </w:rPr>
        <w:t>二是食品安全风险监测工作稳步推进。</w:t>
      </w:r>
      <w:r>
        <w:rPr>
          <w:rFonts w:hint="eastAsia" w:ascii="仿宋" w:hAnsi="仿宋" w:eastAsia="仿宋"/>
          <w:sz w:val="32"/>
          <w:szCs w:val="32"/>
        </w:rPr>
        <w:t>全年完成大米样品30批次、水生蔬菜5批次及地方特色食品皮粉30批次的采集与检测任务，为食品安全风险评估提供了重要数据。全年上报及审核食源性疾病监测病例458例。</w:t>
      </w:r>
      <w:r>
        <w:rPr>
          <w:rFonts w:hint="eastAsia" w:ascii="仿宋" w:hAnsi="仿宋" w:eastAsia="仿宋"/>
          <w:b/>
          <w:sz w:val="32"/>
          <w:szCs w:val="32"/>
        </w:rPr>
        <w:t>三是食用野生蘑菇中毒事件得到有效处置。</w:t>
      </w:r>
      <w:r>
        <w:rPr>
          <w:rFonts w:hint="eastAsia" w:ascii="仿宋" w:hAnsi="仿宋" w:eastAsia="仿宋"/>
          <w:sz w:val="32"/>
          <w:szCs w:val="32"/>
        </w:rPr>
        <w:t>全年发生野生蘑菇中毒事件11起，涉及34人暴露、28人发病并全部住院，无死亡病例。</w:t>
      </w:r>
      <w:r>
        <w:rPr>
          <w:rFonts w:hint="eastAsia" w:ascii="仿宋" w:hAnsi="仿宋" w:eastAsia="仿宋"/>
          <w:b/>
          <w:sz w:val="32"/>
          <w:szCs w:val="32"/>
        </w:rPr>
        <w:t>四是居民食药物质消费状况调查取得初步成果。</w:t>
      </w:r>
      <w:r>
        <w:rPr>
          <w:rFonts w:hint="eastAsia" w:ascii="仿宋" w:hAnsi="仿宋" w:eastAsia="仿宋"/>
          <w:sz w:val="32"/>
          <w:szCs w:val="32"/>
        </w:rPr>
        <w:t>组织开展了食药物质消费状况调查工作，共收集有效问卷462份，涉及全市14个乡镇和16个社区，初步了解了全市居民食药物质消费的基本情况和消费习惯，为制定更加科学合理的食品安全政策与健康教育策略提供了数据支撑。</w:t>
      </w:r>
      <w:r>
        <w:rPr>
          <w:rFonts w:hint="eastAsia" w:ascii="仿宋" w:hAnsi="仿宋" w:eastAsia="仿宋"/>
          <w:b/>
          <w:sz w:val="32"/>
          <w:szCs w:val="32"/>
        </w:rPr>
        <w:t>五是宣传教育与培训工作成效显著。</w:t>
      </w:r>
      <w:r>
        <w:rPr>
          <w:rFonts w:hint="eastAsia" w:ascii="仿宋" w:hAnsi="仿宋" w:eastAsia="仿宋"/>
          <w:sz w:val="32"/>
          <w:szCs w:val="32"/>
        </w:rPr>
        <w:t>积极宣传职业病防治法律法规和职业病防治知识、野生蘑菇中毒等等，提高市民的自我保护能力。在培训方面，科室成员参加了多次国家级、省级及市级培训活动，专业技能和业务水平得到了显著提升。</w:t>
      </w:r>
      <w:r>
        <w:rPr>
          <w:rFonts w:hint="eastAsia" w:ascii="仿宋" w:hAnsi="仿宋" w:eastAsia="仿宋"/>
          <w:b/>
          <w:sz w:val="32"/>
          <w:szCs w:val="32"/>
        </w:rPr>
        <w:t>六是职业病防治与公共卫生监管工作取得新进展。</w:t>
      </w:r>
      <w:r>
        <w:rPr>
          <w:rFonts w:hint="eastAsia" w:ascii="仿宋" w:hAnsi="仿宋" w:eastAsia="仿宋"/>
          <w:sz w:val="32"/>
          <w:szCs w:val="32"/>
        </w:rPr>
        <w:t>完成300余家企业现状调查，对15例入档尘肺病例进行了回访调查，对42家重点企业开展了职业病危害因素现场检测，对近700名在岗员工进行了职业健康体检，对17家医疗机构及2家非医疗机构开展了放射调查。实施了公共场所及学校卫生“双随机”检测工作，采集并检测500份样品，为职业病防治和公共卫生监管提供了有力支持。</w:t>
      </w:r>
    </w:p>
    <w:p w14:paraId="7FAB66C2">
      <w:pPr>
        <w:ind w:firstLine="640" w:firstLineChars="200"/>
        <w:rPr>
          <w:rFonts w:hint="eastAsia" w:ascii="仿宋" w:hAnsi="仿宋" w:eastAsia="仿宋"/>
          <w:sz w:val="32"/>
          <w:szCs w:val="32"/>
        </w:rPr>
      </w:pPr>
      <w:r>
        <w:rPr>
          <w:rFonts w:hint="eastAsia" w:ascii="楷体" w:hAnsi="楷体" w:eastAsia="楷体"/>
          <w:sz w:val="32"/>
          <w:szCs w:val="32"/>
        </w:rPr>
        <w:t>（七）检验检测工作。</w:t>
      </w:r>
      <w:r>
        <w:rPr>
          <w:rFonts w:hint="eastAsia" w:ascii="仿宋" w:hAnsi="仿宋" w:eastAsia="仿宋"/>
          <w:b/>
          <w:sz w:val="32"/>
          <w:szCs w:val="32"/>
        </w:rPr>
        <w:t>一是微生物检验工作全面展开，成效显著。</w:t>
      </w:r>
      <w:r>
        <w:rPr>
          <w:rFonts w:hint="eastAsia" w:ascii="仿宋" w:hAnsi="仿宋" w:eastAsia="仿宋"/>
          <w:sz w:val="32"/>
          <w:szCs w:val="32"/>
        </w:rPr>
        <w:t>参与不明原因肺炎应急演练1次，对卫生院生物安全指导1次。PCR实验室高效运转，完成了流感-新冠哨点检测42批次、手足口检测9批次，完成3次食物中毒致病菌检验。完成水质样品微生物检验项目425份，寄生虫检查标本1000余份。</w:t>
      </w:r>
      <w:r>
        <w:rPr>
          <w:rFonts w:hint="eastAsia" w:ascii="仿宋" w:hAnsi="仿宋" w:eastAsia="仿宋"/>
          <w:b/>
          <w:sz w:val="32"/>
          <w:szCs w:val="32"/>
        </w:rPr>
        <w:t>二是理化检验水平稳步提升。</w:t>
      </w:r>
      <w:r>
        <w:rPr>
          <w:rFonts w:hint="eastAsia" w:ascii="仿宋" w:hAnsi="仿宋" w:eastAsia="仿宋"/>
          <w:sz w:val="32"/>
          <w:szCs w:val="32"/>
        </w:rPr>
        <w:t>积极参与国家、省、市组织的各项实验室质控和能力验证活动，通过了国家碘缺乏病实验室盐碘、尿碘质控考核，圆满完成1080份水样的全分析，以及大米、水生蔬菜、皮粉和小龙虾等食品中重金属项目的检测。完成了盐碘、尿碘检测各310份样本，并顺利完成计量认证工作。</w:t>
      </w:r>
    </w:p>
    <w:p w14:paraId="7C178945">
      <w:pPr>
        <w:ind w:firstLine="640" w:firstLineChars="200"/>
        <w:rPr>
          <w:rFonts w:hint="eastAsia" w:ascii="仿宋" w:hAnsi="仿宋" w:eastAsia="仿宋"/>
          <w:sz w:val="32"/>
          <w:szCs w:val="32"/>
        </w:rPr>
      </w:pPr>
      <w:r>
        <w:rPr>
          <w:rFonts w:hint="eastAsia" w:ascii="楷体" w:hAnsi="楷体" w:eastAsia="楷体"/>
          <w:sz w:val="32"/>
          <w:szCs w:val="32"/>
        </w:rPr>
        <w:t>（八）学卫工作。</w:t>
      </w:r>
      <w:r>
        <w:rPr>
          <w:rFonts w:hint="eastAsia" w:ascii="仿宋" w:hAnsi="仿宋" w:eastAsia="仿宋"/>
          <w:b/>
          <w:sz w:val="32"/>
          <w:szCs w:val="32"/>
        </w:rPr>
        <w:t>一是</w:t>
      </w:r>
      <w:r>
        <w:rPr>
          <w:rFonts w:ascii="仿宋" w:hAnsi="仿宋" w:eastAsia="仿宋"/>
          <w:b/>
          <w:sz w:val="32"/>
          <w:szCs w:val="32"/>
        </w:rPr>
        <w:t>常见病监测与干预工作扎实推进</w:t>
      </w:r>
      <w:r>
        <w:rPr>
          <w:rFonts w:hint="eastAsia" w:ascii="仿宋" w:hAnsi="仿宋" w:eastAsia="仿宋"/>
          <w:b/>
          <w:sz w:val="32"/>
          <w:szCs w:val="32"/>
        </w:rPr>
        <w:t>。</w:t>
      </w:r>
      <w:r>
        <w:rPr>
          <w:rFonts w:ascii="仿宋" w:hAnsi="仿宋" w:eastAsia="仿宋"/>
          <w:sz w:val="32"/>
          <w:szCs w:val="32"/>
        </w:rPr>
        <w:t>对城区</w:t>
      </w:r>
      <w:r>
        <w:rPr>
          <w:rFonts w:hint="eastAsia" w:ascii="仿宋" w:hAnsi="仿宋" w:eastAsia="仿宋"/>
          <w:sz w:val="32"/>
          <w:szCs w:val="32"/>
        </w:rPr>
        <w:t>多所学校</w:t>
      </w:r>
      <w:r>
        <w:rPr>
          <w:rFonts w:ascii="仿宋" w:hAnsi="仿宋" w:eastAsia="仿宋"/>
          <w:sz w:val="32"/>
          <w:szCs w:val="32"/>
        </w:rPr>
        <w:t>开展了近视、肥胖、脊柱弯曲异常、口腔卫生、心理健康等常见病干预及传染病防控。</w:t>
      </w:r>
      <w:r>
        <w:rPr>
          <w:rFonts w:hint="eastAsia" w:ascii="仿宋" w:hAnsi="仿宋" w:eastAsia="仿宋"/>
          <w:sz w:val="32"/>
          <w:szCs w:val="32"/>
        </w:rPr>
        <w:t>开展了</w:t>
      </w:r>
      <w:r>
        <w:rPr>
          <w:rFonts w:ascii="仿宋" w:hAnsi="仿宋" w:eastAsia="仿宋"/>
          <w:sz w:val="32"/>
          <w:szCs w:val="32"/>
        </w:rPr>
        <w:t>近视前期干预调查、学生常见病监测及青少年远视储备调查，有效掌握学生健康状况。</w:t>
      </w:r>
      <w:r>
        <w:rPr>
          <w:rFonts w:hint="eastAsia" w:ascii="仿宋" w:hAnsi="仿宋" w:eastAsia="仿宋"/>
          <w:b/>
          <w:sz w:val="32"/>
          <w:szCs w:val="32"/>
        </w:rPr>
        <w:t>二是</w:t>
      </w:r>
      <w:r>
        <w:rPr>
          <w:rFonts w:ascii="仿宋" w:hAnsi="仿宋" w:eastAsia="仿宋"/>
          <w:b/>
          <w:sz w:val="32"/>
          <w:szCs w:val="32"/>
        </w:rPr>
        <w:t>健康教育宣传普及取得新进展</w:t>
      </w:r>
      <w:r>
        <w:rPr>
          <w:rFonts w:hint="eastAsia" w:ascii="仿宋" w:hAnsi="仿宋" w:eastAsia="仿宋"/>
          <w:b/>
          <w:sz w:val="32"/>
          <w:szCs w:val="32"/>
        </w:rPr>
        <w:t>。</w:t>
      </w:r>
      <w:r>
        <w:rPr>
          <w:rFonts w:ascii="仿宋" w:hAnsi="仿宋" w:eastAsia="仿宋"/>
          <w:sz w:val="32"/>
          <w:szCs w:val="32"/>
        </w:rPr>
        <w:t>利用</w:t>
      </w:r>
      <w:r>
        <w:rPr>
          <w:rFonts w:hint="eastAsia" w:ascii="仿宋" w:hAnsi="仿宋" w:eastAsia="仿宋"/>
          <w:sz w:val="32"/>
          <w:szCs w:val="32"/>
        </w:rPr>
        <w:t>卫生</w:t>
      </w:r>
      <w:r>
        <w:rPr>
          <w:rFonts w:ascii="仿宋" w:hAnsi="仿宋" w:eastAsia="仿宋"/>
          <w:sz w:val="32"/>
          <w:szCs w:val="32"/>
        </w:rPr>
        <w:t>主题宣传日，通过黑板报、主题班会、生健课讲座等多种形式，联合各学校共同开展健康教育宣传，覆盖</w:t>
      </w:r>
      <w:r>
        <w:rPr>
          <w:rFonts w:hint="eastAsia" w:ascii="仿宋" w:hAnsi="仿宋" w:eastAsia="仿宋"/>
          <w:sz w:val="32"/>
          <w:szCs w:val="32"/>
        </w:rPr>
        <w:t>了</w:t>
      </w:r>
      <w:r>
        <w:rPr>
          <w:rFonts w:ascii="仿宋" w:hAnsi="仿宋" w:eastAsia="仿宋"/>
          <w:sz w:val="32"/>
          <w:szCs w:val="32"/>
        </w:rPr>
        <w:t>全市90%的学校。同时，深化</w:t>
      </w:r>
      <w:r>
        <w:rPr>
          <w:rFonts w:hint="eastAsia" w:ascii="仿宋" w:hAnsi="仿宋" w:eastAsia="仿宋"/>
          <w:sz w:val="32"/>
          <w:szCs w:val="32"/>
        </w:rPr>
        <w:t>开展</w:t>
      </w:r>
      <w:r>
        <w:rPr>
          <w:rFonts w:ascii="仿宋" w:hAnsi="仿宋" w:eastAsia="仿宋"/>
          <w:sz w:val="32"/>
          <w:szCs w:val="32"/>
        </w:rPr>
        <w:t>专家进校园、学校卫生标准普及、学生健康月、教学生活环境改善、健康父母、重点人群关爱等六大行动，引导学生形成自主自律的健康生活方式，有效降低了学生常见病的发生风险。在公众号发布6篇报道</w:t>
      </w:r>
      <w:r>
        <w:rPr>
          <w:rFonts w:hint="eastAsia" w:ascii="仿宋" w:hAnsi="仿宋" w:eastAsia="仿宋"/>
          <w:sz w:val="32"/>
          <w:szCs w:val="32"/>
        </w:rPr>
        <w:t>，</w:t>
      </w:r>
      <w:r>
        <w:rPr>
          <w:rFonts w:ascii="仿宋" w:hAnsi="仿宋" w:eastAsia="仿宋"/>
          <w:sz w:val="32"/>
          <w:szCs w:val="32"/>
        </w:rPr>
        <w:t>制作传染病及常见病宣教PPT20余份</w:t>
      </w:r>
      <w:r>
        <w:rPr>
          <w:rFonts w:hint="eastAsia" w:ascii="仿宋" w:hAnsi="仿宋" w:eastAsia="仿宋"/>
          <w:sz w:val="32"/>
          <w:szCs w:val="32"/>
        </w:rPr>
        <w:t>。</w:t>
      </w:r>
      <w:r>
        <w:rPr>
          <w:rFonts w:hint="eastAsia" w:ascii="仿宋" w:hAnsi="仿宋" w:eastAsia="仿宋"/>
          <w:b/>
          <w:sz w:val="32"/>
          <w:szCs w:val="32"/>
        </w:rPr>
        <w:t>三是</w:t>
      </w:r>
      <w:r>
        <w:rPr>
          <w:rFonts w:ascii="仿宋" w:hAnsi="仿宋" w:eastAsia="仿宋"/>
          <w:b/>
          <w:sz w:val="32"/>
          <w:szCs w:val="32"/>
        </w:rPr>
        <w:t>圆满完成学生体检与常见病现场监测工作</w:t>
      </w:r>
      <w:r>
        <w:rPr>
          <w:rFonts w:hint="eastAsia" w:ascii="仿宋" w:hAnsi="仿宋" w:eastAsia="仿宋"/>
          <w:b/>
          <w:sz w:val="32"/>
          <w:szCs w:val="32"/>
        </w:rPr>
        <w:t>。</w:t>
      </w:r>
      <w:r>
        <w:rPr>
          <w:rFonts w:ascii="仿宋" w:hAnsi="仿宋" w:eastAsia="仿宋"/>
          <w:sz w:val="32"/>
          <w:szCs w:val="32"/>
        </w:rPr>
        <w:t>联合教体局对全市88所学校69429名学生</w:t>
      </w:r>
      <w:r>
        <w:rPr>
          <w:rFonts w:hint="eastAsia" w:ascii="仿宋" w:hAnsi="仿宋" w:eastAsia="仿宋"/>
          <w:sz w:val="32"/>
          <w:szCs w:val="32"/>
        </w:rPr>
        <w:t>开展</w:t>
      </w:r>
      <w:r>
        <w:rPr>
          <w:rFonts w:ascii="仿宋" w:hAnsi="仿宋" w:eastAsia="仿宋"/>
          <w:sz w:val="32"/>
          <w:szCs w:val="32"/>
        </w:rPr>
        <w:t>了常规性体检</w:t>
      </w:r>
      <w:r>
        <w:rPr>
          <w:rFonts w:hint="eastAsia" w:ascii="仿宋" w:hAnsi="仿宋" w:eastAsia="仿宋"/>
          <w:sz w:val="32"/>
          <w:szCs w:val="32"/>
        </w:rPr>
        <w:t>。联合</w:t>
      </w:r>
      <w:r>
        <w:rPr>
          <w:rFonts w:ascii="仿宋" w:hAnsi="仿宋" w:eastAsia="仿宋"/>
          <w:sz w:val="32"/>
          <w:szCs w:val="32"/>
        </w:rPr>
        <w:t>人民医院、二</w:t>
      </w:r>
      <w:r>
        <w:rPr>
          <w:rFonts w:hint="eastAsia" w:ascii="仿宋" w:hAnsi="仿宋" w:eastAsia="仿宋"/>
          <w:sz w:val="32"/>
          <w:szCs w:val="32"/>
        </w:rPr>
        <w:t>人民</w:t>
      </w:r>
      <w:r>
        <w:rPr>
          <w:rFonts w:ascii="仿宋" w:hAnsi="仿宋" w:eastAsia="仿宋"/>
          <w:sz w:val="32"/>
          <w:szCs w:val="32"/>
        </w:rPr>
        <w:t>医院及刘芳口腔诊所对市区5所中小学</w:t>
      </w:r>
      <w:r>
        <w:rPr>
          <w:rFonts w:hint="eastAsia" w:ascii="仿宋" w:hAnsi="仿宋" w:eastAsia="仿宋"/>
          <w:sz w:val="32"/>
          <w:szCs w:val="32"/>
        </w:rPr>
        <w:t>和</w:t>
      </w:r>
      <w:r>
        <w:rPr>
          <w:rFonts w:ascii="仿宋" w:hAnsi="仿宋" w:eastAsia="仿宋"/>
          <w:sz w:val="32"/>
          <w:szCs w:val="32"/>
        </w:rPr>
        <w:t>3所幼儿园2846名学生进行远视力、屈光、龋齿等多项检查，</w:t>
      </w:r>
      <w:r>
        <w:rPr>
          <w:rFonts w:hint="eastAsia" w:ascii="仿宋" w:hAnsi="仿宋" w:eastAsia="仿宋"/>
          <w:sz w:val="32"/>
          <w:szCs w:val="32"/>
        </w:rPr>
        <w:t>并</w:t>
      </w:r>
      <w:r>
        <w:rPr>
          <w:rFonts w:ascii="仿宋" w:hAnsi="仿宋" w:eastAsia="仿宋"/>
          <w:sz w:val="32"/>
          <w:szCs w:val="32"/>
        </w:rPr>
        <w:t>对教室环境进行了现场环境监测。</w:t>
      </w:r>
      <w:r>
        <w:rPr>
          <w:rFonts w:hint="eastAsia" w:ascii="仿宋" w:hAnsi="仿宋" w:eastAsia="仿宋"/>
          <w:sz w:val="32"/>
          <w:szCs w:val="32"/>
        </w:rPr>
        <w:t>开展儿童远视力储备调查，对部分小学及幼儿园1727人开展了视力筛查、散瞳及问卷调查。</w:t>
      </w:r>
    </w:p>
    <w:p w14:paraId="0E43437D">
      <w:pPr>
        <w:spacing w:line="600" w:lineRule="exact"/>
        <w:ind w:firstLine="640" w:firstLineChars="200"/>
        <w:jc w:val="both"/>
        <w:rPr>
          <w:rFonts w:eastAsia="仿宋_GB2312"/>
          <w:kern w:val="0"/>
          <w:sz w:val="32"/>
          <w:szCs w:val="32"/>
          <w:lang w:eastAsia="zh-CN"/>
        </w:rPr>
      </w:pPr>
    </w:p>
    <w:p w14:paraId="602DBF6B">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2418E3BC">
      <w:pPr>
        <w:ind w:firstLine="640" w:firstLineChars="200"/>
        <w:rPr>
          <w:rFonts w:hint="eastAsia" w:ascii="仿宋" w:hAnsi="仿宋" w:eastAsia="仿宋"/>
          <w:sz w:val="32"/>
          <w:szCs w:val="32"/>
        </w:rPr>
      </w:pPr>
      <w:r>
        <w:rPr>
          <w:rFonts w:hint="eastAsia" w:eastAsia="仿宋_GB2312"/>
          <w:kern w:val="0"/>
          <w:sz w:val="32"/>
          <w:szCs w:val="32"/>
          <w:lang w:eastAsia="zh-CN"/>
        </w:rPr>
        <w:t>1、</w:t>
      </w:r>
      <w:r>
        <w:rPr>
          <w:rFonts w:hint="eastAsia" w:ascii="仿宋" w:hAnsi="仿宋" w:eastAsia="仿宋"/>
          <w:sz w:val="32"/>
          <w:szCs w:val="32"/>
        </w:rPr>
        <w:t>市疾控中心承担全市67万人口的传染病防控、免疫规划、结核病防治、地慢病、精神卫生及健康教育等9项公共卫生服务。安全饮用水监测每年成本费超过40万元，免疫规划运转每年得近70万元，内部临聘及劳务派遣人员工资每年将近100万元。财政保障不足，经济负担较重，运转较为困难。</w:t>
      </w:r>
    </w:p>
    <w:p w14:paraId="2768AF91">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2、随着社会发展，流动儿童日益增加，流动儿童预防接种工作成了工作难点，流动儿童管理难度大，接种率难以提高，存在部分免疫空白。</w:t>
      </w:r>
    </w:p>
    <w:p w14:paraId="7829CBEE">
      <w:pPr>
        <w:ind w:firstLine="640" w:firstLineChars="200"/>
        <w:rPr>
          <w:rFonts w:ascii="仿宋" w:hAnsi="仿宋" w:eastAsia="仿宋"/>
          <w:sz w:val="32"/>
          <w:szCs w:val="32"/>
        </w:rPr>
      </w:pPr>
      <w:r>
        <w:rPr>
          <w:rFonts w:hint="eastAsia" w:eastAsia="仿宋_GB2312"/>
          <w:kern w:val="0"/>
          <w:sz w:val="32"/>
          <w:szCs w:val="32"/>
          <w:lang w:eastAsia="zh-CN"/>
        </w:rPr>
        <w:t>3、</w:t>
      </w:r>
      <w:r>
        <w:rPr>
          <w:rFonts w:hint="eastAsia" w:ascii="仿宋" w:hAnsi="仿宋" w:eastAsia="仿宋"/>
          <w:b/>
          <w:sz w:val="32"/>
          <w:szCs w:val="32"/>
        </w:rPr>
        <w:t>专技人员待遇不高、储备不足。</w:t>
      </w:r>
      <w:r>
        <w:rPr>
          <w:rFonts w:hint="eastAsia" w:ascii="仿宋" w:hAnsi="仿宋" w:eastAsia="仿宋"/>
          <w:sz w:val="32"/>
          <w:szCs w:val="32"/>
        </w:rPr>
        <w:t>卫生系统绩效工资改革，市疾控中心作为专技部门的优势没能体现，医技人员待遇远低于同级医疗机构，同时受限于编制短缺，现有的临聘专技人员不能消化、急需的专技人员不能充分引进，人才梯队建设及储备均不足。</w:t>
      </w:r>
    </w:p>
    <w:p w14:paraId="56174E5D">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1C23CE1C">
      <w:pPr>
        <w:spacing w:line="600" w:lineRule="exact"/>
        <w:ind w:firstLine="640" w:firstLineChars="200"/>
        <w:jc w:val="both"/>
        <w:rPr>
          <w:rFonts w:hint="eastAsia" w:eastAsia="仿宋_GB2312"/>
          <w:kern w:val="0"/>
          <w:sz w:val="32"/>
          <w:szCs w:val="32"/>
          <w:lang w:val="en-US" w:eastAsia="en-US"/>
        </w:rPr>
      </w:pPr>
      <w:r>
        <w:rPr>
          <w:rFonts w:hint="eastAsia" w:eastAsia="仿宋_GB2312"/>
          <w:kern w:val="0"/>
          <w:sz w:val="32"/>
          <w:szCs w:val="32"/>
          <w:lang w:val="en-US" w:eastAsia="zh-CN"/>
        </w:rPr>
        <w:t>1、</w:t>
      </w:r>
      <w:r>
        <w:rPr>
          <w:rFonts w:hint="eastAsia" w:ascii="仿宋" w:hAnsi="仿宋" w:eastAsia="仿宋"/>
          <w:sz w:val="32"/>
          <w:szCs w:val="32"/>
        </w:rPr>
        <w:t>提高基层卫生应急能力，特别是基层卫生应急队伍、管理水平及发现和救治病例的能力，增强卫生应急指挥决策手段</w:t>
      </w:r>
      <w:r>
        <w:rPr>
          <w:rFonts w:hint="eastAsia" w:eastAsia="仿宋_GB2312"/>
          <w:kern w:val="0"/>
          <w:sz w:val="32"/>
          <w:szCs w:val="32"/>
          <w:lang w:val="en-US" w:eastAsia="en-US"/>
        </w:rPr>
        <w:t>。</w:t>
      </w:r>
    </w:p>
    <w:p w14:paraId="6662C6CC">
      <w:pPr>
        <w:spacing w:line="600" w:lineRule="exact"/>
        <w:ind w:firstLine="640" w:firstLineChars="200"/>
        <w:jc w:val="both"/>
        <w:rPr>
          <w:rFonts w:hint="eastAsia" w:eastAsia="仿宋_GB2312"/>
          <w:kern w:val="0"/>
          <w:sz w:val="32"/>
          <w:szCs w:val="32"/>
          <w:lang w:val="en-US" w:eastAsia="en-US"/>
        </w:rPr>
      </w:pPr>
      <w:r>
        <w:rPr>
          <w:rFonts w:hint="eastAsia" w:eastAsia="仿宋_GB2312"/>
          <w:kern w:val="0"/>
          <w:sz w:val="32"/>
          <w:szCs w:val="32"/>
          <w:lang w:val="en-US" w:eastAsia="zh-CN"/>
        </w:rPr>
        <w:t>2、</w:t>
      </w:r>
      <w:r>
        <w:rPr>
          <w:rFonts w:hint="eastAsia" w:eastAsia="仿宋_GB2312"/>
          <w:kern w:val="0"/>
          <w:sz w:val="32"/>
          <w:szCs w:val="32"/>
          <w:lang w:val="en-US" w:eastAsia="en-US"/>
        </w:rPr>
        <w:t>加大宣传力度，提高群众预防接种意识，争取群众配合。利用信息化系统平台，展开儿童家长健康教育，做好预防接种相关知识宣传</w:t>
      </w:r>
      <w:r>
        <w:rPr>
          <w:rFonts w:hint="eastAsia" w:eastAsia="仿宋_GB2312"/>
          <w:kern w:val="0"/>
          <w:sz w:val="32"/>
          <w:szCs w:val="32"/>
          <w:lang w:val="en-US" w:eastAsia="zh-CN"/>
        </w:rPr>
        <w:t>。</w:t>
      </w:r>
      <w:r>
        <w:rPr>
          <w:rFonts w:hint="eastAsia" w:eastAsia="仿宋_GB2312"/>
          <w:kern w:val="0"/>
          <w:sz w:val="32"/>
          <w:szCs w:val="32"/>
          <w:lang w:val="en-US" w:eastAsia="en-US"/>
        </w:rPr>
        <w:t>加强人员培训，坚持“先培训、后考核、合格再上岗”的原则，尽量避免接种差错事故。</w:t>
      </w:r>
    </w:p>
    <w:p w14:paraId="7DD4372C">
      <w:pPr>
        <w:ind w:firstLine="640" w:firstLineChars="200"/>
        <w:rPr>
          <w:rFonts w:hint="eastAsia" w:ascii="仿宋" w:hAnsi="仿宋" w:eastAsia="仿宋"/>
          <w:sz w:val="32"/>
          <w:szCs w:val="32"/>
        </w:rPr>
      </w:pPr>
      <w:r>
        <w:rPr>
          <w:rFonts w:hint="eastAsia" w:eastAsia="仿宋_GB2312"/>
          <w:kern w:val="0"/>
          <w:sz w:val="32"/>
          <w:szCs w:val="32"/>
          <w:lang w:val="en-US" w:eastAsia="zh-CN"/>
        </w:rPr>
        <w:t>3、</w:t>
      </w:r>
      <w:r>
        <w:rPr>
          <w:rFonts w:hint="eastAsia" w:eastAsia="仿宋_GB2312"/>
          <w:kern w:val="0"/>
          <w:sz w:val="32"/>
          <w:szCs w:val="32"/>
          <w:lang w:val="en-US" w:eastAsia="en-US"/>
        </w:rPr>
        <w:t>争取政策支持，加强人才引进。</w:t>
      </w:r>
      <w:r>
        <w:rPr>
          <w:rFonts w:hint="eastAsia" w:ascii="仿宋" w:hAnsi="仿宋" w:eastAsia="仿宋"/>
          <w:sz w:val="32"/>
          <w:szCs w:val="32"/>
        </w:rPr>
        <w:t>开展业务指导及培训，提高基本公共卫生服务水平</w:t>
      </w:r>
      <w:r>
        <w:rPr>
          <w:rFonts w:ascii="仿宋" w:hAnsi="仿宋" w:eastAsia="仿宋"/>
          <w:sz w:val="32"/>
          <w:szCs w:val="32"/>
        </w:rPr>
        <w:t>。</w:t>
      </w:r>
    </w:p>
    <w:p w14:paraId="5013D068">
      <w:pPr>
        <w:ind w:firstLine="640" w:firstLineChars="200"/>
        <w:rPr>
          <w:rFonts w:hint="eastAsia" w:ascii="仿宋" w:hAnsi="仿宋" w:eastAsia="仿宋"/>
          <w:sz w:val="32"/>
          <w:szCs w:val="32"/>
        </w:rPr>
      </w:pPr>
      <w:r>
        <w:rPr>
          <w:rFonts w:hint="eastAsia" w:eastAsia="仿宋_GB2312"/>
          <w:kern w:val="0"/>
          <w:sz w:val="32"/>
          <w:szCs w:val="32"/>
          <w:lang w:val="en-US" w:eastAsia="zh-CN"/>
        </w:rPr>
        <w:t>4、</w:t>
      </w:r>
      <w:r>
        <w:rPr>
          <w:rFonts w:hint="eastAsia" w:ascii="仿宋" w:hAnsi="仿宋" w:eastAsia="仿宋"/>
          <w:sz w:val="32"/>
          <w:szCs w:val="32"/>
        </w:rPr>
        <w:t>转变思想作风、工作作风、学习作风、四种作风、生活作风，提升公职人员的良好形象。</w:t>
      </w:r>
    </w:p>
    <w:p w14:paraId="7545AD2A">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val="en-US" w:eastAsia="zh-CN"/>
        </w:rPr>
        <w:t>5、</w:t>
      </w:r>
      <w:r>
        <w:rPr>
          <w:rFonts w:hint="eastAsia" w:eastAsia="仿宋_GB2312"/>
          <w:kern w:val="0"/>
          <w:sz w:val="32"/>
          <w:szCs w:val="32"/>
          <w:lang w:val="en-US" w:eastAsia="en-US"/>
        </w:rPr>
        <w:t>进一步加强《中华人民共和国预算法》的学习，结合单位实际情况，搞好部门预算，合理有效地管理使用资金，客观全面地做好整体支出绩效评价工作。</w:t>
      </w:r>
    </w:p>
    <w:p w14:paraId="08AF6125">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28E5BBAB">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val="en-US" w:eastAsia="zh-CN"/>
        </w:rPr>
        <w:t>通过此次绩效自评，自评结果拟应用于中心各项收入的收支管理中，并将绩效自评结果按要求及时公开。</w:t>
      </w:r>
    </w:p>
    <w:p w14:paraId="637D8D99">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261524A9">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无</w:t>
      </w:r>
    </w:p>
    <w:p w14:paraId="23A2DDD3">
      <w:pPr>
        <w:spacing w:line="600" w:lineRule="exact"/>
        <w:ind w:firstLine="640" w:firstLineChars="200"/>
        <w:jc w:val="both"/>
        <w:rPr>
          <w:rFonts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587448BD">
      <w:pPr>
        <w:spacing w:line="267" w:lineRule="auto"/>
        <w:ind w:firstLine="552"/>
        <w:jc w:val="both"/>
        <w:rPr>
          <w:rFonts w:hint="eastAsia" w:ascii="宋体" w:hAnsi="宋体" w:eastAsia="宋体" w:cs="宋体"/>
          <w:bCs/>
          <w:spacing w:val="-4"/>
          <w:kern w:val="0"/>
          <w:sz w:val="28"/>
          <w:szCs w:val="28"/>
          <w:lang w:eastAsia="zh-CN"/>
        </w:rPr>
      </w:pPr>
    </w:p>
    <w:p w14:paraId="6B6C6DC1">
      <w:pPr>
        <w:spacing w:line="267" w:lineRule="auto"/>
        <w:ind w:firstLine="552"/>
        <w:jc w:val="both"/>
        <w:rPr>
          <w:rFonts w:hint="eastAsia" w:ascii="宋体" w:hAnsi="宋体" w:eastAsia="宋体" w:cs="宋体"/>
          <w:bCs/>
          <w:spacing w:val="-4"/>
          <w:kern w:val="0"/>
          <w:sz w:val="28"/>
          <w:szCs w:val="28"/>
          <w:lang w:eastAsia="zh-CN"/>
        </w:rPr>
      </w:pPr>
    </w:p>
    <w:p w14:paraId="27C6467B">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BDFB69">
      <w:pPr>
        <w:keepNext w:val="0"/>
        <w:keepLines w:val="0"/>
        <w:pageBreakBefore w:val="0"/>
        <w:widowControl/>
        <w:kinsoku w:val="0"/>
        <w:wordWrap/>
        <w:overflowPunct/>
        <w:topLinePunct w:val="0"/>
        <w:autoSpaceDE w:val="0"/>
        <w:autoSpaceDN w:val="0"/>
        <w:bidi w:val="0"/>
        <w:adjustRightInd w:val="0"/>
        <w:snapToGrid w:val="0"/>
        <w:spacing w:before="201" w:line="578" w:lineRule="exact"/>
        <w:ind w:left="0"/>
        <w:jc w:val="center"/>
        <w:textAlignment w:val="baseline"/>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疫情防控</w:t>
      </w:r>
      <w:r>
        <w:rPr>
          <w:rFonts w:ascii="黑体" w:hAnsi="黑体" w:eastAsia="黑体" w:cs="黑体"/>
          <w:spacing w:val="15"/>
          <w:position w:val="10"/>
          <w:sz w:val="42"/>
          <w:szCs w:val="42"/>
        </w:rPr>
        <w:t>项目支出</w:t>
      </w:r>
    </w:p>
    <w:p w14:paraId="637B9D93">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7D39DBB2">
      <w:pPr>
        <w:spacing w:before="1" w:line="220" w:lineRule="auto"/>
        <w:ind w:left="3069"/>
        <w:rPr>
          <w:rFonts w:ascii="黑体" w:hAnsi="黑体" w:eastAsia="黑体" w:cs="黑体"/>
          <w:sz w:val="42"/>
          <w:szCs w:val="42"/>
        </w:rPr>
      </w:pP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firstLine="452" w:firstLineChars="20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rFonts w:hint="eastAsia"/>
          <w:spacing w:val="-22"/>
          <w:sz w:val="27"/>
          <w:szCs w:val="27"/>
          <w:u w:val="single" w:color="auto"/>
          <w:lang w:val="en-US" w:eastAsia="zh-CN"/>
        </w:rPr>
        <w:t>汨罗市疾病预防控制中心</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2"/>
        <w:spacing w:before="289" w:line="610" w:lineRule="exact"/>
        <w:ind w:left="3490"/>
        <w:rPr>
          <w:sz w:val="27"/>
          <w:szCs w:val="27"/>
        </w:rPr>
      </w:pPr>
      <w:r>
        <w:rPr>
          <w:rFonts w:hint="eastAsia"/>
          <w:spacing w:val="-13"/>
          <w:position w:val="26"/>
          <w:sz w:val="27"/>
          <w:szCs w:val="27"/>
          <w:highlight w:val="none"/>
          <w:lang w:val="en-US" w:eastAsia="zh-CN"/>
        </w:rPr>
        <w:t>2025</w:t>
      </w:r>
      <w:r>
        <w:rPr>
          <w:spacing w:val="-13"/>
          <w:position w:val="26"/>
          <w:sz w:val="27"/>
          <w:szCs w:val="27"/>
          <w:highlight w:val="none"/>
        </w:rPr>
        <w:t xml:space="preserve">年 </w:t>
      </w:r>
      <w:r>
        <w:rPr>
          <w:rFonts w:hint="eastAsia"/>
          <w:spacing w:val="-13"/>
          <w:position w:val="26"/>
          <w:sz w:val="27"/>
          <w:szCs w:val="27"/>
          <w:highlight w:val="none"/>
          <w:lang w:val="en-US" w:eastAsia="zh-CN"/>
        </w:rPr>
        <w:t>9</w:t>
      </w:r>
      <w:r>
        <w:rPr>
          <w:spacing w:val="-13"/>
          <w:position w:val="26"/>
          <w:sz w:val="27"/>
          <w:szCs w:val="27"/>
          <w:highlight w:val="none"/>
        </w:rPr>
        <w:t xml:space="preserve">  月</w:t>
      </w:r>
      <w:r>
        <w:rPr>
          <w:spacing w:val="12"/>
          <w:position w:val="26"/>
          <w:sz w:val="27"/>
          <w:szCs w:val="27"/>
          <w:highlight w:val="none"/>
        </w:rPr>
        <w:t xml:space="preserve"> </w:t>
      </w:r>
      <w:r>
        <w:rPr>
          <w:rFonts w:hint="eastAsia"/>
          <w:spacing w:val="12"/>
          <w:position w:val="26"/>
          <w:sz w:val="27"/>
          <w:szCs w:val="27"/>
          <w:highlight w:val="none"/>
          <w:lang w:val="en-US" w:eastAsia="zh-CN"/>
        </w:rPr>
        <w:t>22</w:t>
      </w:r>
      <w:r>
        <w:rPr>
          <w:spacing w:val="12"/>
          <w:position w:val="26"/>
          <w:sz w:val="27"/>
          <w:szCs w:val="27"/>
          <w:highlight w:val="none"/>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5E29CA5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2711E0C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14:paraId="0705EDA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依据《中华人民共和国传染病防治法》、《突发公共卫生事件应急条例》、《全国疾病预防控制机构工作规范》等法律、规范以及相关防控指南和监测方案的要求实施项目工作，关心爱护防治人员的职业安全和身心健康。加强传染病防治人员安全防护，维护防治人员健康权益，调动防治人员工作积极性，保障国家公共卫生安全。项目经费主要用于不明原因肺炎与人禽流感监测、卫生应急、新冠肺炎防控工作，包括不明原因肺炎与人禽流感患者的网络直报、个案调查、疫情处置及宣传、基层专干的培训，新冠肺炎培训，其他卫生应急处置等。</w:t>
      </w:r>
    </w:p>
    <w:p w14:paraId="5EB8A93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14:paraId="378EFFD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及时对辖区内报告的不明原因肺炎病例进行现场调查和监测病例采样，筛查可能人禽流感病例及其它传染性呼吸道疾病；严格实施对聚集性不明原因肺炎病例的密切接触者登记、追踪和医学观察等防控措施，负责病例标本的采集。及时报告并参与处置各类突发公共卫生事件。</w:t>
      </w:r>
    </w:p>
    <w:p w14:paraId="6524824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58E4B2A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完成率100%。</w:t>
      </w:r>
    </w:p>
    <w:p w14:paraId="38BEFA3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1C75752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1、减少传染病暴发流行，降低因传染病就诊与住院医疗病人数及费用；</w:t>
      </w:r>
    </w:p>
    <w:p w14:paraId="0450A44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2、控制传染病暴发流行，保障社会和谐稳定；</w:t>
      </w:r>
    </w:p>
    <w:p w14:paraId="2BBD3C6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eastAsia="仿宋_GB2312"/>
          <w:kern w:val="0"/>
          <w:sz w:val="32"/>
          <w:szCs w:val="32"/>
          <w:lang w:val="en-US" w:eastAsia="en-US"/>
        </w:rPr>
        <w:t>3、通过消毒、通风等措施改变病原菌繁殖生长环境，抑制或消灭病原微生物。</w:t>
      </w:r>
    </w:p>
    <w:p w14:paraId="4D3083B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2704E00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 xml:space="preserve">1、根据《中华人民共和国传染病防治法》、《突发公共卫生事件应急条例》及湖南省相关监测方案要求开展人禽流感病例调查处置及突发公共卫生事件报告处置。  </w:t>
      </w:r>
    </w:p>
    <w:p w14:paraId="08A3745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 xml:space="preserve">2、对突发公共卫生事件及时、准确、全面处置。 </w:t>
      </w:r>
    </w:p>
    <w:p w14:paraId="273521F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3、开展新冠防控知识培训、流调、处置。</w:t>
      </w:r>
    </w:p>
    <w:p w14:paraId="221B2D3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eastAsia="仿宋_GB2312"/>
          <w:kern w:val="0"/>
          <w:sz w:val="32"/>
          <w:szCs w:val="32"/>
          <w:lang w:val="en-US" w:eastAsia="zh-CN"/>
        </w:rPr>
        <w:t>4、</w:t>
      </w:r>
      <w:r>
        <w:rPr>
          <w:rFonts w:hint="eastAsia" w:eastAsia="仿宋_GB2312"/>
          <w:kern w:val="0"/>
          <w:sz w:val="32"/>
          <w:szCs w:val="32"/>
          <w:lang w:val="en-US" w:eastAsia="en-US"/>
        </w:rPr>
        <w:t>通过辖区各医疗单位报告、其他单位告知及日常信息系统巡察，及时发现相关人感染禽流感病例及突发公共卫生事件，从而开展卫生应急响应，对应急机动队员开展相关业务培训及病例调查、处置。</w:t>
      </w:r>
    </w:p>
    <w:p w14:paraId="59F6AF5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2C1EEB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56AF992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根据国家有关政策文件，遵循客观、合法、公正、实事求是的原则，结合本地需求，按照项目报批程序，有序地上报相关资料，办理相关手续，合理安排项目实行。</w:t>
      </w:r>
    </w:p>
    <w:p w14:paraId="563CBCD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7A0AA61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eastAsia="zh-CN"/>
        </w:rPr>
        <w:t>今年全市共有</w:t>
      </w:r>
      <w:r>
        <w:rPr>
          <w:rFonts w:hint="eastAsia" w:eastAsia="仿宋_GB2312"/>
          <w:kern w:val="0"/>
          <w:sz w:val="32"/>
          <w:szCs w:val="32"/>
          <w:lang w:val="en-US" w:eastAsia="zh-CN"/>
        </w:rPr>
        <w:t>23</w:t>
      </w:r>
      <w:r>
        <w:rPr>
          <w:rFonts w:hint="eastAsia" w:eastAsia="仿宋_GB2312"/>
          <w:kern w:val="0"/>
          <w:sz w:val="32"/>
          <w:szCs w:val="32"/>
          <w:lang w:eastAsia="zh-CN"/>
        </w:rPr>
        <w:t>家医院、2所社区卫生服务中心均实行了网络直报，全市所有报告单位基本及时、准确、按要求完成了疫情报告和每月按时登录传染病网络报告系统。</w:t>
      </w:r>
    </w:p>
    <w:p w14:paraId="5D4A22D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坚持每日四次及以上浏览国家平台，截</w:t>
      </w:r>
      <w:r>
        <w:rPr>
          <w:rFonts w:hint="eastAsia" w:eastAsia="仿宋_GB2312"/>
          <w:kern w:val="0"/>
          <w:sz w:val="32"/>
          <w:szCs w:val="32"/>
          <w:lang w:val="en-US" w:eastAsia="zh-CN"/>
        </w:rPr>
        <w:t>12</w:t>
      </w:r>
      <w:r>
        <w:rPr>
          <w:rFonts w:hint="eastAsia" w:eastAsia="仿宋_GB2312"/>
          <w:kern w:val="0"/>
          <w:sz w:val="32"/>
          <w:szCs w:val="32"/>
          <w:lang w:eastAsia="zh-CN"/>
        </w:rPr>
        <w:t>月</w:t>
      </w:r>
      <w:r>
        <w:rPr>
          <w:rFonts w:hint="eastAsia" w:eastAsia="仿宋_GB2312"/>
          <w:kern w:val="0"/>
          <w:sz w:val="32"/>
          <w:szCs w:val="32"/>
          <w:lang w:val="en-US" w:eastAsia="zh-CN"/>
        </w:rPr>
        <w:t>31</w:t>
      </w:r>
      <w:r>
        <w:rPr>
          <w:rFonts w:hint="eastAsia" w:eastAsia="仿宋_GB2312"/>
          <w:kern w:val="0"/>
          <w:sz w:val="32"/>
          <w:szCs w:val="32"/>
          <w:lang w:eastAsia="zh-CN"/>
        </w:rPr>
        <w:t>日</w:t>
      </w:r>
      <w:r>
        <w:rPr>
          <w:rFonts w:hint="eastAsia" w:ascii="仿宋" w:hAnsi="仿宋" w:eastAsia="仿宋"/>
          <w:sz w:val="32"/>
          <w:szCs w:val="32"/>
        </w:rPr>
        <w:t>共审核传染病报告卡3764张，处理预警129起，确保了疫情信息的及时准确传递</w:t>
      </w:r>
      <w:r>
        <w:rPr>
          <w:rFonts w:hint="eastAsia" w:ascii="仿宋" w:hAnsi="仿宋" w:eastAsia="仿宋"/>
          <w:sz w:val="32"/>
          <w:szCs w:val="32"/>
          <w:lang w:eastAsia="zh-CN"/>
        </w:rPr>
        <w:t>，</w:t>
      </w:r>
      <w:r>
        <w:rPr>
          <w:rFonts w:hint="eastAsia" w:eastAsia="仿宋_GB2312"/>
          <w:kern w:val="0"/>
          <w:sz w:val="32"/>
          <w:szCs w:val="32"/>
          <w:lang w:val="en-US" w:eastAsia="zh-CN"/>
        </w:rPr>
        <w:tab/>
      </w:r>
      <w:r>
        <w:rPr>
          <w:rFonts w:hint="eastAsia" w:eastAsia="仿宋_GB2312"/>
          <w:kern w:val="0"/>
          <w:sz w:val="32"/>
          <w:szCs w:val="32"/>
          <w:lang w:val="en-US" w:eastAsia="zh-CN"/>
        </w:rPr>
        <w:t>按照要求，及时完成并上传了周报表、月报表。</w:t>
      </w:r>
    </w:p>
    <w:p w14:paraId="1EED7C5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22C2CC2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
          <w:kern w:val="0"/>
          <w:sz w:val="32"/>
          <w:szCs w:val="32"/>
          <w:lang w:eastAsia="zh-CN"/>
        </w:rPr>
      </w:pPr>
      <w:r>
        <w:rPr>
          <w:rFonts w:hint="eastAsia" w:ascii="仿宋" w:hAnsi="仿宋" w:eastAsia="仿宋"/>
          <w:sz w:val="32"/>
          <w:szCs w:val="32"/>
        </w:rPr>
        <w:t>开展了沙溪出血热、古培钩体病、鹦鹉热、新冠肺炎重症患者及外来输入性登革热患者等在内的多个病例的救治工作</w:t>
      </w:r>
      <w:r>
        <w:rPr>
          <w:rFonts w:hint="eastAsia" w:ascii="仿宋" w:hAnsi="仿宋" w:eastAsia="仿宋"/>
          <w:sz w:val="32"/>
          <w:szCs w:val="32"/>
          <w:lang w:eastAsia="zh-CN"/>
        </w:rPr>
        <w:t>。</w:t>
      </w:r>
      <w:r>
        <w:rPr>
          <w:rFonts w:hint="eastAsia" w:ascii="仿宋" w:hAnsi="仿宋" w:eastAsia="仿宋"/>
          <w:sz w:val="32"/>
          <w:szCs w:val="32"/>
        </w:rPr>
        <w:t>加强了对手足口病、病毒性腹泻、流感样病例等的监测和防控力度，采集流感样样品980份，开展了流感样病例哨点监测和新冠肺炎病原学监测。完成省级疟疾媒介按蚊种群监测任务，开展土源性线虫监测，收集1024个粪便及肛拭子玻片样本检验并上报系统</w:t>
      </w:r>
      <w:r>
        <w:rPr>
          <w:rFonts w:hint="eastAsia" w:ascii="仿宋" w:hAnsi="仿宋" w:eastAsia="仿宋"/>
          <w:sz w:val="32"/>
          <w:szCs w:val="32"/>
          <w:lang w:eastAsia="zh-CN"/>
        </w:rPr>
        <w:t>。</w:t>
      </w:r>
    </w:p>
    <w:p w14:paraId="7964D0D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6B99C71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sz w:val="32"/>
          <w:szCs w:val="32"/>
          <w:lang w:eastAsia="zh-CN"/>
        </w:rPr>
      </w:pPr>
      <w:r>
        <w:rPr>
          <w:rFonts w:hint="eastAsia" w:eastAsia="仿宋_GB2312"/>
          <w:kern w:val="0"/>
          <w:sz w:val="32"/>
          <w:szCs w:val="32"/>
          <w:lang w:eastAsia="zh-CN"/>
        </w:rPr>
        <w:t>截至12月</w:t>
      </w:r>
      <w:r>
        <w:rPr>
          <w:rFonts w:hint="eastAsia" w:eastAsia="仿宋_GB2312"/>
          <w:kern w:val="0"/>
          <w:sz w:val="32"/>
          <w:szCs w:val="32"/>
          <w:lang w:val="en-US" w:eastAsia="zh-CN"/>
        </w:rPr>
        <w:t>31</w:t>
      </w:r>
      <w:r>
        <w:rPr>
          <w:rFonts w:hint="eastAsia" w:eastAsia="仿宋_GB2312"/>
          <w:kern w:val="0"/>
          <w:sz w:val="32"/>
          <w:szCs w:val="32"/>
          <w:lang w:eastAsia="zh-CN"/>
        </w:rPr>
        <w:t>日，</w:t>
      </w:r>
      <w:r>
        <w:rPr>
          <w:rFonts w:hint="eastAsia" w:ascii="仿宋" w:hAnsi="仿宋" w:eastAsia="仿宋"/>
          <w:sz w:val="32"/>
          <w:szCs w:val="32"/>
        </w:rPr>
        <w:t>全市报告20余起诺如病毒、手足口病、流感样、轮状病毒感染等聚集性疫情，我们均第一时间开展流调、采样及送检等工作，成功防止了疫情的扩散和蔓延</w:t>
      </w:r>
      <w:r>
        <w:rPr>
          <w:rFonts w:hint="eastAsia" w:ascii="仿宋" w:hAnsi="仿宋" w:eastAsia="仿宋"/>
          <w:sz w:val="32"/>
          <w:szCs w:val="32"/>
          <w:lang w:eastAsia="zh-CN"/>
        </w:rPr>
        <w:t>。</w:t>
      </w:r>
    </w:p>
    <w:p w14:paraId="4A2B048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组织开展202</w:t>
      </w:r>
      <w:r>
        <w:rPr>
          <w:rFonts w:hint="eastAsia" w:eastAsia="仿宋_GB2312"/>
          <w:kern w:val="0"/>
          <w:sz w:val="32"/>
          <w:szCs w:val="32"/>
          <w:lang w:val="en-US" w:eastAsia="zh-CN"/>
        </w:rPr>
        <w:t>4</w:t>
      </w:r>
      <w:r>
        <w:rPr>
          <w:rFonts w:hint="eastAsia" w:eastAsia="仿宋_GB2312"/>
          <w:kern w:val="0"/>
          <w:sz w:val="32"/>
          <w:szCs w:val="32"/>
          <w:lang w:eastAsia="zh-CN"/>
        </w:rPr>
        <w:t>年疾控工作会议暨基本公共卫生服务疾控项目培训，组织开展汨罗市新形势下新型冠状病毒疫情应对处置演练，开展了猴痘培训演练，举办202</w:t>
      </w:r>
      <w:r>
        <w:rPr>
          <w:rFonts w:hint="eastAsia" w:eastAsia="仿宋_GB2312"/>
          <w:kern w:val="0"/>
          <w:sz w:val="32"/>
          <w:szCs w:val="32"/>
          <w:lang w:val="en-US" w:eastAsia="zh-CN"/>
        </w:rPr>
        <w:t>4</w:t>
      </w:r>
      <w:r>
        <w:rPr>
          <w:rFonts w:hint="eastAsia" w:eastAsia="仿宋_GB2312"/>
          <w:kern w:val="0"/>
          <w:sz w:val="32"/>
          <w:szCs w:val="32"/>
          <w:lang w:eastAsia="zh-CN"/>
        </w:rPr>
        <w:t>年汨罗市疾病预防控制中心登革热、</w:t>
      </w:r>
      <w:bookmarkStart w:id="0" w:name="_GoBack"/>
      <w:bookmarkEnd w:id="0"/>
      <w:r>
        <w:rPr>
          <w:rFonts w:hint="eastAsia" w:ascii="仿宋" w:hAnsi="仿宋" w:eastAsia="仿宋"/>
          <w:sz w:val="32"/>
          <w:szCs w:val="32"/>
        </w:rPr>
        <w:t>诺如病毒</w:t>
      </w:r>
      <w:r>
        <w:rPr>
          <w:rFonts w:hint="eastAsia" w:eastAsia="仿宋_GB2312"/>
          <w:kern w:val="0"/>
          <w:sz w:val="32"/>
          <w:szCs w:val="32"/>
          <w:lang w:eastAsia="zh-CN"/>
        </w:rPr>
        <w:t>监测与防控培训，提高了我中心疫情监测、调查、处置能力，有效推动了我市传染病防治的工作。</w:t>
      </w:r>
    </w:p>
    <w:p w14:paraId="1171C07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组织开展了“全国疟疾日”、“5.12”全国防灾减灾日宣传活动等宣教工作，进一步加强了群众的救灾防病意识。</w:t>
      </w:r>
    </w:p>
    <w:p w14:paraId="0639F63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351E3B4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（一）主要经验及做法</w:t>
      </w:r>
    </w:p>
    <w:p w14:paraId="1B0161D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通过各单位协作、各医疗单位报告、系统巡察等方式，及时发现病例及突发事件，从而及早处置。通过培训提高工作人员业务能力。</w:t>
      </w:r>
    </w:p>
    <w:p w14:paraId="5AB88EC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（二）存在问题</w:t>
      </w:r>
    </w:p>
    <w:p w14:paraId="3AD39DA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1、业务知识学习不足，重点传染病监测方案、技术方案等学习不够，应急处置能力稍有不足；</w:t>
      </w:r>
    </w:p>
    <w:p w14:paraId="2BAED62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2、对辖区卫生院和二级医疗机构督导不够，存在传染病漏报、错报未及时发现的情况，未能尽早督促改正；</w:t>
      </w:r>
    </w:p>
    <w:p w14:paraId="3AF997A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3、培训不到位，尤其传染病诊断标准与报告。</w:t>
      </w:r>
    </w:p>
    <w:p w14:paraId="7B1C494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757DC69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1、加强业务学习，做好突发应急事件处置准备；</w:t>
      </w:r>
    </w:p>
    <w:p w14:paraId="7EFA476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2、加强业务培训，进一步规范传染病报告，提高突发事件处置能力；</w:t>
      </w:r>
    </w:p>
    <w:p w14:paraId="698E563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3、加强传染病报告与管理工作督导。</w:t>
      </w:r>
    </w:p>
    <w:p w14:paraId="03DA491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14:paraId="6EAD30B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50F2D9B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p w14:paraId="075E28E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0010D86"/>
    <w:rsid w:val="01AF3811"/>
    <w:rsid w:val="03795BF7"/>
    <w:rsid w:val="086E756B"/>
    <w:rsid w:val="09A30B3B"/>
    <w:rsid w:val="0ACF37E5"/>
    <w:rsid w:val="0B400BC6"/>
    <w:rsid w:val="0C280ADC"/>
    <w:rsid w:val="0D3249F6"/>
    <w:rsid w:val="0E68228D"/>
    <w:rsid w:val="0EA6787F"/>
    <w:rsid w:val="1442345B"/>
    <w:rsid w:val="15276E52"/>
    <w:rsid w:val="178B0954"/>
    <w:rsid w:val="19BE5CBA"/>
    <w:rsid w:val="19D32FBC"/>
    <w:rsid w:val="19D8058F"/>
    <w:rsid w:val="1E6A4395"/>
    <w:rsid w:val="1FDA5AF3"/>
    <w:rsid w:val="24292E96"/>
    <w:rsid w:val="25557A3D"/>
    <w:rsid w:val="26EA5ED7"/>
    <w:rsid w:val="27A93B82"/>
    <w:rsid w:val="2AE00186"/>
    <w:rsid w:val="308216BE"/>
    <w:rsid w:val="34FE1149"/>
    <w:rsid w:val="3A550786"/>
    <w:rsid w:val="3AEA70D7"/>
    <w:rsid w:val="3B7A130F"/>
    <w:rsid w:val="3C4365A4"/>
    <w:rsid w:val="494A1329"/>
    <w:rsid w:val="4B0135BE"/>
    <w:rsid w:val="4F8B6063"/>
    <w:rsid w:val="52FA3F96"/>
    <w:rsid w:val="55850F17"/>
    <w:rsid w:val="57AE6D93"/>
    <w:rsid w:val="58E04635"/>
    <w:rsid w:val="5B70610D"/>
    <w:rsid w:val="5E3C4FFE"/>
    <w:rsid w:val="5F275EF9"/>
    <w:rsid w:val="5FB623A7"/>
    <w:rsid w:val="6AC241D5"/>
    <w:rsid w:val="6B0B3C3D"/>
    <w:rsid w:val="6BB1387F"/>
    <w:rsid w:val="6D075A1F"/>
    <w:rsid w:val="6E3851B0"/>
    <w:rsid w:val="76E539FB"/>
    <w:rsid w:val="784167CA"/>
    <w:rsid w:val="795F7B0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4682</Words>
  <Characters>5243</Characters>
  <TotalTime>0</TotalTime>
  <ScaleCrop>false</ScaleCrop>
  <LinksUpToDate>false</LinksUpToDate>
  <CharactersWithSpaces>5364</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刘雪婷</cp:lastModifiedBy>
  <cp:lastPrinted>2024-05-21T14:05:00Z</cp:lastPrinted>
  <dcterms:modified xsi:type="dcterms:W3CDTF">2025-09-23T01:05:07Z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2052-12.1.0.20784</vt:lpwstr>
  </property>
  <property fmtid="{D5CDD505-2E9C-101B-9397-08002B2CF9AE}" pid="6" name="ICV">
    <vt:lpwstr>A1E9AC54BF58440288AD196632C2A254_12</vt:lpwstr>
  </property>
  <property fmtid="{D5CDD505-2E9C-101B-9397-08002B2CF9AE}" pid="7" name="KSOTemplateDocerSaveRecord">
    <vt:lpwstr>eyJoZGlkIjoiZDFlOTg2MmRlN2VjZjU1NDJkMTM3ZTM3OTg2ZjkzZjciLCJ1c2VySWQiOiIxNjgwNzExMzg2In0=</vt:lpwstr>
  </property>
</Properties>
</file>