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tabs>
                <w:tab w:val="left" w:pos="960"/>
              </w:tabs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ab/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10.64</w:t>
            </w: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6.89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57</w:t>
            </w: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12.3</w:t>
            </w: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无</w:t>
            </w: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hint="default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向葵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填报日期：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2025-09-22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15074083078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黄青竹</w:t>
      </w:r>
    </w:p>
    <w:p w14:paraId="1B173A1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shd w:val="clear" w:color="auto" w:fill="auto"/>
            <w:vAlign w:val="center"/>
          </w:tcPr>
          <w:p w14:paraId="2318A964">
            <w:pPr>
              <w:tabs>
                <w:tab w:val="left" w:pos="696"/>
              </w:tabs>
              <w:spacing w:line="240" w:lineRule="auto"/>
              <w:ind w:firstLine="420" w:firstLineChars="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ab/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汨罗市罗城医院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293EDF7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2B6EFE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7298D3B0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182EBCC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0BAE1FD8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9FD3EC2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73A020CC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3CABA4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0459E6DD">
            <w:pPr>
              <w:spacing w:line="240" w:lineRule="auto"/>
              <w:ind w:firstLine="420" w:firstLineChars="0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0867B6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2.5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8350D28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194.63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DA3D2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194.63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424998F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BE68CE2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shd w:val="clear" w:color="auto" w:fill="auto"/>
            <w:vAlign w:val="center"/>
          </w:tcPr>
          <w:p w14:paraId="2DC94066">
            <w:pPr>
              <w:spacing w:line="240" w:lineRule="auto"/>
              <w:ind w:firstLine="420" w:firstLineChars="0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shd w:val="clear" w:color="auto" w:fill="auto"/>
            <w:vAlign w:val="center"/>
          </w:tcPr>
          <w:p w14:paraId="02A43B29">
            <w:pPr>
              <w:spacing w:line="240" w:lineRule="auto"/>
              <w:ind w:firstLine="420" w:firstLineChars="0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shd w:val="clear" w:color="auto" w:fill="auto"/>
            <w:vAlign w:val="center"/>
          </w:tcPr>
          <w:p w14:paraId="237E9998">
            <w:pPr>
              <w:spacing w:line="240" w:lineRule="auto"/>
              <w:ind w:firstLine="420" w:firstLineChars="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7.52</w:t>
            </w:r>
          </w:p>
        </w:tc>
        <w:tc>
          <w:tcPr>
            <w:tcW w:w="4260" w:type="dxa"/>
            <w:gridSpan w:val="4"/>
            <w:shd w:val="clear" w:color="auto" w:fill="auto"/>
            <w:vAlign w:val="center"/>
          </w:tcPr>
          <w:p w14:paraId="459DAAEC">
            <w:pPr>
              <w:spacing w:line="240" w:lineRule="auto"/>
              <w:ind w:firstLine="420" w:firstLineChars="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194.63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shd w:val="clear" w:color="auto" w:fill="auto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shd w:val="clear" w:color="auto" w:fill="auto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shd w:val="clear" w:color="auto" w:fill="auto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shd w:val="clear" w:color="auto" w:fill="auto"/>
            <w:vAlign w:val="center"/>
          </w:tcPr>
          <w:p w14:paraId="61AD26C7">
            <w:pPr>
              <w:spacing w:line="240" w:lineRule="auto"/>
              <w:ind w:firstLine="420" w:firstLineChars="0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shd w:val="clear" w:color="auto" w:fill="auto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其他资金：187.12</w:t>
            </w:r>
          </w:p>
        </w:tc>
        <w:tc>
          <w:tcPr>
            <w:tcW w:w="4260" w:type="dxa"/>
            <w:gridSpan w:val="4"/>
            <w:shd w:val="clear" w:color="auto" w:fill="auto"/>
            <w:vAlign w:val="center"/>
          </w:tcPr>
          <w:p w14:paraId="557F4DF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shd w:val="clear" w:color="auto" w:fill="auto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shd w:val="clear" w:color="auto" w:fill="auto"/>
            <w:vAlign w:val="center"/>
          </w:tcPr>
          <w:p w14:paraId="6CC77AB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shd w:val="clear" w:color="auto" w:fill="auto"/>
            <w:vAlign w:val="center"/>
          </w:tcPr>
          <w:p w14:paraId="5630C8FD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200万元</w:t>
            </w:r>
          </w:p>
        </w:tc>
        <w:tc>
          <w:tcPr>
            <w:tcW w:w="4260" w:type="dxa"/>
            <w:gridSpan w:val="4"/>
            <w:shd w:val="clear" w:color="auto" w:fill="auto"/>
            <w:vAlign w:val="center"/>
          </w:tcPr>
          <w:p w14:paraId="156E0DC0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194.63万元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EE6D307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76FB4AB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06229886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36DA0A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5610771E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  <w:p w14:paraId="4307458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A180746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  <w:p w14:paraId="33479AB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85EE4BB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确保100%完成保障民生工作任务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A374824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08D788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22E22189">
            <w:pPr>
              <w:pStyle w:val="8"/>
            </w:pPr>
          </w:p>
          <w:p w14:paraId="606BD0AD">
            <w:pPr>
              <w:bidi w:val="0"/>
              <w:ind w:firstLine="380" w:firstLineChars="0"/>
              <w:jc w:val="left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23D89C59">
            <w:pPr>
              <w:pStyle w:val="8"/>
              <w:ind w:firstLine="210" w:firstLineChars="100"/>
              <w:rPr>
                <w:rFonts w:hint="eastAsia" w:eastAsia="宋体"/>
                <w:lang w:val="en-US" w:eastAsia="zh-CN"/>
              </w:rPr>
            </w:pPr>
          </w:p>
          <w:p w14:paraId="120E2BE6">
            <w:pPr>
              <w:pStyle w:val="8"/>
              <w:ind w:firstLine="210" w:firstLineChars="100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CF9B186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</w:t>
            </w: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5E485C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15CE1D7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346D111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812C5E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4266548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01001FE5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ACB53F8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  <w:p w14:paraId="7B183CF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0423A41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本年收入</w:t>
            </w:r>
            <w:r>
              <w:rPr>
                <w:rFonts w:hint="eastAsia" w:eastAsia="宋体"/>
                <w:lang w:val="en-US" w:eastAsia="zh-CN"/>
              </w:rPr>
              <w:t>200</w:t>
            </w:r>
            <w:r>
              <w:rPr>
                <w:rFonts w:hint="eastAsia"/>
              </w:rPr>
              <w:t>万元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A5ADA3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200万元</w:t>
            </w:r>
          </w:p>
        </w:tc>
        <w:tc>
          <w:tcPr>
            <w:tcW w:w="1269" w:type="dxa"/>
            <w:shd w:val="clear" w:color="auto" w:fill="auto"/>
            <w:vAlign w:val="top"/>
          </w:tcPr>
          <w:p w14:paraId="54075F02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194.63万元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5580FC82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0982B111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9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9E0DC5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BA53E0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33DF5A2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F080A0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55F4AE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2A22618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3D7116F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9E96A81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  <w:p w14:paraId="021FBE7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top"/>
          </w:tcPr>
          <w:p w14:paraId="5323318C">
            <w:pPr>
              <w:pStyle w:val="8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 w:eastAsia="宋体"/>
                <w:lang w:val="en-US" w:eastAsia="zh-CN"/>
              </w:rPr>
              <w:t>4</w:t>
            </w:r>
            <w:r>
              <w:rPr>
                <w:rFonts w:hint="eastAsia"/>
              </w:rPr>
              <w:t>年完成绩效目标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479FA5D5">
            <w:pPr>
              <w:pStyle w:val="8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及时完成</w:t>
            </w:r>
          </w:p>
        </w:tc>
        <w:tc>
          <w:tcPr>
            <w:tcW w:w="1269" w:type="dxa"/>
            <w:shd w:val="clear" w:color="auto" w:fill="auto"/>
            <w:vAlign w:val="top"/>
          </w:tcPr>
          <w:p w14:paraId="5C1B3402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90%完成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4C56B99F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5DA34835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9</w:t>
            </w:r>
          </w:p>
        </w:tc>
        <w:tc>
          <w:tcPr>
            <w:tcW w:w="1423" w:type="dxa"/>
            <w:shd w:val="clear" w:color="auto" w:fill="auto"/>
            <w:vAlign w:val="top"/>
          </w:tcPr>
          <w:p w14:paraId="7BF8C6A4">
            <w:pPr>
              <w:pStyle w:val="8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没有及时完成</w:t>
            </w:r>
          </w:p>
        </w:tc>
      </w:tr>
      <w:tr w14:paraId="0E1EE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C42FDD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8ADF2D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8AFBDE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4EC514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7A000B20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94C6CF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37EBC37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0E73072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5672D5D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489BFB8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  <w:p w14:paraId="20779B1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004845D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  <w:p w14:paraId="653A57D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top"/>
          </w:tcPr>
          <w:p w14:paraId="32611957">
            <w:pPr>
              <w:pStyle w:val="8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医疗收入及成果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078289F3">
            <w:pPr>
              <w:pStyle w:val="8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完成指标</w:t>
            </w:r>
          </w:p>
        </w:tc>
        <w:tc>
          <w:tcPr>
            <w:tcW w:w="1269" w:type="dxa"/>
            <w:shd w:val="clear" w:color="auto" w:fill="auto"/>
            <w:vAlign w:val="top"/>
          </w:tcPr>
          <w:p w14:paraId="7A453B87">
            <w:pPr>
              <w:pStyle w:val="8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及时完成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415A3F60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2AC58B95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423" w:type="dxa"/>
            <w:shd w:val="clear" w:color="auto" w:fill="auto"/>
            <w:vAlign w:val="top"/>
          </w:tcPr>
          <w:p w14:paraId="63D43995">
            <w:pPr>
              <w:pStyle w:val="8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医疗收入未明显增加</w:t>
            </w:r>
          </w:p>
        </w:tc>
      </w:tr>
      <w:tr w14:paraId="53370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95DEC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40B64B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745A33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0A34D2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54DB100B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0D8D424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2404D44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6DE220A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6004A8B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A783521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  <w:p w14:paraId="4338009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top"/>
          </w:tcPr>
          <w:p w14:paraId="5D9BC272">
            <w:pPr>
              <w:pStyle w:val="8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改善服务病友的就医体验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6E8C4873">
            <w:pPr>
              <w:pStyle w:val="8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效益显著</w:t>
            </w:r>
          </w:p>
        </w:tc>
        <w:tc>
          <w:tcPr>
            <w:tcW w:w="1269" w:type="dxa"/>
            <w:shd w:val="clear" w:color="auto" w:fill="auto"/>
            <w:vAlign w:val="top"/>
          </w:tcPr>
          <w:p w14:paraId="4886005B">
            <w:pPr>
              <w:pStyle w:val="8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效益显著提高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75FAE414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3309901E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423" w:type="dxa"/>
            <w:shd w:val="clear" w:color="auto" w:fill="auto"/>
            <w:vAlign w:val="top"/>
          </w:tcPr>
          <w:p w14:paraId="4D65F265">
            <w:pPr>
              <w:pStyle w:val="8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改善服务病友的就医体验</w:t>
            </w:r>
          </w:p>
        </w:tc>
      </w:tr>
      <w:tr w14:paraId="3FBA8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4A612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7D09F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2ABD6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10DCE7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610F1A2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C0299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6C66ED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14AC289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759B9D1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36AF91A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  <w:p w14:paraId="47584A9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top"/>
          </w:tcPr>
          <w:p w14:paraId="4DC60689">
            <w:pPr>
              <w:pStyle w:val="8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坚持绿色环保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45B96CBB">
            <w:pPr>
              <w:pStyle w:val="8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效果显著</w:t>
            </w:r>
          </w:p>
        </w:tc>
        <w:tc>
          <w:tcPr>
            <w:tcW w:w="1269" w:type="dxa"/>
            <w:shd w:val="clear" w:color="auto" w:fill="auto"/>
            <w:vAlign w:val="top"/>
          </w:tcPr>
          <w:p w14:paraId="35C3564D">
            <w:pPr>
              <w:pStyle w:val="8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效果显著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6A822248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73C931F8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E6767B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7F48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7D494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FDA62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D8728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F0190D3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1F4912D3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3DC032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664813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44C25015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3B6320B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22997D0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  <w:p w14:paraId="1126E54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top"/>
          </w:tcPr>
          <w:p w14:paraId="1B548B4C">
            <w:pPr>
              <w:pStyle w:val="8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坚持可持续发展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055B34ED">
            <w:pPr>
              <w:pStyle w:val="8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逐步实行</w:t>
            </w:r>
          </w:p>
        </w:tc>
        <w:tc>
          <w:tcPr>
            <w:tcW w:w="1269" w:type="dxa"/>
            <w:shd w:val="clear" w:color="auto" w:fill="auto"/>
            <w:vAlign w:val="top"/>
          </w:tcPr>
          <w:p w14:paraId="46B41467">
            <w:pPr>
              <w:pStyle w:val="8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效果显著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447C4D99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71C7C72F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4D49FF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1FA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2BCD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4D0DE1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8272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6B9277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5BB249F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4B7E67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CB64A1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006A718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04C6D29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006C36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51A3C300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4F2AFDD1">
            <w:pPr>
              <w:pStyle w:val="8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就医病友对相关工作的满意度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0328BC39">
            <w:pPr>
              <w:pStyle w:val="8"/>
            </w:pPr>
          </w:p>
          <w:p w14:paraId="4FD22A47">
            <w:pPr>
              <w:bidi w:val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≥90%</w:t>
            </w:r>
          </w:p>
        </w:tc>
        <w:tc>
          <w:tcPr>
            <w:tcW w:w="1269" w:type="dxa"/>
            <w:shd w:val="clear" w:color="auto" w:fill="auto"/>
            <w:vAlign w:val="top"/>
          </w:tcPr>
          <w:p w14:paraId="31B5B329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97%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41D3F37B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19FFC8CC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412303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9D3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FFA43A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4778A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28984C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67D8AA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D1571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14AA98D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45F318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3D62FDE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57DECF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B5DD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7573E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782E37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58BA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53ED42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3D4C98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2FC22B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297110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7760B7D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340A98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63B7EC90">
            <w:pPr>
              <w:pStyle w:val="8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医疗收入及成果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15ECA8D3">
            <w:pPr>
              <w:pStyle w:val="8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完成指标</w:t>
            </w:r>
          </w:p>
        </w:tc>
        <w:tc>
          <w:tcPr>
            <w:tcW w:w="1269" w:type="dxa"/>
            <w:shd w:val="clear" w:color="auto" w:fill="auto"/>
            <w:vAlign w:val="top"/>
          </w:tcPr>
          <w:p w14:paraId="3C328246">
            <w:pPr>
              <w:pStyle w:val="8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及时完成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42BD2B94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786F4305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423" w:type="dxa"/>
            <w:shd w:val="clear" w:color="auto" w:fill="auto"/>
            <w:vAlign w:val="top"/>
          </w:tcPr>
          <w:p w14:paraId="0F79A5E1">
            <w:pPr>
              <w:pStyle w:val="8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医疗收入未明显增加</w:t>
            </w: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4C2510AC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降低病人的就医成本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09361E43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逐步降低</w:t>
            </w:r>
          </w:p>
        </w:tc>
        <w:tc>
          <w:tcPr>
            <w:tcW w:w="1269" w:type="dxa"/>
            <w:shd w:val="clear" w:color="auto" w:fill="auto"/>
            <w:vAlign w:val="top"/>
          </w:tcPr>
          <w:p w14:paraId="32DCD303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有待提高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765229A3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4012A71B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A85C036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成本降低效果不佳</w:t>
            </w: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304051C0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坚持环保、</w:t>
            </w:r>
            <w:r>
              <w:rPr>
                <w:rFonts w:hint="eastAsia" w:eastAsia="宋体"/>
                <w:lang w:val="en-US" w:eastAsia="zh-CN"/>
              </w:rPr>
              <w:t>健康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789CDCB9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逐渐改善</w:t>
            </w:r>
          </w:p>
        </w:tc>
        <w:tc>
          <w:tcPr>
            <w:tcW w:w="1269" w:type="dxa"/>
            <w:shd w:val="clear" w:color="auto" w:fill="auto"/>
            <w:vAlign w:val="top"/>
          </w:tcPr>
          <w:p w14:paraId="4E354EE6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效</w:t>
            </w:r>
            <w:r>
              <w:rPr>
                <w:rFonts w:hint="eastAsia" w:eastAsia="宋体"/>
                <w:lang w:val="en-US" w:eastAsia="zh-CN"/>
              </w:rPr>
              <w:t>果明显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6C36DE67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6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6B31F2AB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4ED7F29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环保、健康完成较好</w:t>
            </w: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92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4207F48A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向葵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2025-05-26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1574083078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黄青竹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0736A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322DF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3F24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3E0B6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4DAE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0B3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B45A6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506B9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703DA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AF12B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728D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4A06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71E29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8CED8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ED607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2DCC3115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向葵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2025-05-26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1574083078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黄青竹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6C4629C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汨罗市罗城医院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部门（单位）整体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部门（单位）名称：汨罗市罗城医院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 xml:space="preserve">2025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年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 xml:space="preserve"> 09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22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hint="eastAsia" w:ascii="黑体" w:hAnsi="黑体" w:eastAsia="黑体" w:cs="黑体"/>
          <w:kern w:val="0"/>
          <w:sz w:val="40"/>
          <w:szCs w:val="40"/>
          <w:lang w:val="en-US" w:eastAsia="zh-CN"/>
        </w:rPr>
        <w:t>汨罗市罗城医院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单位基本情况</w:t>
      </w:r>
    </w:p>
    <w:p w14:paraId="4075F9DE">
      <w:pPr>
        <w:numPr>
          <w:ilvl w:val="0"/>
          <w:numId w:val="0"/>
        </w:numPr>
        <w:spacing w:before="104" w:line="222" w:lineRule="auto"/>
        <w:rPr>
          <w:rFonts w:hint="eastAsia" w:ascii="仿宋" w:hAnsi="仿宋" w:eastAsia="仿宋" w:cs="仿宋"/>
          <w:b w:val="0"/>
          <w:bCs w:val="0"/>
          <w:spacing w:val="-6"/>
          <w:sz w:val="28"/>
          <w:szCs w:val="28"/>
          <w:lang w:val="en-US" w:eastAsia="zh-CN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pacing w:val="-6"/>
          <w:sz w:val="28"/>
          <w:szCs w:val="28"/>
          <w:lang w:val="en-US" w:eastAsia="zh-CN"/>
        </w:rPr>
        <w:t>（一）本院主要从事血吸虫病治疗的专科医院，并设有内科、血吸虫病科、中医理疗科、牙科、等临床科室，医技科室有B超、放射、检验、心电图等。社卫中心设有公卫科、妇保科、儿保科、计免科（预防接种）、健康教育及计划生育技术指导等。</w:t>
      </w:r>
    </w:p>
    <w:p w14:paraId="43ACC7BF">
      <w:pPr>
        <w:numPr>
          <w:ilvl w:val="0"/>
          <w:numId w:val="0"/>
        </w:numPr>
        <w:spacing w:before="104" w:line="222" w:lineRule="auto"/>
        <w:rPr>
          <w:rFonts w:hint="default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6"/>
          <w:sz w:val="28"/>
          <w:szCs w:val="28"/>
          <w:lang w:val="en-US" w:eastAsia="zh-CN"/>
        </w:rPr>
        <w:t>（二）本院收入主要用于血吸虫病人的门诊及住院病人治疗，主要内容包括检查费，治疗费，药品费，水电费，人员经费支出等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。</w:t>
      </w: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 w14:paraId="3132D145">
      <w:pPr>
        <w:pStyle w:val="2"/>
        <w:spacing w:before="1" w:line="225" w:lineRule="auto"/>
        <w:ind w:left="750"/>
        <w:rPr>
          <w:spacing w:val="-13"/>
          <w:sz w:val="32"/>
          <w:szCs w:val="32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基本支出情况</w:t>
      </w:r>
    </w:p>
    <w:p w14:paraId="79EC4B10">
      <w:pPr>
        <w:numPr>
          <w:ilvl w:val="0"/>
          <w:numId w:val="0"/>
        </w:numPr>
        <w:spacing w:before="104" w:line="222" w:lineRule="auto"/>
        <w:ind w:firstLine="804" w:firstLineChars="300"/>
        <w:rPr>
          <w:rFonts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6"/>
          <w:sz w:val="28"/>
          <w:szCs w:val="28"/>
          <w:lang w:val="en-US" w:eastAsia="zh-CN"/>
        </w:rPr>
        <w:t>本院整体支出按量入为出及专款专用，专人管理的原则，使用情况总体收支平衡，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基本支出7.52万元</w:t>
      </w:r>
      <w:r>
        <w:rPr>
          <w:rFonts w:hint="eastAsia"/>
          <w:spacing w:val="5"/>
          <w:sz w:val="32"/>
          <w:szCs w:val="32"/>
          <w:lang w:val="en-US" w:eastAsia="zh-CN"/>
        </w:rPr>
        <w:t xml:space="preserve">     </w:t>
      </w:r>
    </w:p>
    <w:p w14:paraId="00657FCB">
      <w:pPr>
        <w:pStyle w:val="9"/>
        <w:numPr>
          <w:ilvl w:val="0"/>
          <w:numId w:val="2"/>
        </w:numPr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项目支出情况</w:t>
      </w:r>
    </w:p>
    <w:p w14:paraId="0E9E2051">
      <w:pPr>
        <w:pStyle w:val="9"/>
        <w:numPr>
          <w:ilvl w:val="0"/>
          <w:numId w:val="0"/>
        </w:numPr>
        <w:spacing w:line="600" w:lineRule="exact"/>
        <w:jc w:val="both"/>
        <w:rPr>
          <w:rFonts w:hint="default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 xml:space="preserve">            </w:t>
      </w:r>
      <w:r>
        <w:rPr>
          <w:rFonts w:hint="eastAsia"/>
          <w:spacing w:val="5"/>
          <w:sz w:val="28"/>
          <w:szCs w:val="28"/>
          <w:lang w:val="en-US" w:eastAsia="zh-CN"/>
        </w:rPr>
        <w:t>本院无项目支出</w:t>
      </w:r>
    </w:p>
    <w:p w14:paraId="516D3C52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政府性基金预算财政拨款支出情况</w:t>
      </w:r>
    </w:p>
    <w:p w14:paraId="2009BDBA">
      <w:pPr>
        <w:numPr>
          <w:ilvl w:val="0"/>
          <w:numId w:val="0"/>
        </w:numPr>
        <w:spacing w:before="204" w:line="222" w:lineRule="auto"/>
        <w:ind w:firstLine="1016" w:firstLineChars="400"/>
        <w:rPr>
          <w:rFonts w:hint="default" w:ascii="方正黑体_GBK" w:eastAsia="方正黑体_GBK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3"/>
          <w:sz w:val="28"/>
          <w:szCs w:val="28"/>
          <w:lang w:eastAsia="zh-CN"/>
        </w:rPr>
        <w:t>本院无政府性基金预算支出</w:t>
      </w:r>
    </w:p>
    <w:p w14:paraId="2A755169">
      <w:pPr>
        <w:numPr>
          <w:ilvl w:val="0"/>
          <w:numId w:val="3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国有资本经营预算财政拨款支出情况</w:t>
      </w:r>
    </w:p>
    <w:p w14:paraId="4F29C1ED">
      <w:pPr>
        <w:numPr>
          <w:ilvl w:val="0"/>
          <w:numId w:val="0"/>
        </w:numPr>
        <w:spacing w:before="226" w:line="590" w:lineRule="exact"/>
        <w:ind w:left="560" w:leftChars="0"/>
        <w:rPr>
          <w:rFonts w:hint="default" w:ascii="方正黑体_GBK" w:eastAsia="方正黑体_GBK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14"/>
          <w:position w:val="19"/>
          <w:sz w:val="28"/>
          <w:szCs w:val="28"/>
          <w:lang w:val="en-US" w:eastAsia="zh-CN"/>
        </w:rPr>
        <w:t>本院无国有资本经营预算支出</w:t>
      </w:r>
    </w:p>
    <w:p w14:paraId="07F1EBC0">
      <w:pPr>
        <w:numPr>
          <w:ilvl w:val="0"/>
          <w:numId w:val="3"/>
        </w:numPr>
        <w:spacing w:line="600" w:lineRule="exact"/>
        <w:ind w:left="0" w:leftChars="0"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社会保险基金预算支出情况</w:t>
      </w:r>
    </w:p>
    <w:p w14:paraId="60DB86A9">
      <w:pPr>
        <w:numPr>
          <w:ilvl w:val="0"/>
          <w:numId w:val="0"/>
        </w:numPr>
        <w:spacing w:line="600" w:lineRule="exact"/>
        <w:ind w:leftChars="200"/>
        <w:jc w:val="both"/>
        <w:rPr>
          <w:rFonts w:hint="default" w:ascii="方正黑体_GBK" w:eastAsia="方正黑体_GBK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pacing w:val="-8"/>
          <w:sz w:val="28"/>
          <w:szCs w:val="28"/>
          <w:lang w:eastAsia="zh-CN"/>
        </w:rPr>
        <w:t>本院无社会保障基金预算支出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六、部门整体支出绩效情况</w:t>
      </w:r>
    </w:p>
    <w:p w14:paraId="5A8D90E0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本单位年初预算为2.5万元，年终决算为194.63万元，绩效目标完成情况为100%完成。本单位部门职责为血吸虫病人救助的专科医院，医院将加大对信息技术的应用力度，推进信息化管理系统的建设和应用，包括电子病历、电子处方和医院信息管理系统等。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75A366B4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本单位主要资金来源为事业收入资金，保持收支平衡，收入略大于支出，社会效益略显著。</w:t>
      </w:r>
    </w:p>
    <w:p w14:paraId="21E6073D">
      <w:pPr>
        <w:numPr>
          <w:ilvl w:val="0"/>
          <w:numId w:val="4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下一步改进措施</w:t>
      </w:r>
    </w:p>
    <w:p w14:paraId="1C7A2BE5">
      <w:pPr>
        <w:numPr>
          <w:ilvl w:val="0"/>
          <w:numId w:val="0"/>
        </w:numPr>
        <w:spacing w:line="600" w:lineRule="exact"/>
        <w:jc w:val="both"/>
        <w:rPr>
          <w:rFonts w:hint="default" w:ascii="方正黑体_GBK" w:eastAsia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增收节支，对职工工资实行绩效考核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。</w:t>
      </w:r>
    </w:p>
    <w:p w14:paraId="37ACA1CA">
      <w:pPr>
        <w:numPr>
          <w:ilvl w:val="0"/>
          <w:numId w:val="4"/>
        </w:numPr>
        <w:spacing w:line="600" w:lineRule="exact"/>
        <w:ind w:left="0" w:leftChars="0"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部门整体支出绩效自评结果拟应用和公开情况</w:t>
      </w:r>
    </w:p>
    <w:p w14:paraId="3902B2DF">
      <w:pPr>
        <w:numPr>
          <w:ilvl w:val="0"/>
          <w:numId w:val="0"/>
        </w:numPr>
        <w:spacing w:line="600" w:lineRule="exact"/>
        <w:ind w:leftChars="200"/>
        <w:jc w:val="both"/>
        <w:rPr>
          <w:rFonts w:hint="default" w:ascii="方正黑体_GBK" w:eastAsia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后续将继续努力改进绩效方案</w:t>
      </w:r>
    </w:p>
    <w:p w14:paraId="3C7E213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EC8C4B6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86B8A0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7D9EF1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4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hint="eastAsia" w:ascii="黑体" w:hAnsi="黑体" w:eastAsia="黑体" w:cs="黑体"/>
          <w:position w:val="10"/>
          <w:sz w:val="42"/>
          <w:szCs w:val="42"/>
          <w:lang w:val="en-US" w:eastAsia="zh-CN"/>
        </w:rPr>
        <w:t>汨罗市罗城医院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  <w:highlight w:val="none"/>
        </w:rPr>
      </w:pPr>
      <w:r>
        <w:rPr>
          <w:spacing w:val="-22"/>
          <w:sz w:val="27"/>
          <w:szCs w:val="27"/>
          <w:highlight w:val="none"/>
        </w:rPr>
        <w:t>部门</w:t>
      </w:r>
      <w:r>
        <w:rPr>
          <w:rFonts w:hint="eastAsia"/>
          <w:spacing w:val="-22"/>
          <w:sz w:val="27"/>
          <w:szCs w:val="27"/>
          <w:highlight w:val="none"/>
          <w:lang w:eastAsia="zh-CN"/>
        </w:rPr>
        <w:t>（单位）</w:t>
      </w:r>
      <w:r>
        <w:rPr>
          <w:spacing w:val="-22"/>
          <w:sz w:val="27"/>
          <w:szCs w:val="27"/>
          <w:highlight w:val="none"/>
        </w:rPr>
        <w:t>名称</w:t>
      </w:r>
      <w:r>
        <w:rPr>
          <w:spacing w:val="-54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  <w:highlight w:val="none"/>
        </w:rPr>
        <w:t>：</w:t>
      </w:r>
      <w:r>
        <w:rPr>
          <w:spacing w:val="-22"/>
          <w:sz w:val="27"/>
          <w:szCs w:val="27"/>
          <w:highlight w:val="none"/>
          <w:u w:val="single" w:color="auto"/>
        </w:rPr>
        <w:t xml:space="preserve">  </w:t>
      </w:r>
      <w:r>
        <w:rPr>
          <w:rFonts w:hint="eastAsia"/>
          <w:spacing w:val="-22"/>
          <w:sz w:val="27"/>
          <w:szCs w:val="27"/>
          <w:highlight w:val="none"/>
          <w:u w:val="single" w:color="auto"/>
          <w:lang w:val="en-US" w:eastAsia="zh-CN"/>
        </w:rPr>
        <w:t>汨罗市罗城医院</w:t>
      </w:r>
      <w:r>
        <w:rPr>
          <w:spacing w:val="-22"/>
          <w:sz w:val="27"/>
          <w:szCs w:val="27"/>
          <w:highlight w:val="none"/>
          <w:u w:val="single" w:color="auto"/>
        </w:rPr>
        <w:t xml:space="preserve"> (</w:t>
      </w:r>
      <w:r>
        <w:rPr>
          <w:spacing w:val="68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盖</w:t>
      </w:r>
      <w:r>
        <w:rPr>
          <w:spacing w:val="64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章</w:t>
      </w:r>
      <w:r>
        <w:rPr>
          <w:spacing w:val="55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)</w:t>
      </w:r>
      <w:r>
        <w:rPr>
          <w:sz w:val="27"/>
          <w:szCs w:val="27"/>
          <w:highlight w:val="none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rFonts w:hint="eastAsia"/>
          <w:spacing w:val="-13"/>
          <w:position w:val="26"/>
          <w:sz w:val="27"/>
          <w:szCs w:val="27"/>
          <w:highlight w:val="none"/>
          <w:lang w:val="en-US" w:eastAsia="zh-CN"/>
        </w:rPr>
        <w:t xml:space="preserve">2025 </w:t>
      </w:r>
      <w:r>
        <w:rPr>
          <w:spacing w:val="-13"/>
          <w:position w:val="26"/>
          <w:sz w:val="27"/>
          <w:szCs w:val="27"/>
          <w:highlight w:val="none"/>
        </w:rPr>
        <w:t xml:space="preserve">年 </w:t>
      </w:r>
      <w:r>
        <w:rPr>
          <w:rFonts w:hint="eastAsia"/>
          <w:spacing w:val="-13"/>
          <w:position w:val="26"/>
          <w:sz w:val="27"/>
          <w:szCs w:val="27"/>
          <w:highlight w:val="none"/>
          <w:lang w:val="en-US" w:eastAsia="zh-CN"/>
        </w:rPr>
        <w:t>09</w:t>
      </w:r>
      <w:r>
        <w:rPr>
          <w:spacing w:val="-13"/>
          <w:position w:val="26"/>
          <w:sz w:val="27"/>
          <w:szCs w:val="27"/>
          <w:highlight w:val="none"/>
        </w:rPr>
        <w:t>月</w:t>
      </w:r>
      <w:r>
        <w:rPr>
          <w:spacing w:val="12"/>
          <w:position w:val="26"/>
          <w:sz w:val="27"/>
          <w:szCs w:val="27"/>
          <w:highlight w:val="none"/>
        </w:rPr>
        <w:t xml:space="preserve"> </w:t>
      </w:r>
      <w:r>
        <w:rPr>
          <w:rFonts w:hint="eastAsia"/>
          <w:spacing w:val="12"/>
          <w:position w:val="26"/>
          <w:sz w:val="27"/>
          <w:szCs w:val="27"/>
          <w:highlight w:val="none"/>
          <w:lang w:val="en-US" w:eastAsia="zh-CN"/>
        </w:rPr>
        <w:t>22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540B936B">
      <w:pPr>
        <w:spacing w:line="223" w:lineRule="auto"/>
        <w:rPr>
          <w:sz w:val="24"/>
          <w:szCs w:val="24"/>
        </w:rPr>
        <w:sectPr>
          <w:footerReference r:id="rId7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" w:line="220" w:lineRule="auto"/>
        <w:ind w:left="3069"/>
        <w:rPr>
          <w:rFonts w:hint="eastAsia" w:ascii="黑体" w:hAnsi="黑体" w:eastAsia="黑体" w:cs="黑体"/>
          <w:spacing w:val="10"/>
          <w:sz w:val="42"/>
          <w:szCs w:val="42"/>
        </w:rPr>
      </w:pPr>
      <w:r>
        <w:rPr>
          <w:rFonts w:hint="eastAsia" w:ascii="黑体" w:hAnsi="黑体" w:eastAsia="黑体" w:cs="黑体"/>
          <w:spacing w:val="10"/>
          <w:sz w:val="42"/>
          <w:szCs w:val="42"/>
        </w:rPr>
        <w:t>项目支出绩效评价报告</w:t>
      </w:r>
    </w:p>
    <w:p w14:paraId="0021A428">
      <w:pPr>
        <w:spacing w:before="190" w:line="227" w:lineRule="auto"/>
        <w:jc w:val="center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3410CD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一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  <w:r>
        <w:rPr>
          <w:rFonts w:hint="eastAsia" w:eastAsia="仿宋_GB2312"/>
          <w:kern w:val="0"/>
          <w:sz w:val="32"/>
          <w:szCs w:val="32"/>
          <w:lang w:eastAsia="zh-CN"/>
        </w:rPr>
        <w:t>主要包括项目支出决策背景及其主要内容。</w:t>
      </w:r>
    </w:p>
    <w:p w14:paraId="4FE9CF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（二）项目资金使用管理情况。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 理机构；项目资金和项目管理制度建设，项目资金投向结构合理 性，资金拨付及时性等，项目立项、申报、评审、监督管理、验收等阶段组织实施的合规性等。</w:t>
      </w:r>
    </w:p>
    <w:p w14:paraId="6AC96D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项目支出绩效目标完成程度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主要包括绩效总目标和</w:t>
      </w:r>
    </w:p>
    <w:p w14:paraId="093A69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阶段性目标，实现的产出情况和取得的效益情况。</w:t>
      </w:r>
    </w:p>
    <w:p w14:paraId="6732EB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 w14:paraId="37718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三、项目支出主要绩效及评价结论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四、绩效评价指标分析</w:t>
      </w:r>
    </w:p>
    <w:p w14:paraId="1FD15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（一）项目支出决策情况。</w:t>
      </w:r>
    </w:p>
    <w:p w14:paraId="1E93AE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（二）项目执行过程情况。</w:t>
      </w:r>
    </w:p>
    <w:p w14:paraId="2FDAD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（三）项目支出产出情况。</w:t>
      </w:r>
    </w:p>
    <w:p w14:paraId="2025BF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（四）项目支出效益情况。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117F41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可从资金分配和安排，资金指标下达、资金拨付和资金使用 进度，资金使用管理，项目管理，政策适应性等方面概括存在的主要问题。</w:t>
      </w:r>
    </w:p>
    <w:p w14:paraId="58DE12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sectPr>
      <w:footerReference r:id="rId8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0394AA"/>
    <w:multiLevelType w:val="singleLevel"/>
    <w:tmpl w:val="960394AA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A409866"/>
    <w:multiLevelType w:val="singleLevel"/>
    <w:tmpl w:val="EA40986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12D2C40"/>
    <w:multiLevelType w:val="singleLevel"/>
    <w:tmpl w:val="212D2C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DA9BCE2"/>
    <w:multiLevelType w:val="singleLevel"/>
    <w:tmpl w:val="5DA9BCE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1AF3811"/>
    <w:rsid w:val="026B2596"/>
    <w:rsid w:val="03795BF7"/>
    <w:rsid w:val="03CC1949"/>
    <w:rsid w:val="086E756B"/>
    <w:rsid w:val="098E5ED9"/>
    <w:rsid w:val="0ACF37E5"/>
    <w:rsid w:val="0B400BC6"/>
    <w:rsid w:val="0E68228D"/>
    <w:rsid w:val="0EA6787F"/>
    <w:rsid w:val="10771710"/>
    <w:rsid w:val="15276E52"/>
    <w:rsid w:val="178B0954"/>
    <w:rsid w:val="19D32FBC"/>
    <w:rsid w:val="1E6A4395"/>
    <w:rsid w:val="25557A3D"/>
    <w:rsid w:val="26EA5ED7"/>
    <w:rsid w:val="27A93B82"/>
    <w:rsid w:val="2AE00186"/>
    <w:rsid w:val="308216BE"/>
    <w:rsid w:val="34FE1149"/>
    <w:rsid w:val="3A550786"/>
    <w:rsid w:val="3AEA70D7"/>
    <w:rsid w:val="3B7A130F"/>
    <w:rsid w:val="477324A0"/>
    <w:rsid w:val="494A1329"/>
    <w:rsid w:val="4BB334EB"/>
    <w:rsid w:val="4F8B6063"/>
    <w:rsid w:val="52FA3F96"/>
    <w:rsid w:val="55850F17"/>
    <w:rsid w:val="57AE6D93"/>
    <w:rsid w:val="58E04635"/>
    <w:rsid w:val="5E3C4FFE"/>
    <w:rsid w:val="5FB623A7"/>
    <w:rsid w:val="63BC4208"/>
    <w:rsid w:val="6BB1387F"/>
    <w:rsid w:val="6D075A1F"/>
    <w:rsid w:val="6DE379EF"/>
    <w:rsid w:val="6E3851B0"/>
    <w:rsid w:val="76E539FB"/>
    <w:rsid w:val="784167CA"/>
    <w:rsid w:val="795F7B03"/>
    <w:rsid w:val="7CFA7150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2501</Words>
  <Characters>2721</Characters>
  <TotalTime>19</TotalTime>
  <ScaleCrop>false</ScaleCrop>
  <LinksUpToDate>false</LinksUpToDate>
  <CharactersWithSpaces>2838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心随庭动</cp:lastModifiedBy>
  <cp:lastPrinted>2024-05-21T14:05:00Z</cp:lastPrinted>
  <dcterms:modified xsi:type="dcterms:W3CDTF">2025-09-23T09:26:44Z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158B8139792C46928E5672676BED5FF8_13</vt:lpwstr>
  </property>
  <property fmtid="{D5CDD505-2E9C-101B-9397-08002B2CF9AE}" pid="7" name="KSOTemplateDocerSaveRecord">
    <vt:lpwstr>eyJoZGlkIjoiODM5NjZkYWYzMDg0NDgxMDM3YzdiYWMwOGFmNGQzMjkiLCJ1c2VySWQiOiI3NjU3MDc2NjEifQ==</vt:lpwstr>
  </property>
</Properties>
</file>