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w:t>
            </w:r>
          </w:p>
        </w:tc>
        <w:tc>
          <w:tcPr>
            <w:tcW w:w="1983" w:type="dxa"/>
            <w:gridSpan w:val="2"/>
            <w:vAlign w:val="center"/>
          </w:tcPr>
          <w:p w14:paraId="06F2846E">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ascii="仿宋_GB2312" w:eastAsia="仿宋_GB2312"/>
                <w:kern w:val="0"/>
              </w:rPr>
            </w:pPr>
            <w:r>
              <w:rPr>
                <w:rFonts w:hint="eastAsia" w:ascii="仿宋_GB2312" w:eastAsia="仿宋_GB2312"/>
                <w:kern w:val="0"/>
                <w:lang w:val="en-US" w:eastAsia="zh-CN"/>
              </w:rPr>
              <w:t>0.67</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1.46</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0.24</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r>
              <w:rPr>
                <w:rFonts w:hint="eastAsia" w:ascii="仿宋_GB2312" w:eastAsia="仿宋_GB2312"/>
                <w:kern w:val="0"/>
                <w:lang w:val="en-US" w:eastAsia="zh-CN"/>
              </w:rPr>
              <w:t>0.67</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1.46</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0.24</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r>
              <w:rPr>
                <w:rFonts w:hint="eastAsia" w:ascii="仿宋_GB2312" w:eastAsia="仿宋_GB2312"/>
                <w:kern w:val="0"/>
                <w:lang w:val="en-US" w:eastAsia="zh-CN"/>
              </w:rPr>
              <w:t>32.92</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19.56</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19.56</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lang w:eastAsia="zh-CN"/>
              </w:rPr>
            </w:pPr>
            <w:r>
              <w:rPr>
                <w:rFonts w:hint="eastAsia" w:ascii="仿宋_GB2312" w:eastAsia="仿宋_GB2312"/>
                <w:kern w:val="0"/>
                <w:lang w:val="en-US" w:eastAsia="zh-CN"/>
              </w:rPr>
              <w:t>32.92</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19.56</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19.56</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rPr>
            </w:pPr>
            <w:r>
              <w:rPr>
                <w:rFonts w:hint="eastAsia" w:ascii="仿宋_GB2312" w:eastAsia="仿宋_GB2312"/>
                <w:kern w:val="0"/>
                <w:lang w:val="en-US" w:eastAsia="zh-CN"/>
              </w:rPr>
              <w:t>68.97</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52.10</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52.10</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rPr>
            </w:pPr>
            <w:r>
              <w:rPr>
                <w:rFonts w:hint="eastAsia" w:ascii="仿宋_GB2312" w:eastAsia="仿宋_GB2312"/>
                <w:kern w:val="0"/>
                <w:lang w:val="en-US" w:eastAsia="zh-CN"/>
              </w:rPr>
              <w:t>3.43</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2.56</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6.14</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eastAsia="仿宋_GB2312"/>
                <w:kern w:val="0"/>
              </w:rPr>
            </w:pPr>
            <w:r>
              <w:rPr>
                <w:rFonts w:hint="eastAsia" w:ascii="仿宋_GB2312" w:eastAsia="仿宋_GB2312"/>
                <w:kern w:val="0"/>
                <w:lang w:val="en-US" w:eastAsia="zh-CN"/>
              </w:rPr>
              <w:t>10.51</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4.08</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6.02</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w:t>
            </w:r>
          </w:p>
        </w:tc>
        <w:tc>
          <w:tcPr>
            <w:tcW w:w="1983" w:type="dxa"/>
            <w:gridSpan w:val="2"/>
            <w:vAlign w:val="center"/>
          </w:tcPr>
          <w:p w14:paraId="550E4F9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ascii="仿宋_GB2312" w:eastAsia="仿宋_GB2312"/>
                <w:kern w:val="0"/>
              </w:rPr>
            </w:pPr>
            <w:r>
              <w:rPr>
                <w:rFonts w:hint="eastAsia" w:ascii="仿宋_GB2312" w:eastAsia="仿宋_GB2312"/>
                <w:kern w:val="0"/>
                <w:lang w:val="en-US" w:eastAsia="zh-CN"/>
              </w:rPr>
              <w:t>23.61</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19.16</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19.16</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1B173A16">
      <w:pPr>
        <w:kinsoku w:val="0"/>
        <w:autoSpaceDE w:val="0"/>
        <w:autoSpaceDN w:val="0"/>
        <w:adjustRightInd w:val="0"/>
        <w:snapToGrid w:val="0"/>
        <w:spacing w:before="65" w:line="228" w:lineRule="auto"/>
        <w:ind w:firstLine="102" w:firstLineChars="49"/>
        <w:textAlignment w:val="baseline"/>
        <w:rPr>
          <w:rFonts w:hint="default" w:eastAsiaTheme="minorEastAsia"/>
          <w:sz w:val="20"/>
          <w:szCs w:val="20"/>
          <w:lang w:val="en-US"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彭云</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2025.9.20</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13407302850</w:t>
      </w:r>
      <w:r>
        <w:rPr>
          <w:rFonts w:ascii="仿宋_GB2312" w:hAnsi="宋体" w:eastAsia="仿宋_GB2312" w:cs="宋体"/>
          <w:snapToGrid w:val="0"/>
          <w:color w:val="000000"/>
          <w:sz w:val="21"/>
          <w:szCs w:val="21"/>
          <w:lang w:val="en-US" w:eastAsia="zh-CN" w:bidi="ar-SA"/>
        </w:rPr>
        <w:t xml:space="preserve">  单位负责人签字：</w:t>
      </w:r>
      <w:r>
        <w:rPr>
          <w:rFonts w:hint="eastAsia" w:eastAsiaTheme="minorEastAsia"/>
          <w:sz w:val="20"/>
          <w:szCs w:val="20"/>
          <w:lang w:val="en-US" w:eastAsia="zh-CN"/>
        </w:rPr>
        <w:t>黎清华</w:t>
      </w:r>
    </w:p>
    <w:p w14:paraId="4A839201">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0AEDB5B2">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06063F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7D185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3194ED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6DEB98F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5E5F0988">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汨罗市卫生计生综合监督执法局</w:t>
            </w:r>
          </w:p>
        </w:tc>
      </w:tr>
      <w:tr w14:paraId="25E05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6D1E3961">
            <w:pPr>
              <w:spacing w:line="240" w:lineRule="auto"/>
              <w:ind w:firstLine="420"/>
              <w:jc w:val="center"/>
              <w:rPr>
                <w:rFonts w:ascii="仿宋_GB2312" w:eastAsia="仿宋_GB2312"/>
                <w:kern w:val="0"/>
              </w:rPr>
            </w:pPr>
          </w:p>
          <w:p w14:paraId="6265354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0D3241CB">
            <w:pPr>
              <w:spacing w:line="240" w:lineRule="auto"/>
              <w:ind w:firstLine="420"/>
              <w:jc w:val="center"/>
              <w:rPr>
                <w:rFonts w:ascii="仿宋_GB2312" w:eastAsia="仿宋_GB2312"/>
                <w:kern w:val="0"/>
              </w:rPr>
            </w:pPr>
          </w:p>
        </w:tc>
        <w:tc>
          <w:tcPr>
            <w:tcW w:w="1249" w:type="dxa"/>
            <w:vAlign w:val="center"/>
          </w:tcPr>
          <w:p w14:paraId="57685E8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77A73A64">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2380DE6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9082F1">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13E9E749">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6C29A3B0">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3A7FD940">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55D4F688">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0F0EFF54">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2D90E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86C0E2B">
            <w:pPr>
              <w:spacing w:line="240" w:lineRule="auto"/>
              <w:ind w:firstLine="420"/>
              <w:jc w:val="center"/>
              <w:rPr>
                <w:rFonts w:ascii="仿宋_GB2312" w:eastAsia="仿宋_GB2312"/>
                <w:kern w:val="0"/>
              </w:rPr>
            </w:pPr>
          </w:p>
        </w:tc>
        <w:tc>
          <w:tcPr>
            <w:tcW w:w="2098" w:type="dxa"/>
            <w:gridSpan w:val="2"/>
            <w:vAlign w:val="center"/>
          </w:tcPr>
          <w:p w14:paraId="4AD72787">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27F8592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279.6</w:t>
            </w:r>
          </w:p>
        </w:tc>
        <w:tc>
          <w:tcPr>
            <w:tcW w:w="1298" w:type="dxa"/>
            <w:vAlign w:val="center"/>
          </w:tcPr>
          <w:p w14:paraId="6FC7DC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291.27</w:t>
            </w:r>
          </w:p>
        </w:tc>
        <w:tc>
          <w:tcPr>
            <w:tcW w:w="1269" w:type="dxa"/>
            <w:vAlign w:val="center"/>
          </w:tcPr>
          <w:p w14:paraId="47EB0B8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291.27</w:t>
            </w:r>
          </w:p>
        </w:tc>
        <w:tc>
          <w:tcPr>
            <w:tcW w:w="699" w:type="dxa"/>
            <w:vAlign w:val="center"/>
          </w:tcPr>
          <w:p w14:paraId="7CB59734">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49B54A3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6E1C2A9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73ECA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4651DB68">
            <w:pPr>
              <w:spacing w:line="240" w:lineRule="auto"/>
              <w:ind w:firstLine="420"/>
              <w:jc w:val="center"/>
              <w:rPr>
                <w:rFonts w:ascii="仿宋_GB2312" w:eastAsia="仿宋_GB2312"/>
                <w:kern w:val="0"/>
              </w:rPr>
            </w:pPr>
          </w:p>
        </w:tc>
        <w:tc>
          <w:tcPr>
            <w:tcW w:w="4645" w:type="dxa"/>
            <w:gridSpan w:val="4"/>
            <w:vAlign w:val="center"/>
          </w:tcPr>
          <w:p w14:paraId="05DC578A">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rPr>
              <w:t>按收入性质分：</w:t>
            </w:r>
            <w:r>
              <w:rPr>
                <w:rFonts w:hint="eastAsia" w:ascii="仿宋_GB2312" w:eastAsia="仿宋_GB2312"/>
                <w:kern w:val="0"/>
                <w:lang w:val="en-US" w:eastAsia="zh-CN"/>
              </w:rPr>
              <w:t>291.27</w:t>
            </w:r>
          </w:p>
        </w:tc>
        <w:tc>
          <w:tcPr>
            <w:tcW w:w="4260" w:type="dxa"/>
            <w:gridSpan w:val="4"/>
            <w:vAlign w:val="center"/>
          </w:tcPr>
          <w:p w14:paraId="4CA2CFAD">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rPr>
              <w:t>按支出性质分：</w:t>
            </w:r>
            <w:r>
              <w:rPr>
                <w:rFonts w:hint="eastAsia" w:ascii="仿宋_GB2312" w:eastAsia="仿宋_GB2312"/>
                <w:kern w:val="0"/>
                <w:lang w:val="en-US" w:eastAsia="zh-CN"/>
              </w:rPr>
              <w:t>291.27</w:t>
            </w:r>
          </w:p>
        </w:tc>
      </w:tr>
      <w:tr w14:paraId="47E41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5C30CA28">
            <w:pPr>
              <w:spacing w:line="240" w:lineRule="auto"/>
              <w:ind w:firstLine="420"/>
              <w:jc w:val="center"/>
              <w:rPr>
                <w:rFonts w:ascii="仿宋_GB2312" w:eastAsia="仿宋_GB2312"/>
                <w:kern w:val="0"/>
              </w:rPr>
            </w:pPr>
          </w:p>
        </w:tc>
        <w:tc>
          <w:tcPr>
            <w:tcW w:w="4645" w:type="dxa"/>
            <w:gridSpan w:val="4"/>
            <w:vAlign w:val="center"/>
          </w:tcPr>
          <w:p w14:paraId="726B353A">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291.27</w:t>
            </w:r>
          </w:p>
        </w:tc>
        <w:tc>
          <w:tcPr>
            <w:tcW w:w="4260" w:type="dxa"/>
            <w:gridSpan w:val="4"/>
            <w:vAlign w:val="center"/>
          </w:tcPr>
          <w:p w14:paraId="1AC37DA0">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271.71</w:t>
            </w:r>
          </w:p>
        </w:tc>
      </w:tr>
      <w:tr w14:paraId="3AB52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04FFAD7B">
            <w:pPr>
              <w:spacing w:line="240" w:lineRule="auto"/>
              <w:ind w:firstLine="420"/>
              <w:jc w:val="center"/>
              <w:rPr>
                <w:rFonts w:ascii="仿宋_GB2312" w:eastAsia="仿宋_GB2312"/>
                <w:kern w:val="0"/>
              </w:rPr>
            </w:pPr>
          </w:p>
        </w:tc>
        <w:tc>
          <w:tcPr>
            <w:tcW w:w="4645" w:type="dxa"/>
            <w:gridSpan w:val="4"/>
            <w:vAlign w:val="center"/>
          </w:tcPr>
          <w:p w14:paraId="56CE30B6">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政府性基金拨款：</w:t>
            </w:r>
          </w:p>
        </w:tc>
        <w:tc>
          <w:tcPr>
            <w:tcW w:w="4260" w:type="dxa"/>
            <w:gridSpan w:val="4"/>
            <w:vAlign w:val="center"/>
          </w:tcPr>
          <w:p w14:paraId="0CD17224">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19.56</w:t>
            </w:r>
          </w:p>
        </w:tc>
      </w:tr>
      <w:tr w14:paraId="72AFD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0AFF13F3">
            <w:pPr>
              <w:spacing w:line="240" w:lineRule="auto"/>
              <w:ind w:firstLine="420"/>
              <w:jc w:val="center"/>
              <w:rPr>
                <w:rFonts w:ascii="仿宋_GB2312" w:eastAsia="仿宋_GB2312"/>
                <w:kern w:val="0"/>
              </w:rPr>
            </w:pPr>
          </w:p>
        </w:tc>
        <w:tc>
          <w:tcPr>
            <w:tcW w:w="4645" w:type="dxa"/>
            <w:gridSpan w:val="4"/>
            <w:vAlign w:val="center"/>
          </w:tcPr>
          <w:p w14:paraId="4210D606">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362A1ED7">
            <w:pPr>
              <w:spacing w:line="240" w:lineRule="auto"/>
              <w:ind w:firstLine="420"/>
              <w:jc w:val="left"/>
              <w:rPr>
                <w:rFonts w:ascii="仿宋_GB2312" w:eastAsia="仿宋_GB2312"/>
                <w:kern w:val="0"/>
                <w:lang w:eastAsia="zh-CN"/>
              </w:rPr>
            </w:pPr>
          </w:p>
        </w:tc>
      </w:tr>
      <w:tr w14:paraId="126D0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6428CA26">
            <w:pPr>
              <w:spacing w:line="240" w:lineRule="auto"/>
              <w:ind w:firstLine="420"/>
              <w:jc w:val="center"/>
              <w:rPr>
                <w:rFonts w:ascii="仿宋_GB2312" w:eastAsia="仿宋_GB2312"/>
                <w:kern w:val="0"/>
                <w:lang w:eastAsia="zh-CN"/>
              </w:rPr>
            </w:pPr>
          </w:p>
        </w:tc>
        <w:tc>
          <w:tcPr>
            <w:tcW w:w="4645" w:type="dxa"/>
            <w:gridSpan w:val="4"/>
            <w:vAlign w:val="center"/>
          </w:tcPr>
          <w:p w14:paraId="1E09242D">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74772B0A">
            <w:pPr>
              <w:spacing w:line="240" w:lineRule="auto"/>
              <w:ind w:firstLine="420"/>
              <w:jc w:val="center"/>
              <w:rPr>
                <w:rFonts w:ascii="仿宋_GB2312" w:eastAsia="仿宋_GB2312"/>
                <w:kern w:val="0"/>
              </w:rPr>
            </w:pPr>
          </w:p>
        </w:tc>
      </w:tr>
      <w:tr w14:paraId="21F2F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7ABB6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5F561A53">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738054A9">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38D62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5FA9745F">
            <w:pPr>
              <w:spacing w:line="240" w:lineRule="auto"/>
              <w:ind w:firstLine="420"/>
              <w:jc w:val="center"/>
              <w:rPr>
                <w:rFonts w:ascii="仿宋_GB2312" w:eastAsia="仿宋_GB2312"/>
                <w:kern w:val="0"/>
              </w:rPr>
            </w:pPr>
          </w:p>
        </w:tc>
        <w:tc>
          <w:tcPr>
            <w:tcW w:w="4645" w:type="dxa"/>
            <w:gridSpan w:val="4"/>
            <w:vAlign w:val="center"/>
          </w:tcPr>
          <w:p w14:paraId="314EF506">
            <w:pPr>
              <w:spacing w:line="240" w:lineRule="auto"/>
              <w:ind w:firstLine="420"/>
              <w:jc w:val="center"/>
              <w:rPr>
                <w:rFonts w:ascii="仿宋_GB2312" w:eastAsia="仿宋_GB2312"/>
                <w:kern w:val="0"/>
              </w:rPr>
            </w:pPr>
            <w:r>
              <w:rPr>
                <w:rFonts w:hint="eastAsia" w:ascii="仿宋_GB2312" w:eastAsia="仿宋_GB2312"/>
                <w:kern w:val="0"/>
              </w:rPr>
              <w:t>完成202</w:t>
            </w:r>
            <w:r>
              <w:rPr>
                <w:rFonts w:hint="eastAsia" w:ascii="仿宋_GB2312" w:eastAsia="仿宋_GB2312"/>
                <w:kern w:val="0"/>
                <w:lang w:val="en-US" w:eastAsia="zh-CN"/>
              </w:rPr>
              <w:t>4</w:t>
            </w:r>
            <w:r>
              <w:rPr>
                <w:rFonts w:hint="eastAsia" w:ascii="仿宋_GB2312" w:eastAsia="仿宋_GB2312"/>
                <w:kern w:val="0"/>
              </w:rPr>
              <w:t>年省、市和市委市政府提出的各项工作任务，做好系统内常规工作，推进全市卫计执法工作健康发展</w:t>
            </w:r>
          </w:p>
        </w:tc>
        <w:tc>
          <w:tcPr>
            <w:tcW w:w="4260" w:type="dxa"/>
            <w:gridSpan w:val="4"/>
            <w:vAlign w:val="center"/>
          </w:tcPr>
          <w:p w14:paraId="4EE26771">
            <w:pPr>
              <w:spacing w:line="240" w:lineRule="auto"/>
              <w:ind w:firstLine="420"/>
              <w:jc w:val="center"/>
              <w:rPr>
                <w:rFonts w:ascii="仿宋_GB2312" w:eastAsia="仿宋_GB2312"/>
                <w:kern w:val="0"/>
              </w:rPr>
            </w:pPr>
            <w:r>
              <w:rPr>
                <w:rFonts w:hint="eastAsia" w:ascii="仿宋_GB2312" w:eastAsia="仿宋_GB2312"/>
                <w:kern w:val="0"/>
              </w:rPr>
              <w:t>按期完成了省、市和市委市政府交办的各项工作任务，无重大医疗事故发生</w:t>
            </w:r>
            <w:r>
              <w:rPr>
                <w:rFonts w:hint="eastAsia" w:ascii="仿宋_GB2312" w:eastAsia="仿宋_GB2312"/>
                <w:kern w:val="0"/>
                <w:lang w:eastAsia="zh-CN"/>
              </w:rPr>
              <w:t>，</w:t>
            </w:r>
            <w:r>
              <w:rPr>
                <w:rFonts w:hint="eastAsia" w:ascii="仿宋_GB2312" w:eastAsia="仿宋_GB2312"/>
                <w:kern w:val="0"/>
              </w:rPr>
              <w:t>卫计执法工作取得了一定成绩，基本满足了人民群众的基本医疗服务。</w:t>
            </w:r>
          </w:p>
        </w:tc>
      </w:tr>
      <w:tr w14:paraId="3D97C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6A19D4E2">
            <w:pPr>
              <w:spacing w:line="240" w:lineRule="auto"/>
              <w:ind w:firstLine="420"/>
              <w:jc w:val="center"/>
              <w:rPr>
                <w:rFonts w:ascii="仿宋_GB2312" w:eastAsia="仿宋_GB2312"/>
                <w:kern w:val="0"/>
              </w:rPr>
            </w:pPr>
          </w:p>
          <w:p w14:paraId="72378717">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395F40FD">
            <w:pPr>
              <w:spacing w:line="240" w:lineRule="auto"/>
              <w:ind w:firstLine="420"/>
              <w:jc w:val="center"/>
              <w:rPr>
                <w:rFonts w:ascii="仿宋_GB2312" w:eastAsia="仿宋_GB2312"/>
                <w:kern w:val="0"/>
              </w:rPr>
            </w:pPr>
          </w:p>
          <w:p w14:paraId="1E28F6B4">
            <w:pPr>
              <w:spacing w:line="240" w:lineRule="auto"/>
              <w:ind w:firstLine="420"/>
              <w:jc w:val="center"/>
              <w:rPr>
                <w:rFonts w:ascii="仿宋_GB2312" w:eastAsia="仿宋_GB2312"/>
                <w:kern w:val="0"/>
              </w:rPr>
            </w:pPr>
          </w:p>
        </w:tc>
        <w:tc>
          <w:tcPr>
            <w:tcW w:w="1069" w:type="dxa"/>
            <w:tcBorders>
              <w:bottom w:val="single" w:color="auto" w:sz="4" w:space="0"/>
            </w:tcBorders>
            <w:vAlign w:val="center"/>
          </w:tcPr>
          <w:p w14:paraId="12C2D8B0">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tcBorders>
              <w:bottom w:val="single" w:color="auto" w:sz="4" w:space="0"/>
            </w:tcBorders>
            <w:vAlign w:val="center"/>
          </w:tcPr>
          <w:p w14:paraId="41049901">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tcBorders>
              <w:bottom w:val="single" w:color="auto" w:sz="4" w:space="0"/>
            </w:tcBorders>
            <w:vAlign w:val="center"/>
          </w:tcPr>
          <w:p w14:paraId="17338E23">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18E0885C">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B744B18">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7B0FD504">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261CC3B5">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6FFFE7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4CCCF7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04D8F624">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5E2A9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03BCC22A">
            <w:pPr>
              <w:spacing w:line="240" w:lineRule="auto"/>
              <w:ind w:firstLine="420"/>
              <w:jc w:val="center"/>
              <w:rPr>
                <w:rFonts w:ascii="仿宋_GB2312" w:eastAsia="仿宋_GB2312"/>
                <w:kern w:val="0"/>
                <w:lang w:eastAsia="zh-CN"/>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7831EE15">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4BD36B2C">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029" w:type="dxa"/>
            <w:vMerge w:val="restart"/>
            <w:tcBorders>
              <w:top w:val="single" w:color="auto" w:sz="4" w:space="0"/>
              <w:left w:val="single" w:color="auto" w:sz="4" w:space="0"/>
              <w:bottom w:val="single" w:color="auto" w:sz="4" w:space="0"/>
              <w:right w:val="single" w:color="auto" w:sz="4" w:space="0"/>
            </w:tcBorders>
            <w:vAlign w:val="center"/>
          </w:tcPr>
          <w:p w14:paraId="0211ED0F">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249" w:type="dxa"/>
            <w:tcBorders>
              <w:top w:val="single" w:color="auto" w:sz="4" w:space="0"/>
              <w:left w:val="single" w:color="auto" w:sz="4" w:space="0"/>
              <w:bottom w:val="single" w:color="auto" w:sz="4" w:space="0"/>
              <w:right w:val="single" w:color="auto" w:sz="4" w:space="0"/>
            </w:tcBorders>
            <w:vAlign w:val="center"/>
          </w:tcPr>
          <w:p w14:paraId="206B6474">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医疗职业卫生监督执法</w:t>
            </w:r>
          </w:p>
        </w:tc>
        <w:tc>
          <w:tcPr>
            <w:tcW w:w="1298" w:type="dxa"/>
            <w:tcBorders>
              <w:left w:val="single" w:color="auto" w:sz="4" w:space="0"/>
            </w:tcBorders>
            <w:vAlign w:val="center"/>
          </w:tcPr>
          <w:p w14:paraId="5FB10D3B">
            <w:pPr>
              <w:pStyle w:val="9"/>
              <w:spacing w:line="240" w:lineRule="auto"/>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502</w:t>
            </w:r>
          </w:p>
        </w:tc>
        <w:tc>
          <w:tcPr>
            <w:tcW w:w="1269" w:type="dxa"/>
            <w:vAlign w:val="center"/>
          </w:tcPr>
          <w:p w14:paraId="0844D109">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502家</w:t>
            </w:r>
          </w:p>
        </w:tc>
        <w:tc>
          <w:tcPr>
            <w:tcW w:w="699" w:type="dxa"/>
            <w:vMerge w:val="restart"/>
            <w:vAlign w:val="center"/>
          </w:tcPr>
          <w:p w14:paraId="3DC925F0">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lang w:val="en-US" w:eastAsia="zh-CN"/>
              </w:rPr>
            </w:pPr>
          </w:p>
          <w:p w14:paraId="732EE41C">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p w14:paraId="0B149BA7">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p w14:paraId="582438BF">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restart"/>
            <w:vAlign w:val="center"/>
          </w:tcPr>
          <w:p w14:paraId="283722FE">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lang w:val="en-US" w:eastAsia="zh-CN"/>
              </w:rPr>
            </w:pPr>
          </w:p>
          <w:p w14:paraId="1CFE288E">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p w14:paraId="4FECC09C">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p w14:paraId="5C21DACA">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tc>
        <w:tc>
          <w:tcPr>
            <w:tcW w:w="1423" w:type="dxa"/>
            <w:vAlign w:val="center"/>
          </w:tcPr>
          <w:p w14:paraId="459A4772">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无</w:t>
            </w:r>
          </w:p>
        </w:tc>
      </w:tr>
      <w:tr w14:paraId="2D75E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4A89D44A">
            <w:pPr>
              <w:spacing w:line="240" w:lineRule="auto"/>
              <w:ind w:firstLine="420"/>
              <w:jc w:val="center"/>
              <w:rPr>
                <w:rFonts w:ascii="仿宋_GB2312" w:eastAsia="仿宋_GB2312"/>
                <w:kern w:val="0"/>
                <w:lang w:eastAsia="zh-CN"/>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3008636">
            <w:pPr>
              <w:spacing w:line="240" w:lineRule="auto"/>
              <w:jc w:val="center"/>
              <w:rPr>
                <w:rFonts w:hint="eastAsia" w:ascii="仿宋" w:hAnsi="仿宋" w:eastAsia="仿宋" w:cs="仿宋"/>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0FE8158B">
            <w:pPr>
              <w:spacing w:line="240" w:lineRule="auto"/>
              <w:jc w:val="center"/>
              <w:rPr>
                <w:rFonts w:hint="eastAsia" w:ascii="仿宋" w:hAnsi="仿宋" w:eastAsia="仿宋" w:cs="仿宋"/>
                <w:kern w:val="0"/>
              </w:rPr>
            </w:pPr>
          </w:p>
        </w:tc>
        <w:tc>
          <w:tcPr>
            <w:tcW w:w="1249" w:type="dxa"/>
            <w:tcBorders>
              <w:top w:val="single" w:color="auto" w:sz="4" w:space="0"/>
              <w:left w:val="single" w:color="auto" w:sz="4" w:space="0"/>
              <w:bottom w:val="single" w:color="auto" w:sz="4" w:space="0"/>
              <w:right w:val="single" w:color="auto" w:sz="4" w:space="0"/>
            </w:tcBorders>
            <w:vAlign w:val="center"/>
          </w:tcPr>
          <w:p w14:paraId="251D7BEF">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公共卫生监督执法</w:t>
            </w:r>
          </w:p>
        </w:tc>
        <w:tc>
          <w:tcPr>
            <w:tcW w:w="1298" w:type="dxa"/>
            <w:tcBorders>
              <w:left w:val="single" w:color="auto" w:sz="4" w:space="0"/>
            </w:tcBorders>
            <w:vAlign w:val="center"/>
          </w:tcPr>
          <w:p w14:paraId="34F2E57B">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553家</w:t>
            </w:r>
          </w:p>
        </w:tc>
        <w:tc>
          <w:tcPr>
            <w:tcW w:w="1269" w:type="dxa"/>
            <w:vAlign w:val="center"/>
          </w:tcPr>
          <w:p w14:paraId="535F5479">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553家</w:t>
            </w:r>
          </w:p>
        </w:tc>
        <w:tc>
          <w:tcPr>
            <w:tcW w:w="699" w:type="dxa"/>
            <w:vMerge w:val="continue"/>
            <w:vAlign w:val="center"/>
          </w:tcPr>
          <w:p w14:paraId="5C32D956">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continue"/>
            <w:vAlign w:val="center"/>
          </w:tcPr>
          <w:p w14:paraId="1ADF5DC4">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tc>
        <w:tc>
          <w:tcPr>
            <w:tcW w:w="1423" w:type="dxa"/>
            <w:vAlign w:val="center"/>
          </w:tcPr>
          <w:p w14:paraId="0FE10DC6">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59077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04B0BB92">
            <w:pPr>
              <w:spacing w:line="240" w:lineRule="auto"/>
              <w:ind w:firstLine="420"/>
              <w:jc w:val="center"/>
              <w:rPr>
                <w:rFonts w:ascii="仿宋_GB2312" w:eastAsia="仿宋_GB2312"/>
                <w:kern w:val="0"/>
                <w:lang w:eastAsia="zh-CN"/>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2A270C0B">
            <w:pPr>
              <w:spacing w:line="240" w:lineRule="auto"/>
              <w:jc w:val="center"/>
              <w:rPr>
                <w:rFonts w:hint="eastAsia" w:ascii="仿宋" w:hAnsi="仿宋" w:eastAsia="仿宋" w:cs="仿宋"/>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5A76E407">
            <w:pPr>
              <w:spacing w:line="240" w:lineRule="auto"/>
              <w:jc w:val="center"/>
              <w:rPr>
                <w:rFonts w:hint="eastAsia" w:ascii="仿宋" w:hAnsi="仿宋" w:eastAsia="仿宋" w:cs="仿宋"/>
                <w:kern w:val="0"/>
              </w:rPr>
            </w:pPr>
          </w:p>
        </w:tc>
        <w:tc>
          <w:tcPr>
            <w:tcW w:w="1249" w:type="dxa"/>
            <w:tcBorders>
              <w:top w:val="single" w:color="auto" w:sz="4" w:space="0"/>
              <w:left w:val="single" w:color="auto" w:sz="4" w:space="0"/>
              <w:bottom w:val="single" w:color="auto" w:sz="4" w:space="0"/>
              <w:right w:val="single" w:color="auto" w:sz="4" w:space="0"/>
            </w:tcBorders>
            <w:vAlign w:val="center"/>
          </w:tcPr>
          <w:p w14:paraId="49495CB4">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职业健康卫生监督检查</w:t>
            </w:r>
          </w:p>
        </w:tc>
        <w:tc>
          <w:tcPr>
            <w:tcW w:w="1298" w:type="dxa"/>
            <w:tcBorders>
              <w:left w:val="single" w:color="auto" w:sz="4" w:space="0"/>
            </w:tcBorders>
            <w:vAlign w:val="center"/>
          </w:tcPr>
          <w:p w14:paraId="13529590">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400家</w:t>
            </w:r>
          </w:p>
        </w:tc>
        <w:tc>
          <w:tcPr>
            <w:tcW w:w="1269" w:type="dxa"/>
            <w:vAlign w:val="center"/>
          </w:tcPr>
          <w:p w14:paraId="064840C4">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400家</w:t>
            </w:r>
          </w:p>
        </w:tc>
        <w:tc>
          <w:tcPr>
            <w:tcW w:w="699" w:type="dxa"/>
            <w:vMerge w:val="continue"/>
            <w:vAlign w:val="center"/>
          </w:tcPr>
          <w:p w14:paraId="746461D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continue"/>
            <w:vAlign w:val="center"/>
          </w:tcPr>
          <w:p w14:paraId="325C5699">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tc>
        <w:tc>
          <w:tcPr>
            <w:tcW w:w="1423" w:type="dxa"/>
            <w:vAlign w:val="center"/>
          </w:tcPr>
          <w:p w14:paraId="42C65074">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5CF9A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right w:val="single" w:color="auto" w:sz="4" w:space="0"/>
            </w:tcBorders>
            <w:textDirection w:val="tbRlV"/>
            <w:vAlign w:val="center"/>
          </w:tcPr>
          <w:p w14:paraId="74725889">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3BD3115E">
            <w:pPr>
              <w:spacing w:line="240" w:lineRule="auto"/>
              <w:ind w:firstLine="420"/>
              <w:jc w:val="center"/>
              <w:rPr>
                <w:rFonts w:hint="eastAsia" w:ascii="仿宋" w:hAnsi="仿宋" w:eastAsia="仿宋" w:cs="仿宋"/>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2521AE80">
            <w:pPr>
              <w:spacing w:line="240" w:lineRule="auto"/>
              <w:ind w:firstLine="420"/>
              <w:jc w:val="center"/>
              <w:rPr>
                <w:rFonts w:hint="eastAsia" w:ascii="仿宋" w:hAnsi="仿宋" w:eastAsia="仿宋" w:cs="仿宋"/>
                <w:kern w:val="0"/>
              </w:rPr>
            </w:pPr>
          </w:p>
        </w:tc>
        <w:tc>
          <w:tcPr>
            <w:tcW w:w="1249" w:type="dxa"/>
            <w:tcBorders>
              <w:top w:val="single" w:color="auto" w:sz="4" w:space="0"/>
              <w:left w:val="single" w:color="auto" w:sz="4" w:space="0"/>
              <w:bottom w:val="single" w:color="auto" w:sz="4" w:space="0"/>
              <w:right w:val="single" w:color="auto" w:sz="4" w:space="0"/>
            </w:tcBorders>
            <w:vAlign w:val="center"/>
          </w:tcPr>
          <w:p w14:paraId="515E0CF9">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饮用水和学校卫生监督执法</w:t>
            </w:r>
          </w:p>
        </w:tc>
        <w:tc>
          <w:tcPr>
            <w:tcW w:w="1298" w:type="dxa"/>
            <w:tcBorders>
              <w:left w:val="single" w:color="auto" w:sz="4" w:space="0"/>
            </w:tcBorders>
            <w:vAlign w:val="center"/>
          </w:tcPr>
          <w:p w14:paraId="643B4912">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216家</w:t>
            </w:r>
          </w:p>
        </w:tc>
        <w:tc>
          <w:tcPr>
            <w:tcW w:w="1269" w:type="dxa"/>
            <w:vAlign w:val="center"/>
          </w:tcPr>
          <w:p w14:paraId="210EFCB7">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216家</w:t>
            </w:r>
          </w:p>
        </w:tc>
        <w:tc>
          <w:tcPr>
            <w:tcW w:w="699" w:type="dxa"/>
            <w:vMerge w:val="continue"/>
            <w:vAlign w:val="center"/>
          </w:tcPr>
          <w:p w14:paraId="1698DB99">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continue"/>
            <w:vAlign w:val="center"/>
          </w:tcPr>
          <w:p w14:paraId="7B426809">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tc>
        <w:tc>
          <w:tcPr>
            <w:tcW w:w="1423" w:type="dxa"/>
            <w:vAlign w:val="center"/>
          </w:tcPr>
          <w:p w14:paraId="3AB5F080">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4BEB4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6021935F">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022313BA">
            <w:pPr>
              <w:spacing w:line="240" w:lineRule="auto"/>
              <w:ind w:firstLine="420"/>
              <w:jc w:val="center"/>
              <w:rPr>
                <w:rFonts w:hint="eastAsia" w:ascii="仿宋" w:hAnsi="仿宋" w:eastAsia="仿宋" w:cs="仿宋"/>
                <w:kern w:val="0"/>
              </w:rPr>
            </w:pPr>
          </w:p>
        </w:tc>
        <w:tc>
          <w:tcPr>
            <w:tcW w:w="1029" w:type="dxa"/>
            <w:vMerge w:val="restart"/>
            <w:tcBorders>
              <w:top w:val="single" w:color="auto" w:sz="4" w:space="0"/>
              <w:left w:val="single" w:color="auto" w:sz="4" w:space="0"/>
              <w:bottom w:val="single" w:color="auto" w:sz="4" w:space="0"/>
              <w:right w:val="single" w:color="auto" w:sz="4" w:space="0"/>
            </w:tcBorders>
            <w:vAlign w:val="center"/>
          </w:tcPr>
          <w:p w14:paraId="07A3F96E">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249" w:type="dxa"/>
            <w:tcBorders>
              <w:top w:val="single" w:color="auto" w:sz="4" w:space="0"/>
              <w:left w:val="single" w:color="auto" w:sz="4" w:space="0"/>
              <w:bottom w:val="single" w:color="auto" w:sz="4" w:space="0"/>
              <w:right w:val="single" w:color="auto" w:sz="4" w:space="0"/>
            </w:tcBorders>
            <w:vAlign w:val="center"/>
          </w:tcPr>
          <w:p w14:paraId="3CAC650A">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医疗职业卫生监督执法</w:t>
            </w:r>
          </w:p>
        </w:tc>
        <w:tc>
          <w:tcPr>
            <w:tcW w:w="1298" w:type="dxa"/>
            <w:tcBorders>
              <w:left w:val="single" w:color="auto" w:sz="4" w:space="0"/>
            </w:tcBorders>
            <w:vAlign w:val="center"/>
          </w:tcPr>
          <w:p w14:paraId="0EF380FE">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全覆盖</w:t>
            </w:r>
          </w:p>
        </w:tc>
        <w:tc>
          <w:tcPr>
            <w:tcW w:w="1269" w:type="dxa"/>
            <w:vAlign w:val="center"/>
          </w:tcPr>
          <w:p w14:paraId="6FAAADD0">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按年初要求全部完成任务</w:t>
            </w:r>
          </w:p>
        </w:tc>
        <w:tc>
          <w:tcPr>
            <w:tcW w:w="699" w:type="dxa"/>
            <w:vMerge w:val="restart"/>
            <w:vAlign w:val="center"/>
          </w:tcPr>
          <w:p w14:paraId="5A045C5A">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lang w:val="en-US" w:eastAsia="zh-CN"/>
              </w:rPr>
            </w:pPr>
          </w:p>
          <w:p w14:paraId="2ED20B8E">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p w14:paraId="45D69D43">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p w14:paraId="2C9630E7">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p w14:paraId="13ECFE57">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restart"/>
            <w:vAlign w:val="center"/>
          </w:tcPr>
          <w:p w14:paraId="42C736F9">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lang w:val="en-US" w:eastAsia="zh-CN"/>
              </w:rPr>
            </w:pPr>
          </w:p>
          <w:p w14:paraId="469A54F3">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p w14:paraId="4182B295">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p w14:paraId="0213E6F6">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p w14:paraId="0A8B992C">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tc>
        <w:tc>
          <w:tcPr>
            <w:tcW w:w="1423" w:type="dxa"/>
            <w:vAlign w:val="center"/>
          </w:tcPr>
          <w:p w14:paraId="1EE8642E">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7B535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right w:val="single" w:color="auto" w:sz="4" w:space="0"/>
            </w:tcBorders>
            <w:textDirection w:val="tbRlV"/>
            <w:vAlign w:val="center"/>
          </w:tcPr>
          <w:p w14:paraId="31D71C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eastAsia="zh-CN"/>
              </w:rPr>
              <w:t xml:space="preserve"> </w:t>
            </w:r>
            <w:r>
              <w:rPr>
                <w:rFonts w:hint="eastAsia" w:ascii="仿宋_GB2312" w:eastAsia="仿宋_GB2312"/>
                <w:kern w:val="0"/>
                <w:lang w:val="en-US" w:eastAsia="zh-CN"/>
              </w:rPr>
              <w:t xml:space="preserve">  </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F0A9DD0">
            <w:pPr>
              <w:spacing w:line="240" w:lineRule="auto"/>
              <w:ind w:firstLine="420"/>
              <w:jc w:val="center"/>
              <w:rPr>
                <w:rFonts w:hint="eastAsia" w:ascii="仿宋" w:hAnsi="仿宋" w:eastAsia="仿宋" w:cs="仿宋"/>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35756835">
            <w:pPr>
              <w:spacing w:line="240" w:lineRule="auto"/>
              <w:jc w:val="center"/>
              <w:rPr>
                <w:rFonts w:hint="eastAsia" w:ascii="仿宋" w:hAnsi="仿宋" w:eastAsia="仿宋" w:cs="仿宋"/>
                <w:kern w:val="0"/>
              </w:rPr>
            </w:pPr>
          </w:p>
        </w:tc>
        <w:tc>
          <w:tcPr>
            <w:tcW w:w="1249" w:type="dxa"/>
            <w:tcBorders>
              <w:top w:val="single" w:color="auto" w:sz="4" w:space="0"/>
              <w:left w:val="single" w:color="auto" w:sz="4" w:space="0"/>
              <w:bottom w:val="single" w:color="auto" w:sz="4" w:space="0"/>
              <w:right w:val="single" w:color="auto" w:sz="4" w:space="0"/>
            </w:tcBorders>
            <w:vAlign w:val="center"/>
          </w:tcPr>
          <w:p w14:paraId="5096B713">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公共卫生监督执法</w:t>
            </w:r>
          </w:p>
        </w:tc>
        <w:tc>
          <w:tcPr>
            <w:tcW w:w="1298" w:type="dxa"/>
            <w:tcBorders>
              <w:left w:val="single" w:color="auto" w:sz="4" w:space="0"/>
            </w:tcBorders>
            <w:vAlign w:val="center"/>
          </w:tcPr>
          <w:p w14:paraId="144A62B6">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全覆盖</w:t>
            </w:r>
          </w:p>
        </w:tc>
        <w:tc>
          <w:tcPr>
            <w:tcW w:w="1269" w:type="dxa"/>
            <w:vAlign w:val="center"/>
          </w:tcPr>
          <w:p w14:paraId="121F42E9">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按年初要求全部完成任务</w:t>
            </w:r>
          </w:p>
        </w:tc>
        <w:tc>
          <w:tcPr>
            <w:tcW w:w="699" w:type="dxa"/>
            <w:vMerge w:val="continue"/>
            <w:vAlign w:val="center"/>
          </w:tcPr>
          <w:p w14:paraId="0BE5D6EA">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continue"/>
            <w:vAlign w:val="center"/>
          </w:tcPr>
          <w:p w14:paraId="52765D9F">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tc>
        <w:tc>
          <w:tcPr>
            <w:tcW w:w="1423" w:type="dxa"/>
            <w:vAlign w:val="center"/>
          </w:tcPr>
          <w:p w14:paraId="116661CC">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2D111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right w:val="single" w:color="auto" w:sz="4" w:space="0"/>
            </w:tcBorders>
            <w:textDirection w:val="tbRlV"/>
            <w:vAlign w:val="center"/>
          </w:tcPr>
          <w:p w14:paraId="6FE9F38E">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546ABFF6">
            <w:pPr>
              <w:spacing w:line="240" w:lineRule="auto"/>
              <w:ind w:firstLine="420"/>
              <w:jc w:val="center"/>
              <w:rPr>
                <w:rFonts w:hint="eastAsia" w:ascii="仿宋" w:hAnsi="仿宋" w:eastAsia="仿宋" w:cs="仿宋"/>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25F06493">
            <w:pPr>
              <w:spacing w:line="240" w:lineRule="auto"/>
              <w:jc w:val="center"/>
              <w:rPr>
                <w:rFonts w:hint="eastAsia" w:ascii="仿宋" w:hAnsi="仿宋" w:eastAsia="仿宋" w:cs="仿宋"/>
                <w:kern w:val="0"/>
              </w:rPr>
            </w:pPr>
          </w:p>
        </w:tc>
        <w:tc>
          <w:tcPr>
            <w:tcW w:w="1249" w:type="dxa"/>
            <w:tcBorders>
              <w:top w:val="single" w:color="auto" w:sz="4" w:space="0"/>
              <w:left w:val="single" w:color="auto" w:sz="4" w:space="0"/>
              <w:bottom w:val="single" w:color="auto" w:sz="4" w:space="0"/>
              <w:right w:val="single" w:color="auto" w:sz="4" w:space="0"/>
            </w:tcBorders>
            <w:vAlign w:val="center"/>
          </w:tcPr>
          <w:p w14:paraId="5FA7EA8B">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职业健康卫生监督检查</w:t>
            </w:r>
          </w:p>
        </w:tc>
        <w:tc>
          <w:tcPr>
            <w:tcW w:w="1298" w:type="dxa"/>
            <w:tcBorders>
              <w:left w:val="single" w:color="auto" w:sz="4" w:space="0"/>
            </w:tcBorders>
            <w:vAlign w:val="center"/>
          </w:tcPr>
          <w:p w14:paraId="1F9F820E">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全覆盖</w:t>
            </w:r>
          </w:p>
        </w:tc>
        <w:tc>
          <w:tcPr>
            <w:tcW w:w="1269" w:type="dxa"/>
            <w:vAlign w:val="center"/>
          </w:tcPr>
          <w:p w14:paraId="6E1A33CC">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按年初要求全部完成任务</w:t>
            </w:r>
          </w:p>
        </w:tc>
        <w:tc>
          <w:tcPr>
            <w:tcW w:w="699" w:type="dxa"/>
            <w:vMerge w:val="continue"/>
            <w:vAlign w:val="center"/>
          </w:tcPr>
          <w:p w14:paraId="4160812D">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continue"/>
            <w:vAlign w:val="center"/>
          </w:tcPr>
          <w:p w14:paraId="257375EA">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tc>
        <w:tc>
          <w:tcPr>
            <w:tcW w:w="1423" w:type="dxa"/>
            <w:vAlign w:val="center"/>
          </w:tcPr>
          <w:p w14:paraId="6C98F50E">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34C1E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right w:val="single" w:color="auto" w:sz="4" w:space="0"/>
            </w:tcBorders>
            <w:textDirection w:val="tbRlV"/>
            <w:vAlign w:val="center"/>
          </w:tcPr>
          <w:p w14:paraId="5FD63A74">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29FC7D9E">
            <w:pPr>
              <w:spacing w:line="240" w:lineRule="auto"/>
              <w:ind w:firstLine="420"/>
              <w:jc w:val="center"/>
              <w:rPr>
                <w:rFonts w:hint="eastAsia" w:ascii="仿宋" w:hAnsi="仿宋" w:eastAsia="仿宋" w:cs="仿宋"/>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4049072B">
            <w:pPr>
              <w:spacing w:line="240" w:lineRule="auto"/>
              <w:jc w:val="center"/>
              <w:rPr>
                <w:rFonts w:hint="eastAsia" w:ascii="仿宋" w:hAnsi="仿宋" w:eastAsia="仿宋" w:cs="仿宋"/>
                <w:kern w:val="0"/>
              </w:rPr>
            </w:pPr>
          </w:p>
        </w:tc>
        <w:tc>
          <w:tcPr>
            <w:tcW w:w="1249" w:type="dxa"/>
            <w:tcBorders>
              <w:top w:val="single" w:color="auto" w:sz="4" w:space="0"/>
              <w:left w:val="single" w:color="auto" w:sz="4" w:space="0"/>
              <w:bottom w:val="single" w:color="auto" w:sz="4" w:space="0"/>
              <w:right w:val="single" w:color="auto" w:sz="4" w:space="0"/>
            </w:tcBorders>
            <w:vAlign w:val="center"/>
          </w:tcPr>
          <w:p w14:paraId="42C1EE6F">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饮用水和学校卫生监督执法</w:t>
            </w:r>
          </w:p>
        </w:tc>
        <w:tc>
          <w:tcPr>
            <w:tcW w:w="1298" w:type="dxa"/>
            <w:tcBorders>
              <w:left w:val="single" w:color="auto" w:sz="4" w:space="0"/>
            </w:tcBorders>
            <w:vAlign w:val="center"/>
          </w:tcPr>
          <w:p w14:paraId="1E94309E">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全覆盖</w:t>
            </w:r>
          </w:p>
        </w:tc>
        <w:tc>
          <w:tcPr>
            <w:tcW w:w="1269" w:type="dxa"/>
            <w:vAlign w:val="center"/>
          </w:tcPr>
          <w:p w14:paraId="0BC07B31">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按年初要求全部完成任务</w:t>
            </w:r>
          </w:p>
        </w:tc>
        <w:tc>
          <w:tcPr>
            <w:tcW w:w="699" w:type="dxa"/>
            <w:vMerge w:val="continue"/>
            <w:vAlign w:val="center"/>
          </w:tcPr>
          <w:p w14:paraId="59BEF7D8">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continue"/>
            <w:vAlign w:val="center"/>
          </w:tcPr>
          <w:p w14:paraId="20406F25">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en-US" w:bidi="ar-SA"/>
              </w:rPr>
            </w:pPr>
          </w:p>
        </w:tc>
        <w:tc>
          <w:tcPr>
            <w:tcW w:w="1423" w:type="dxa"/>
            <w:vAlign w:val="center"/>
          </w:tcPr>
          <w:p w14:paraId="07447529">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3F6C5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74" w:type="dxa"/>
            <w:vMerge w:val="continue"/>
            <w:tcBorders>
              <w:right w:val="single" w:color="auto" w:sz="4" w:space="0"/>
            </w:tcBorders>
            <w:textDirection w:val="tbRlV"/>
            <w:vAlign w:val="center"/>
          </w:tcPr>
          <w:p w14:paraId="1DADAF67">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5FD3F562">
            <w:pPr>
              <w:spacing w:line="240" w:lineRule="auto"/>
              <w:ind w:firstLine="420"/>
              <w:jc w:val="center"/>
              <w:rPr>
                <w:rFonts w:hint="eastAsia" w:ascii="仿宋" w:hAnsi="仿宋" w:eastAsia="仿宋" w:cs="仿宋"/>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4E671E1E">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249" w:type="dxa"/>
            <w:tcBorders>
              <w:top w:val="single" w:color="auto" w:sz="4" w:space="0"/>
              <w:left w:val="single" w:color="auto" w:sz="4" w:space="0"/>
            </w:tcBorders>
            <w:vAlign w:val="center"/>
          </w:tcPr>
          <w:p w14:paraId="5DD0034C">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监督执法</w:t>
            </w:r>
          </w:p>
        </w:tc>
        <w:tc>
          <w:tcPr>
            <w:tcW w:w="1298" w:type="dxa"/>
            <w:vAlign w:val="center"/>
          </w:tcPr>
          <w:p w14:paraId="0DE6FAF5">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年内完成</w:t>
            </w:r>
          </w:p>
        </w:tc>
        <w:tc>
          <w:tcPr>
            <w:tcW w:w="1269" w:type="dxa"/>
            <w:vAlign w:val="center"/>
          </w:tcPr>
          <w:p w14:paraId="40C07034">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及时完成</w:t>
            </w:r>
          </w:p>
        </w:tc>
        <w:tc>
          <w:tcPr>
            <w:tcW w:w="699" w:type="dxa"/>
            <w:vAlign w:val="center"/>
          </w:tcPr>
          <w:p w14:paraId="6D770C07">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tc>
        <w:tc>
          <w:tcPr>
            <w:tcW w:w="869" w:type="dxa"/>
            <w:vAlign w:val="center"/>
          </w:tcPr>
          <w:p w14:paraId="4DBDC035">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tc>
        <w:tc>
          <w:tcPr>
            <w:tcW w:w="1423" w:type="dxa"/>
            <w:vAlign w:val="center"/>
          </w:tcPr>
          <w:p w14:paraId="1FDFC322">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51012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cBorders>
              <w:right w:val="single" w:color="auto" w:sz="4" w:space="0"/>
            </w:tcBorders>
            <w:textDirection w:val="tbRlV"/>
            <w:vAlign w:val="center"/>
          </w:tcPr>
          <w:p w14:paraId="366332D1">
            <w:pPr>
              <w:spacing w:line="240" w:lineRule="auto"/>
              <w:ind w:firstLine="42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5C01B43E">
            <w:pPr>
              <w:spacing w:line="240" w:lineRule="auto"/>
              <w:jc w:val="center"/>
              <w:rPr>
                <w:rFonts w:hint="eastAsia" w:ascii="仿宋" w:hAnsi="仿宋" w:eastAsia="仿宋" w:cs="仿宋"/>
                <w:kern w:val="0"/>
              </w:rPr>
            </w:pPr>
            <w:r>
              <w:rPr>
                <w:rFonts w:hint="eastAsia" w:ascii="仿宋" w:hAnsi="仿宋" w:eastAsia="仿宋" w:cs="仿宋"/>
                <w:kern w:val="0"/>
              </w:rPr>
              <w:t>效益指标(30分)</w:t>
            </w:r>
          </w:p>
        </w:tc>
        <w:tc>
          <w:tcPr>
            <w:tcW w:w="1029" w:type="dxa"/>
            <w:tcBorders>
              <w:top w:val="single" w:color="auto" w:sz="4" w:space="0"/>
              <w:left w:val="single" w:color="auto" w:sz="4" w:space="0"/>
              <w:bottom w:val="single" w:color="auto" w:sz="4" w:space="0"/>
              <w:right w:val="single" w:color="auto" w:sz="4" w:space="0"/>
            </w:tcBorders>
            <w:vAlign w:val="center"/>
          </w:tcPr>
          <w:p w14:paraId="2B1563C3">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249" w:type="dxa"/>
            <w:tcBorders>
              <w:left w:val="single" w:color="auto" w:sz="4" w:space="0"/>
            </w:tcBorders>
            <w:vAlign w:val="center"/>
          </w:tcPr>
          <w:p w14:paraId="6835A5C8">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减轻群众负担</w:t>
            </w:r>
          </w:p>
        </w:tc>
        <w:tc>
          <w:tcPr>
            <w:tcW w:w="1298" w:type="dxa"/>
            <w:vAlign w:val="center"/>
          </w:tcPr>
          <w:p w14:paraId="4E329322">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100%</w:t>
            </w:r>
          </w:p>
        </w:tc>
        <w:tc>
          <w:tcPr>
            <w:tcW w:w="1269" w:type="dxa"/>
            <w:vAlign w:val="center"/>
          </w:tcPr>
          <w:p w14:paraId="00B9CDC1">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100%</w:t>
            </w:r>
          </w:p>
        </w:tc>
        <w:tc>
          <w:tcPr>
            <w:tcW w:w="699" w:type="dxa"/>
            <w:vAlign w:val="center"/>
          </w:tcPr>
          <w:p w14:paraId="1AAE9294">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7.5</w:t>
            </w:r>
          </w:p>
        </w:tc>
        <w:tc>
          <w:tcPr>
            <w:tcW w:w="869" w:type="dxa"/>
            <w:vAlign w:val="center"/>
          </w:tcPr>
          <w:p w14:paraId="55E89D71">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7.5</w:t>
            </w:r>
          </w:p>
        </w:tc>
        <w:tc>
          <w:tcPr>
            <w:tcW w:w="1423" w:type="dxa"/>
            <w:vAlign w:val="center"/>
          </w:tcPr>
          <w:p w14:paraId="569037D8">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逐步提高</w:t>
            </w:r>
          </w:p>
        </w:tc>
      </w:tr>
      <w:tr w14:paraId="1667C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cBorders>
              <w:right w:val="single" w:color="auto" w:sz="4" w:space="0"/>
            </w:tcBorders>
            <w:textDirection w:val="tbRlV"/>
            <w:vAlign w:val="center"/>
          </w:tcPr>
          <w:p w14:paraId="7BD98B7F">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nil"/>
            </w:tcBorders>
            <w:vAlign w:val="center"/>
          </w:tcPr>
          <w:p w14:paraId="1D2CE886">
            <w:pPr>
              <w:spacing w:line="240" w:lineRule="auto"/>
              <w:ind w:firstLine="420"/>
              <w:jc w:val="center"/>
              <w:rPr>
                <w:rFonts w:hint="eastAsia" w:ascii="仿宋" w:hAnsi="仿宋" w:eastAsia="仿宋" w:cs="仿宋"/>
                <w:kern w:val="0"/>
              </w:rPr>
            </w:pPr>
          </w:p>
        </w:tc>
        <w:tc>
          <w:tcPr>
            <w:tcW w:w="1029" w:type="dxa"/>
            <w:tcBorders>
              <w:top w:val="single" w:color="auto" w:sz="4" w:space="0"/>
              <w:bottom w:val="nil"/>
            </w:tcBorders>
            <w:vAlign w:val="center"/>
          </w:tcPr>
          <w:p w14:paraId="1096A5EB">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249" w:type="dxa"/>
            <w:vAlign w:val="center"/>
          </w:tcPr>
          <w:p w14:paraId="24E6833A">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优化卫计监督执法工作</w:t>
            </w:r>
          </w:p>
        </w:tc>
        <w:tc>
          <w:tcPr>
            <w:tcW w:w="1298" w:type="dxa"/>
            <w:vAlign w:val="center"/>
          </w:tcPr>
          <w:p w14:paraId="6881D960">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100%</w:t>
            </w:r>
          </w:p>
        </w:tc>
        <w:tc>
          <w:tcPr>
            <w:tcW w:w="1269" w:type="dxa"/>
            <w:vAlign w:val="center"/>
          </w:tcPr>
          <w:p w14:paraId="1DAAB349">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100%</w:t>
            </w:r>
          </w:p>
        </w:tc>
        <w:tc>
          <w:tcPr>
            <w:tcW w:w="699" w:type="dxa"/>
            <w:vAlign w:val="center"/>
          </w:tcPr>
          <w:p w14:paraId="605C201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7.5</w:t>
            </w:r>
          </w:p>
        </w:tc>
        <w:tc>
          <w:tcPr>
            <w:tcW w:w="869" w:type="dxa"/>
            <w:vAlign w:val="center"/>
          </w:tcPr>
          <w:p w14:paraId="6CF93CA7">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7.5</w:t>
            </w:r>
          </w:p>
        </w:tc>
        <w:tc>
          <w:tcPr>
            <w:tcW w:w="1423" w:type="dxa"/>
            <w:vAlign w:val="center"/>
          </w:tcPr>
          <w:p w14:paraId="7FBC90BE">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逐步优化</w:t>
            </w:r>
          </w:p>
        </w:tc>
      </w:tr>
      <w:tr w14:paraId="1CB62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cBorders>
              <w:right w:val="single" w:color="auto" w:sz="4" w:space="0"/>
            </w:tcBorders>
            <w:textDirection w:val="tbRlV"/>
            <w:vAlign w:val="center"/>
          </w:tcPr>
          <w:p w14:paraId="4AE9FEBD">
            <w:pPr>
              <w:spacing w:line="240" w:lineRule="auto"/>
              <w:ind w:firstLine="420"/>
              <w:jc w:val="center"/>
              <w:rPr>
                <w:rFonts w:ascii="仿宋_GB2312" w:eastAsia="仿宋_GB2312"/>
                <w:kern w:val="0"/>
              </w:rPr>
            </w:pPr>
          </w:p>
        </w:tc>
        <w:tc>
          <w:tcPr>
            <w:tcW w:w="1069" w:type="dxa"/>
            <w:vMerge w:val="continue"/>
            <w:tcBorders>
              <w:top w:val="nil"/>
              <w:left w:val="single" w:color="auto" w:sz="4" w:space="0"/>
              <w:bottom w:val="nil"/>
            </w:tcBorders>
            <w:vAlign w:val="center"/>
          </w:tcPr>
          <w:p w14:paraId="03C9B9D0">
            <w:pPr>
              <w:spacing w:line="240" w:lineRule="auto"/>
              <w:ind w:firstLine="420"/>
              <w:jc w:val="center"/>
              <w:rPr>
                <w:rFonts w:hint="eastAsia" w:ascii="仿宋" w:hAnsi="仿宋" w:eastAsia="仿宋" w:cs="仿宋"/>
                <w:kern w:val="0"/>
              </w:rPr>
            </w:pPr>
          </w:p>
        </w:tc>
        <w:tc>
          <w:tcPr>
            <w:tcW w:w="1029" w:type="dxa"/>
            <w:tcBorders>
              <w:bottom w:val="nil"/>
            </w:tcBorders>
            <w:vAlign w:val="center"/>
          </w:tcPr>
          <w:p w14:paraId="631229E3">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249" w:type="dxa"/>
            <w:vAlign w:val="center"/>
          </w:tcPr>
          <w:p w14:paraId="764AA02D">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规范医疗市场监管</w:t>
            </w:r>
          </w:p>
        </w:tc>
        <w:tc>
          <w:tcPr>
            <w:tcW w:w="1298" w:type="dxa"/>
            <w:vAlign w:val="center"/>
          </w:tcPr>
          <w:p w14:paraId="4014A4AA">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100%</w:t>
            </w:r>
          </w:p>
        </w:tc>
        <w:tc>
          <w:tcPr>
            <w:tcW w:w="1269" w:type="dxa"/>
            <w:vAlign w:val="center"/>
          </w:tcPr>
          <w:p w14:paraId="4D19AF5C">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100%</w:t>
            </w:r>
          </w:p>
        </w:tc>
        <w:tc>
          <w:tcPr>
            <w:tcW w:w="699" w:type="dxa"/>
            <w:vAlign w:val="center"/>
          </w:tcPr>
          <w:p w14:paraId="35270271">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7.5</w:t>
            </w:r>
          </w:p>
        </w:tc>
        <w:tc>
          <w:tcPr>
            <w:tcW w:w="869" w:type="dxa"/>
            <w:vAlign w:val="center"/>
          </w:tcPr>
          <w:p w14:paraId="00627D7E">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7.5</w:t>
            </w:r>
          </w:p>
        </w:tc>
        <w:tc>
          <w:tcPr>
            <w:tcW w:w="1423" w:type="dxa"/>
            <w:vAlign w:val="center"/>
          </w:tcPr>
          <w:p w14:paraId="525F892A">
            <w:pPr>
              <w:pStyle w:val="9"/>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逐步提高</w:t>
            </w:r>
          </w:p>
        </w:tc>
      </w:tr>
      <w:tr w14:paraId="39B64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74" w:type="dxa"/>
            <w:vMerge w:val="continue"/>
            <w:tcBorders>
              <w:right w:val="single" w:color="auto" w:sz="4" w:space="0"/>
            </w:tcBorders>
            <w:textDirection w:val="tbRlV"/>
            <w:vAlign w:val="center"/>
          </w:tcPr>
          <w:p w14:paraId="2E835273">
            <w:pPr>
              <w:spacing w:line="240" w:lineRule="auto"/>
              <w:ind w:firstLine="420"/>
              <w:jc w:val="center"/>
              <w:rPr>
                <w:rFonts w:ascii="仿宋_GB2312" w:eastAsia="仿宋_GB2312"/>
                <w:kern w:val="0"/>
              </w:rPr>
            </w:pPr>
          </w:p>
        </w:tc>
        <w:tc>
          <w:tcPr>
            <w:tcW w:w="1069" w:type="dxa"/>
            <w:vMerge w:val="continue"/>
            <w:tcBorders>
              <w:top w:val="nil"/>
              <w:left w:val="single" w:color="auto" w:sz="4" w:space="0"/>
              <w:bottom w:val="nil"/>
            </w:tcBorders>
            <w:vAlign w:val="center"/>
          </w:tcPr>
          <w:p w14:paraId="64E59EFB">
            <w:pPr>
              <w:spacing w:line="240" w:lineRule="auto"/>
              <w:ind w:firstLine="420"/>
              <w:jc w:val="center"/>
              <w:rPr>
                <w:rFonts w:hint="eastAsia" w:ascii="仿宋" w:hAnsi="仿宋" w:eastAsia="仿宋" w:cs="仿宋"/>
                <w:kern w:val="0"/>
              </w:rPr>
            </w:pPr>
          </w:p>
        </w:tc>
        <w:tc>
          <w:tcPr>
            <w:tcW w:w="1029" w:type="dxa"/>
            <w:tcBorders>
              <w:bottom w:val="nil"/>
            </w:tcBorders>
            <w:vAlign w:val="center"/>
          </w:tcPr>
          <w:p w14:paraId="2197EFA2">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249" w:type="dxa"/>
            <w:vAlign w:val="center"/>
          </w:tcPr>
          <w:p w14:paraId="55C75250">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保障全市人民安全健康生活环境</w:t>
            </w:r>
          </w:p>
        </w:tc>
        <w:tc>
          <w:tcPr>
            <w:tcW w:w="1298" w:type="dxa"/>
            <w:vAlign w:val="center"/>
          </w:tcPr>
          <w:p w14:paraId="3EA93493">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100%</w:t>
            </w:r>
          </w:p>
        </w:tc>
        <w:tc>
          <w:tcPr>
            <w:tcW w:w="1269" w:type="dxa"/>
            <w:vAlign w:val="center"/>
          </w:tcPr>
          <w:p w14:paraId="6D5398E9">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99%</w:t>
            </w:r>
          </w:p>
        </w:tc>
        <w:tc>
          <w:tcPr>
            <w:tcW w:w="699" w:type="dxa"/>
            <w:vAlign w:val="center"/>
          </w:tcPr>
          <w:p w14:paraId="1CBD48B7">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7.5</w:t>
            </w:r>
          </w:p>
        </w:tc>
        <w:tc>
          <w:tcPr>
            <w:tcW w:w="869" w:type="dxa"/>
            <w:vAlign w:val="center"/>
          </w:tcPr>
          <w:p w14:paraId="28CDED3E">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7</w:t>
            </w:r>
          </w:p>
        </w:tc>
        <w:tc>
          <w:tcPr>
            <w:tcW w:w="1423" w:type="dxa"/>
            <w:vAlign w:val="center"/>
          </w:tcPr>
          <w:p w14:paraId="52CA32A7">
            <w:pPr>
              <w:pStyle w:val="9"/>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逐步提高</w:t>
            </w:r>
          </w:p>
        </w:tc>
      </w:tr>
      <w:tr w14:paraId="23284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74" w:type="dxa"/>
            <w:vMerge w:val="continue"/>
            <w:textDirection w:val="tbRlV"/>
            <w:vAlign w:val="center"/>
          </w:tcPr>
          <w:p w14:paraId="13116159">
            <w:pPr>
              <w:spacing w:line="240" w:lineRule="auto"/>
              <w:ind w:firstLine="420"/>
              <w:jc w:val="center"/>
              <w:rPr>
                <w:rFonts w:ascii="仿宋_GB2312" w:eastAsia="仿宋_GB2312"/>
                <w:kern w:val="0"/>
              </w:rPr>
            </w:pPr>
          </w:p>
        </w:tc>
        <w:tc>
          <w:tcPr>
            <w:tcW w:w="1069" w:type="dxa"/>
            <w:tcBorders>
              <w:bottom w:val="nil"/>
            </w:tcBorders>
            <w:vAlign w:val="center"/>
          </w:tcPr>
          <w:p w14:paraId="77D6D990">
            <w:pPr>
              <w:spacing w:line="240" w:lineRule="auto"/>
              <w:jc w:val="center"/>
              <w:rPr>
                <w:rFonts w:hint="eastAsia" w:ascii="仿宋" w:hAnsi="仿宋" w:eastAsia="仿宋" w:cs="仿宋"/>
                <w:kern w:val="0"/>
              </w:rPr>
            </w:pPr>
            <w:r>
              <w:rPr>
                <w:rFonts w:hint="eastAsia" w:ascii="仿宋" w:hAnsi="仿宋" w:eastAsia="仿宋" w:cs="仿宋"/>
                <w:kern w:val="0"/>
              </w:rPr>
              <w:t>满意度指标</w:t>
            </w:r>
          </w:p>
          <w:p w14:paraId="2431360C">
            <w:pPr>
              <w:spacing w:line="240" w:lineRule="auto"/>
              <w:jc w:val="center"/>
              <w:rPr>
                <w:rFonts w:hint="eastAsia" w:ascii="仿宋" w:hAnsi="仿宋" w:eastAsia="仿宋" w:cs="仿宋"/>
                <w:kern w:val="0"/>
              </w:rPr>
            </w:pPr>
            <w:r>
              <w:rPr>
                <w:rFonts w:hint="eastAsia" w:ascii="仿宋" w:hAnsi="仿宋" w:eastAsia="仿宋" w:cs="仿宋"/>
                <w:kern w:val="0"/>
              </w:rPr>
              <w:t>(10分)</w:t>
            </w:r>
          </w:p>
        </w:tc>
        <w:tc>
          <w:tcPr>
            <w:tcW w:w="1029" w:type="dxa"/>
            <w:tcBorders>
              <w:bottom w:val="nil"/>
            </w:tcBorders>
            <w:vAlign w:val="center"/>
          </w:tcPr>
          <w:p w14:paraId="30C1AD77">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249" w:type="dxa"/>
            <w:vAlign w:val="center"/>
          </w:tcPr>
          <w:p w14:paraId="306CC367">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社会公众满意度</w:t>
            </w:r>
          </w:p>
        </w:tc>
        <w:tc>
          <w:tcPr>
            <w:tcW w:w="1298" w:type="dxa"/>
            <w:vAlign w:val="center"/>
          </w:tcPr>
          <w:p w14:paraId="7478B223">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100%</w:t>
            </w:r>
          </w:p>
        </w:tc>
        <w:tc>
          <w:tcPr>
            <w:tcW w:w="1269" w:type="dxa"/>
            <w:vAlign w:val="center"/>
          </w:tcPr>
          <w:p w14:paraId="02CC1188">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99%</w:t>
            </w:r>
          </w:p>
        </w:tc>
        <w:tc>
          <w:tcPr>
            <w:tcW w:w="699" w:type="dxa"/>
            <w:vAlign w:val="center"/>
          </w:tcPr>
          <w:p w14:paraId="24A61FC6">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tc>
        <w:tc>
          <w:tcPr>
            <w:tcW w:w="869" w:type="dxa"/>
            <w:vAlign w:val="center"/>
          </w:tcPr>
          <w:p w14:paraId="67884F79">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9.5</w:t>
            </w:r>
          </w:p>
        </w:tc>
        <w:tc>
          <w:tcPr>
            <w:tcW w:w="1423" w:type="dxa"/>
            <w:vAlign w:val="center"/>
          </w:tcPr>
          <w:p w14:paraId="24D10C08">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逐步改善</w:t>
            </w:r>
          </w:p>
        </w:tc>
      </w:tr>
      <w:tr w14:paraId="79FC6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73E58E1C">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0F4951E7">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67BA03F9">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（20分）</w:t>
            </w:r>
          </w:p>
        </w:tc>
        <w:tc>
          <w:tcPr>
            <w:tcW w:w="1029" w:type="dxa"/>
            <w:tcBorders>
              <w:top w:val="nil"/>
            </w:tcBorders>
            <w:vAlign w:val="center"/>
          </w:tcPr>
          <w:p w14:paraId="4F28817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经济成本指标</w:t>
            </w:r>
          </w:p>
        </w:tc>
        <w:tc>
          <w:tcPr>
            <w:tcW w:w="1249" w:type="dxa"/>
            <w:vAlign w:val="center"/>
          </w:tcPr>
          <w:p w14:paraId="6F0581E2">
            <w:pPr>
              <w:spacing w:line="240" w:lineRule="auto"/>
              <w:ind w:firstLine="420"/>
              <w:jc w:val="center"/>
              <w:rPr>
                <w:rFonts w:hint="eastAsia" w:ascii="仿宋" w:hAnsi="仿宋" w:eastAsia="仿宋" w:cs="仿宋"/>
                <w:kern w:val="0"/>
              </w:rPr>
            </w:pPr>
            <w:r>
              <w:rPr>
                <w:rFonts w:hint="eastAsia" w:ascii="仿宋" w:hAnsi="仿宋" w:eastAsia="仿宋" w:cs="仿宋"/>
                <w:lang w:eastAsia="zh-CN"/>
              </w:rPr>
              <w:t>监督执法工作经费</w:t>
            </w:r>
          </w:p>
        </w:tc>
        <w:tc>
          <w:tcPr>
            <w:tcW w:w="1298" w:type="dxa"/>
            <w:vAlign w:val="center"/>
          </w:tcPr>
          <w:p w14:paraId="13E752FB">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年初预算</w:t>
            </w:r>
          </w:p>
        </w:tc>
        <w:tc>
          <w:tcPr>
            <w:tcW w:w="1269" w:type="dxa"/>
            <w:vAlign w:val="center"/>
          </w:tcPr>
          <w:p w14:paraId="3B3EDD19">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已完成</w:t>
            </w:r>
          </w:p>
        </w:tc>
        <w:tc>
          <w:tcPr>
            <w:tcW w:w="699" w:type="dxa"/>
            <w:vMerge w:val="restart"/>
            <w:vAlign w:val="center"/>
          </w:tcPr>
          <w:p w14:paraId="41FBC9E9">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lang w:val="en-US" w:eastAsia="zh-CN"/>
              </w:rPr>
            </w:pPr>
          </w:p>
          <w:p w14:paraId="23B90FCF">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20</w:t>
            </w:r>
          </w:p>
          <w:p w14:paraId="154D6E4E">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restart"/>
            <w:vAlign w:val="center"/>
          </w:tcPr>
          <w:p w14:paraId="6BE8F54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lang w:eastAsia="zh-CN"/>
              </w:rPr>
            </w:pPr>
          </w:p>
          <w:p w14:paraId="456709B6">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20</w:t>
            </w:r>
          </w:p>
          <w:p w14:paraId="128B339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1423" w:type="dxa"/>
            <w:vAlign w:val="center"/>
          </w:tcPr>
          <w:p w14:paraId="0A913AD1">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w:t>
            </w:r>
          </w:p>
        </w:tc>
      </w:tr>
      <w:tr w14:paraId="1087B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21D90E4">
            <w:pPr>
              <w:spacing w:line="240" w:lineRule="auto"/>
              <w:ind w:firstLine="420"/>
              <w:jc w:val="center"/>
              <w:rPr>
                <w:rFonts w:ascii="仿宋_GB2312" w:eastAsia="仿宋_GB2312"/>
                <w:kern w:val="0"/>
              </w:rPr>
            </w:pPr>
          </w:p>
        </w:tc>
        <w:tc>
          <w:tcPr>
            <w:tcW w:w="1069" w:type="dxa"/>
            <w:vMerge w:val="continue"/>
            <w:vAlign w:val="center"/>
          </w:tcPr>
          <w:p w14:paraId="7193B73F">
            <w:pPr>
              <w:spacing w:line="240" w:lineRule="auto"/>
              <w:ind w:firstLine="420"/>
              <w:jc w:val="center"/>
              <w:rPr>
                <w:rFonts w:hint="eastAsia" w:ascii="仿宋" w:hAnsi="仿宋" w:eastAsia="仿宋" w:cs="仿宋"/>
                <w:kern w:val="0"/>
              </w:rPr>
            </w:pPr>
          </w:p>
        </w:tc>
        <w:tc>
          <w:tcPr>
            <w:tcW w:w="1029" w:type="dxa"/>
            <w:tcBorders>
              <w:top w:val="nil"/>
            </w:tcBorders>
            <w:vAlign w:val="center"/>
          </w:tcPr>
          <w:p w14:paraId="25EC8F1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社会成本指标</w:t>
            </w:r>
          </w:p>
        </w:tc>
        <w:tc>
          <w:tcPr>
            <w:tcW w:w="1249" w:type="dxa"/>
            <w:vAlign w:val="center"/>
          </w:tcPr>
          <w:p w14:paraId="4F997122">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社会成本指标</w:t>
            </w:r>
          </w:p>
        </w:tc>
        <w:tc>
          <w:tcPr>
            <w:tcW w:w="1298" w:type="dxa"/>
            <w:vAlign w:val="center"/>
          </w:tcPr>
          <w:p w14:paraId="3CF14C1B">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对社会可能造成的负面影响</w:t>
            </w:r>
          </w:p>
        </w:tc>
        <w:tc>
          <w:tcPr>
            <w:tcW w:w="1269" w:type="dxa"/>
            <w:vAlign w:val="center"/>
          </w:tcPr>
          <w:p w14:paraId="64B4FD06">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无</w:t>
            </w:r>
          </w:p>
        </w:tc>
        <w:tc>
          <w:tcPr>
            <w:tcW w:w="699" w:type="dxa"/>
            <w:vMerge w:val="continue"/>
            <w:vAlign w:val="center"/>
          </w:tcPr>
          <w:p w14:paraId="3B92E95F">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continue"/>
            <w:vAlign w:val="center"/>
          </w:tcPr>
          <w:p w14:paraId="4C20F67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1423" w:type="dxa"/>
            <w:vAlign w:val="center"/>
          </w:tcPr>
          <w:p w14:paraId="35B46A63">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无</w:t>
            </w:r>
          </w:p>
        </w:tc>
      </w:tr>
      <w:tr w14:paraId="6B274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FDB6764">
            <w:pPr>
              <w:spacing w:line="240" w:lineRule="auto"/>
              <w:ind w:firstLine="420"/>
              <w:jc w:val="center"/>
              <w:rPr>
                <w:rFonts w:ascii="仿宋_GB2312" w:eastAsia="仿宋_GB2312"/>
                <w:kern w:val="0"/>
              </w:rPr>
            </w:pPr>
          </w:p>
        </w:tc>
        <w:tc>
          <w:tcPr>
            <w:tcW w:w="1069" w:type="dxa"/>
            <w:vMerge w:val="continue"/>
            <w:vAlign w:val="center"/>
          </w:tcPr>
          <w:p w14:paraId="6E069D11">
            <w:pPr>
              <w:spacing w:line="240" w:lineRule="auto"/>
              <w:ind w:firstLine="420"/>
              <w:jc w:val="center"/>
              <w:rPr>
                <w:rFonts w:hint="eastAsia" w:ascii="仿宋" w:hAnsi="仿宋" w:eastAsia="仿宋" w:cs="仿宋"/>
                <w:kern w:val="0"/>
              </w:rPr>
            </w:pPr>
          </w:p>
        </w:tc>
        <w:tc>
          <w:tcPr>
            <w:tcW w:w="1029" w:type="dxa"/>
            <w:tcBorders>
              <w:top w:val="nil"/>
            </w:tcBorders>
            <w:vAlign w:val="center"/>
          </w:tcPr>
          <w:p w14:paraId="6380C4B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生态环境成本指标</w:t>
            </w:r>
          </w:p>
        </w:tc>
        <w:tc>
          <w:tcPr>
            <w:tcW w:w="1249" w:type="dxa"/>
            <w:vAlign w:val="center"/>
          </w:tcPr>
          <w:p w14:paraId="6339B2E1">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生态环境成本指标</w:t>
            </w:r>
          </w:p>
        </w:tc>
        <w:tc>
          <w:tcPr>
            <w:tcW w:w="1298" w:type="dxa"/>
            <w:vAlign w:val="center"/>
          </w:tcPr>
          <w:p w14:paraId="3C983EE0">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对自然环境可能造成的负面影响</w:t>
            </w:r>
          </w:p>
        </w:tc>
        <w:tc>
          <w:tcPr>
            <w:tcW w:w="1269" w:type="dxa"/>
            <w:vAlign w:val="center"/>
          </w:tcPr>
          <w:p w14:paraId="21435B86">
            <w:pPr>
              <w:pStyle w:val="9"/>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无</w:t>
            </w:r>
          </w:p>
        </w:tc>
        <w:tc>
          <w:tcPr>
            <w:tcW w:w="699" w:type="dxa"/>
            <w:vMerge w:val="continue"/>
            <w:vAlign w:val="center"/>
          </w:tcPr>
          <w:p w14:paraId="38050C30">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869" w:type="dxa"/>
            <w:vMerge w:val="continue"/>
            <w:vAlign w:val="center"/>
          </w:tcPr>
          <w:p w14:paraId="463FE30D">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snapToGrid w:val="0"/>
                <w:color w:val="000000"/>
                <w:kern w:val="0"/>
                <w:sz w:val="21"/>
                <w:szCs w:val="21"/>
                <w:lang w:val="en-US" w:eastAsia="zh-CN" w:bidi="ar-SA"/>
              </w:rPr>
            </w:pPr>
          </w:p>
        </w:tc>
        <w:tc>
          <w:tcPr>
            <w:tcW w:w="1423" w:type="dxa"/>
            <w:vAlign w:val="center"/>
          </w:tcPr>
          <w:p w14:paraId="1E6B9214">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无</w:t>
            </w:r>
          </w:p>
        </w:tc>
      </w:tr>
      <w:tr w14:paraId="7DB3A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0330E333">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总分</w:t>
            </w:r>
          </w:p>
        </w:tc>
        <w:tc>
          <w:tcPr>
            <w:tcW w:w="699" w:type="dxa"/>
            <w:vAlign w:val="center"/>
          </w:tcPr>
          <w:p w14:paraId="21EF08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rPr>
            </w:pPr>
            <w:r>
              <w:rPr>
                <w:rFonts w:hint="eastAsia" w:ascii="仿宋" w:hAnsi="仿宋" w:eastAsia="仿宋" w:cs="仿宋"/>
                <w:kern w:val="0"/>
              </w:rPr>
              <w:t>100</w:t>
            </w:r>
          </w:p>
        </w:tc>
        <w:tc>
          <w:tcPr>
            <w:tcW w:w="869" w:type="dxa"/>
            <w:vAlign w:val="center"/>
          </w:tcPr>
          <w:p w14:paraId="035A40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lang w:val="en-US" w:eastAsia="zh-CN"/>
              </w:rPr>
            </w:pPr>
            <w:r>
              <w:rPr>
                <w:rFonts w:hint="eastAsia" w:ascii="仿宋" w:hAnsi="仿宋" w:eastAsia="仿宋" w:cs="仿宋"/>
                <w:kern w:val="0"/>
                <w:lang w:val="en-US" w:eastAsia="zh-CN"/>
              </w:rPr>
              <w:t>99</w:t>
            </w:r>
          </w:p>
        </w:tc>
        <w:tc>
          <w:tcPr>
            <w:tcW w:w="1423" w:type="dxa"/>
            <w:vAlign w:val="center"/>
          </w:tcPr>
          <w:p w14:paraId="227AB90E">
            <w:pPr>
              <w:spacing w:line="240" w:lineRule="auto"/>
              <w:ind w:firstLine="420"/>
              <w:jc w:val="center"/>
              <w:rPr>
                <w:rFonts w:hint="eastAsia" w:ascii="仿宋" w:hAnsi="仿宋" w:eastAsia="仿宋" w:cs="仿宋"/>
                <w:kern w:val="0"/>
              </w:rPr>
            </w:pPr>
          </w:p>
        </w:tc>
      </w:tr>
    </w:tbl>
    <w:p w14:paraId="6976C647">
      <w:pPr>
        <w:keepNext w:val="0"/>
        <w:keepLines w:val="0"/>
        <w:pageBreakBefore w:val="0"/>
        <w:widowControl/>
        <w:kinsoku w:val="0"/>
        <w:wordWrap/>
        <w:overflowPunct/>
        <w:topLinePunct w:val="0"/>
        <w:autoSpaceDE w:val="0"/>
        <w:autoSpaceDN w:val="0"/>
        <w:bidi w:val="0"/>
        <w:adjustRightInd w:val="0"/>
        <w:snapToGrid w:val="0"/>
        <w:spacing w:before="293" w:line="236" w:lineRule="auto"/>
        <w:ind w:firstLine="0"/>
        <w:textAlignment w:val="baseline"/>
        <w:rPr>
          <w:rFonts w:hint="default"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彭云</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2025.9.20</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13407302850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黎清华</w:t>
      </w:r>
    </w:p>
    <w:p w14:paraId="45C6FAC8">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65C36C7D">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75DD54FC">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5D70DCFF">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2C37F8F0">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4D814DD9">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07711C58">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3B91D960">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2F85D81A">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79A23367">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6DD54D3A">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6F9D2EE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0263096">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D3A96A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D903167">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044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78B2F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EA2104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卫计执法经费</w:t>
            </w:r>
          </w:p>
        </w:tc>
      </w:tr>
      <w:tr w14:paraId="5F25C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988A3F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D6D9FD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汨罗市卫健局</w:t>
            </w:r>
          </w:p>
        </w:tc>
        <w:tc>
          <w:tcPr>
            <w:tcW w:w="1099" w:type="dxa"/>
            <w:vAlign w:val="center"/>
          </w:tcPr>
          <w:p w14:paraId="5D64766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B096A2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B42EC68">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汨罗市卫生计生综合监督执法局</w:t>
            </w:r>
          </w:p>
        </w:tc>
      </w:tr>
      <w:tr w14:paraId="70F2F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A8D450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28BCC69">
            <w:pPr>
              <w:spacing w:line="240" w:lineRule="auto"/>
              <w:ind w:firstLine="420"/>
              <w:jc w:val="center"/>
              <w:rPr>
                <w:rFonts w:hint="eastAsia" w:ascii="仿宋_GB2312" w:hAnsi="仿宋_GB2312" w:eastAsia="仿宋_GB2312" w:cs="仿宋_GB2312"/>
                <w:kern w:val="0"/>
                <w:lang w:eastAsia="zh-CN"/>
              </w:rPr>
            </w:pPr>
          </w:p>
        </w:tc>
        <w:tc>
          <w:tcPr>
            <w:tcW w:w="1020" w:type="dxa"/>
            <w:vAlign w:val="center"/>
          </w:tcPr>
          <w:p w14:paraId="559CEE37">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年初</w:t>
            </w:r>
          </w:p>
          <w:p w14:paraId="6B43883B">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预算数</w:t>
            </w:r>
          </w:p>
        </w:tc>
        <w:tc>
          <w:tcPr>
            <w:tcW w:w="1099" w:type="dxa"/>
            <w:vAlign w:val="center"/>
          </w:tcPr>
          <w:p w14:paraId="56A3DFF6">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全年</w:t>
            </w:r>
          </w:p>
          <w:p w14:paraId="37424DD2">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预算数</w:t>
            </w:r>
          </w:p>
        </w:tc>
        <w:tc>
          <w:tcPr>
            <w:tcW w:w="1099" w:type="dxa"/>
            <w:vAlign w:val="center"/>
          </w:tcPr>
          <w:p w14:paraId="48C056A8">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全年</w:t>
            </w:r>
          </w:p>
          <w:p w14:paraId="5F716C97">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执行数</w:t>
            </w:r>
          </w:p>
        </w:tc>
        <w:tc>
          <w:tcPr>
            <w:tcW w:w="809" w:type="dxa"/>
            <w:vAlign w:val="center"/>
          </w:tcPr>
          <w:p w14:paraId="02EFD33B">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分值</w:t>
            </w:r>
          </w:p>
        </w:tc>
        <w:tc>
          <w:tcPr>
            <w:tcW w:w="849" w:type="dxa"/>
            <w:vAlign w:val="center"/>
          </w:tcPr>
          <w:p w14:paraId="4A2C0ABC">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执行率</w:t>
            </w:r>
          </w:p>
        </w:tc>
        <w:tc>
          <w:tcPr>
            <w:tcW w:w="1383" w:type="dxa"/>
            <w:vAlign w:val="center"/>
          </w:tcPr>
          <w:p w14:paraId="6A686993">
            <w:pPr>
              <w:spacing w:line="240" w:lineRule="auto"/>
              <w:ind w:firstLine="420"/>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得分</w:t>
            </w:r>
          </w:p>
        </w:tc>
      </w:tr>
      <w:tr w14:paraId="4678E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5B8550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873482D">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年度资金总额</w:t>
            </w:r>
          </w:p>
        </w:tc>
        <w:tc>
          <w:tcPr>
            <w:tcW w:w="1020" w:type="dxa"/>
            <w:vAlign w:val="center"/>
          </w:tcPr>
          <w:p w14:paraId="3FAC5C77">
            <w:pPr>
              <w:spacing w:line="240" w:lineRule="auto"/>
              <w:ind w:firstLine="420"/>
              <w:jc w:val="center"/>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20</w:t>
            </w:r>
          </w:p>
        </w:tc>
        <w:tc>
          <w:tcPr>
            <w:tcW w:w="1099" w:type="dxa"/>
            <w:vAlign w:val="center"/>
          </w:tcPr>
          <w:p w14:paraId="1A3F9813">
            <w:pPr>
              <w:spacing w:line="240" w:lineRule="auto"/>
              <w:ind w:firstLine="420"/>
              <w:jc w:val="center"/>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19.56</w:t>
            </w:r>
          </w:p>
        </w:tc>
        <w:tc>
          <w:tcPr>
            <w:tcW w:w="1099" w:type="dxa"/>
            <w:vAlign w:val="center"/>
          </w:tcPr>
          <w:p w14:paraId="58B1DDE6">
            <w:pPr>
              <w:spacing w:line="240" w:lineRule="auto"/>
              <w:ind w:firstLine="420"/>
              <w:jc w:val="center"/>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19.56</w:t>
            </w:r>
          </w:p>
        </w:tc>
        <w:tc>
          <w:tcPr>
            <w:tcW w:w="809" w:type="dxa"/>
            <w:vAlign w:val="center"/>
          </w:tcPr>
          <w:p w14:paraId="1814EDFA">
            <w:pPr>
              <w:spacing w:line="240" w:lineRule="auto"/>
              <w:jc w:val="right"/>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10</w:t>
            </w:r>
          </w:p>
        </w:tc>
        <w:tc>
          <w:tcPr>
            <w:tcW w:w="849" w:type="dxa"/>
            <w:vAlign w:val="center"/>
          </w:tcPr>
          <w:p w14:paraId="0C49A05F">
            <w:pPr>
              <w:spacing w:line="240" w:lineRule="auto"/>
              <w:jc w:val="right"/>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100%</w:t>
            </w:r>
          </w:p>
        </w:tc>
        <w:tc>
          <w:tcPr>
            <w:tcW w:w="1383" w:type="dxa"/>
            <w:vAlign w:val="center"/>
          </w:tcPr>
          <w:p w14:paraId="4EA5DC38">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w:t>
            </w:r>
          </w:p>
        </w:tc>
      </w:tr>
      <w:tr w14:paraId="1B604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82B35CA">
            <w:pPr>
              <w:spacing w:line="240" w:lineRule="auto"/>
              <w:ind w:firstLine="420"/>
              <w:jc w:val="center"/>
              <w:rPr>
                <w:rFonts w:ascii="仿宋_GB2312" w:hAnsi="宋体" w:eastAsia="仿宋_GB2312" w:cs="宋体"/>
                <w:kern w:val="0"/>
                <w:lang w:eastAsia="zh-CN"/>
              </w:rPr>
            </w:pPr>
          </w:p>
        </w:tc>
        <w:tc>
          <w:tcPr>
            <w:tcW w:w="2277" w:type="dxa"/>
            <w:gridSpan w:val="2"/>
            <w:tcBorders>
              <w:bottom w:val="single" w:color="auto" w:sz="4" w:space="0"/>
            </w:tcBorders>
            <w:vAlign w:val="center"/>
          </w:tcPr>
          <w:p w14:paraId="5ED9C367">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其中：当年财政拨款</w:t>
            </w:r>
          </w:p>
        </w:tc>
        <w:tc>
          <w:tcPr>
            <w:tcW w:w="1020" w:type="dxa"/>
            <w:tcBorders>
              <w:bottom w:val="single" w:color="auto" w:sz="4" w:space="0"/>
            </w:tcBorders>
            <w:vAlign w:val="center"/>
          </w:tcPr>
          <w:p w14:paraId="6B39BCED">
            <w:pPr>
              <w:spacing w:line="240" w:lineRule="auto"/>
              <w:ind w:firstLine="420"/>
              <w:jc w:val="center"/>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20</w:t>
            </w:r>
          </w:p>
        </w:tc>
        <w:tc>
          <w:tcPr>
            <w:tcW w:w="1099" w:type="dxa"/>
            <w:tcBorders>
              <w:bottom w:val="single" w:color="auto" w:sz="4" w:space="0"/>
            </w:tcBorders>
            <w:vAlign w:val="center"/>
          </w:tcPr>
          <w:p w14:paraId="6D529F14">
            <w:pPr>
              <w:spacing w:line="240" w:lineRule="auto"/>
              <w:ind w:firstLine="420"/>
              <w:jc w:val="center"/>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19.56</w:t>
            </w:r>
          </w:p>
        </w:tc>
        <w:tc>
          <w:tcPr>
            <w:tcW w:w="1099" w:type="dxa"/>
            <w:tcBorders>
              <w:bottom w:val="single" w:color="auto" w:sz="4" w:space="0"/>
            </w:tcBorders>
            <w:vAlign w:val="center"/>
          </w:tcPr>
          <w:p w14:paraId="2CFBB2D1">
            <w:pPr>
              <w:spacing w:line="240" w:lineRule="auto"/>
              <w:ind w:firstLine="420"/>
              <w:jc w:val="center"/>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19.56</w:t>
            </w:r>
          </w:p>
        </w:tc>
        <w:tc>
          <w:tcPr>
            <w:tcW w:w="809" w:type="dxa"/>
            <w:tcBorders>
              <w:bottom w:val="single" w:color="auto" w:sz="4" w:space="0"/>
            </w:tcBorders>
            <w:vAlign w:val="center"/>
          </w:tcPr>
          <w:p w14:paraId="3DC7856E">
            <w:pPr>
              <w:spacing w:line="240" w:lineRule="auto"/>
              <w:ind w:firstLine="420" w:firstLineChars="200"/>
              <w:jc w:val="right"/>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w:t>
            </w:r>
          </w:p>
        </w:tc>
        <w:tc>
          <w:tcPr>
            <w:tcW w:w="849" w:type="dxa"/>
            <w:tcBorders>
              <w:bottom w:val="single" w:color="auto" w:sz="4" w:space="0"/>
            </w:tcBorders>
            <w:vAlign w:val="center"/>
          </w:tcPr>
          <w:p w14:paraId="7B1936F2">
            <w:pPr>
              <w:spacing w:line="240" w:lineRule="auto"/>
              <w:jc w:val="right"/>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100%</w:t>
            </w:r>
          </w:p>
        </w:tc>
        <w:tc>
          <w:tcPr>
            <w:tcW w:w="1383" w:type="dxa"/>
            <w:tcBorders>
              <w:bottom w:val="single" w:color="auto" w:sz="4" w:space="0"/>
            </w:tcBorders>
            <w:vAlign w:val="center"/>
          </w:tcPr>
          <w:p w14:paraId="2CA3C707">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w:t>
            </w:r>
          </w:p>
        </w:tc>
      </w:tr>
      <w:tr w14:paraId="35ED5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right w:val="single" w:color="auto" w:sz="4" w:space="0"/>
            </w:tcBorders>
            <w:vAlign w:val="center"/>
          </w:tcPr>
          <w:p w14:paraId="7502FC30">
            <w:pPr>
              <w:spacing w:line="240" w:lineRule="auto"/>
              <w:ind w:firstLine="420"/>
              <w:jc w:val="center"/>
              <w:rPr>
                <w:rFonts w:ascii="仿宋_GB2312" w:hAnsi="宋体" w:eastAsia="仿宋_GB2312" w:cs="宋体"/>
                <w:kern w:val="0"/>
                <w:lang w:eastAsia="zh-CN"/>
              </w:rPr>
            </w:pPr>
          </w:p>
        </w:tc>
        <w:tc>
          <w:tcPr>
            <w:tcW w:w="2277" w:type="dxa"/>
            <w:gridSpan w:val="2"/>
            <w:tcBorders>
              <w:top w:val="single" w:color="auto" w:sz="4" w:space="0"/>
              <w:left w:val="single" w:color="auto" w:sz="4" w:space="0"/>
              <w:bottom w:val="single" w:color="auto" w:sz="4" w:space="0"/>
              <w:right w:val="single" w:color="auto" w:sz="4" w:space="0"/>
            </w:tcBorders>
            <w:vAlign w:val="center"/>
          </w:tcPr>
          <w:p w14:paraId="5C8D619A">
            <w:pPr>
              <w:spacing w:line="240" w:lineRule="auto"/>
              <w:ind w:firstLine="630" w:firstLineChars="300"/>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上年结转资金</w:t>
            </w:r>
          </w:p>
        </w:tc>
        <w:tc>
          <w:tcPr>
            <w:tcW w:w="1020" w:type="dxa"/>
            <w:tcBorders>
              <w:top w:val="single" w:color="auto" w:sz="4" w:space="0"/>
              <w:left w:val="single" w:color="auto" w:sz="4" w:space="0"/>
              <w:bottom w:val="single" w:color="auto" w:sz="4" w:space="0"/>
              <w:right w:val="single" w:color="auto" w:sz="4" w:space="0"/>
            </w:tcBorders>
            <w:vAlign w:val="center"/>
          </w:tcPr>
          <w:p w14:paraId="611DED51">
            <w:pPr>
              <w:spacing w:line="240" w:lineRule="auto"/>
              <w:ind w:firstLine="420"/>
              <w:jc w:val="center"/>
              <w:rPr>
                <w:rFonts w:hint="eastAsia" w:ascii="仿宋_GB2312" w:hAnsi="仿宋_GB2312" w:eastAsia="仿宋_GB2312" w:cs="仿宋_GB2312"/>
                <w:kern w:val="0"/>
                <w:lang w:eastAsia="zh-CN"/>
              </w:rPr>
            </w:pPr>
          </w:p>
        </w:tc>
        <w:tc>
          <w:tcPr>
            <w:tcW w:w="1099" w:type="dxa"/>
            <w:tcBorders>
              <w:top w:val="single" w:color="auto" w:sz="4" w:space="0"/>
              <w:left w:val="single" w:color="auto" w:sz="4" w:space="0"/>
              <w:bottom w:val="single" w:color="auto" w:sz="4" w:space="0"/>
              <w:right w:val="single" w:color="auto" w:sz="4" w:space="0"/>
            </w:tcBorders>
            <w:vAlign w:val="center"/>
          </w:tcPr>
          <w:p w14:paraId="451223BD">
            <w:pPr>
              <w:spacing w:line="240" w:lineRule="auto"/>
              <w:ind w:firstLine="420"/>
              <w:jc w:val="center"/>
              <w:rPr>
                <w:rFonts w:hint="eastAsia" w:ascii="仿宋_GB2312" w:hAnsi="仿宋_GB2312" w:eastAsia="仿宋_GB2312" w:cs="仿宋_GB2312"/>
                <w:kern w:val="0"/>
                <w:lang w:eastAsia="zh-CN"/>
              </w:rPr>
            </w:pPr>
          </w:p>
        </w:tc>
        <w:tc>
          <w:tcPr>
            <w:tcW w:w="1099" w:type="dxa"/>
            <w:tcBorders>
              <w:top w:val="single" w:color="auto" w:sz="4" w:space="0"/>
              <w:left w:val="single" w:color="auto" w:sz="4" w:space="0"/>
              <w:bottom w:val="single" w:color="auto" w:sz="4" w:space="0"/>
              <w:right w:val="single" w:color="auto" w:sz="4" w:space="0"/>
            </w:tcBorders>
            <w:vAlign w:val="center"/>
          </w:tcPr>
          <w:p w14:paraId="00CD9E41">
            <w:pPr>
              <w:spacing w:line="240" w:lineRule="auto"/>
              <w:ind w:firstLine="420"/>
              <w:jc w:val="center"/>
              <w:rPr>
                <w:rFonts w:hint="eastAsia" w:ascii="仿宋_GB2312" w:hAnsi="仿宋_GB2312" w:eastAsia="仿宋_GB2312" w:cs="仿宋_GB2312"/>
                <w:kern w:val="0"/>
                <w:lang w:eastAsia="zh-CN"/>
              </w:rPr>
            </w:pPr>
          </w:p>
        </w:tc>
        <w:tc>
          <w:tcPr>
            <w:tcW w:w="809" w:type="dxa"/>
            <w:tcBorders>
              <w:top w:val="single" w:color="auto" w:sz="4" w:space="0"/>
              <w:left w:val="single" w:color="auto" w:sz="4" w:space="0"/>
              <w:bottom w:val="single" w:color="auto" w:sz="4" w:space="0"/>
              <w:right w:val="single" w:color="auto" w:sz="4" w:space="0"/>
            </w:tcBorders>
            <w:vAlign w:val="center"/>
          </w:tcPr>
          <w:p w14:paraId="395BCB11">
            <w:pPr>
              <w:spacing w:line="240" w:lineRule="auto"/>
              <w:ind w:firstLine="420"/>
              <w:jc w:val="center"/>
              <w:rPr>
                <w:rFonts w:hint="eastAsia" w:ascii="仿宋_GB2312" w:hAnsi="仿宋_GB2312" w:eastAsia="仿宋_GB2312" w:cs="仿宋_GB2312"/>
                <w:kern w:val="0"/>
                <w:lang w:eastAsia="zh-CN"/>
              </w:rPr>
            </w:pPr>
          </w:p>
        </w:tc>
        <w:tc>
          <w:tcPr>
            <w:tcW w:w="849" w:type="dxa"/>
            <w:tcBorders>
              <w:top w:val="single" w:color="auto" w:sz="4" w:space="0"/>
              <w:left w:val="single" w:color="auto" w:sz="4" w:space="0"/>
              <w:bottom w:val="single" w:color="auto" w:sz="4" w:space="0"/>
              <w:right w:val="single" w:color="auto" w:sz="4" w:space="0"/>
            </w:tcBorders>
            <w:vAlign w:val="center"/>
          </w:tcPr>
          <w:p w14:paraId="2C66A2E4">
            <w:pPr>
              <w:spacing w:line="240" w:lineRule="auto"/>
              <w:ind w:firstLine="420"/>
              <w:jc w:val="center"/>
              <w:rPr>
                <w:rFonts w:hint="eastAsia" w:ascii="仿宋_GB2312" w:hAnsi="仿宋_GB2312" w:eastAsia="仿宋_GB2312" w:cs="仿宋_GB2312"/>
                <w:kern w:val="0"/>
                <w:lang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33F78DFF">
            <w:pPr>
              <w:spacing w:line="240" w:lineRule="auto"/>
              <w:ind w:firstLine="420"/>
              <w:jc w:val="center"/>
              <w:rPr>
                <w:rFonts w:hint="eastAsia" w:ascii="仿宋_GB2312" w:hAnsi="仿宋_GB2312" w:eastAsia="仿宋_GB2312" w:cs="仿宋_GB2312"/>
                <w:kern w:val="0"/>
                <w:lang w:eastAsia="zh-CN"/>
              </w:rPr>
            </w:pPr>
          </w:p>
        </w:tc>
      </w:tr>
      <w:tr w14:paraId="6DDED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right w:val="single" w:color="auto" w:sz="4" w:space="0"/>
            </w:tcBorders>
            <w:vAlign w:val="center"/>
          </w:tcPr>
          <w:p w14:paraId="24B4F733">
            <w:pPr>
              <w:spacing w:line="240" w:lineRule="auto"/>
              <w:ind w:firstLine="420"/>
              <w:jc w:val="center"/>
              <w:rPr>
                <w:rFonts w:ascii="仿宋_GB2312" w:hAnsi="宋体" w:eastAsia="仿宋_GB2312" w:cs="宋体"/>
                <w:kern w:val="0"/>
                <w:lang w:eastAsia="zh-CN"/>
              </w:rPr>
            </w:pPr>
          </w:p>
        </w:tc>
        <w:tc>
          <w:tcPr>
            <w:tcW w:w="2277" w:type="dxa"/>
            <w:gridSpan w:val="2"/>
            <w:tcBorders>
              <w:top w:val="single" w:color="auto" w:sz="4" w:space="0"/>
              <w:left w:val="single" w:color="auto" w:sz="4" w:space="0"/>
              <w:bottom w:val="single" w:color="auto" w:sz="4" w:space="0"/>
              <w:right w:val="single" w:color="auto" w:sz="4" w:space="0"/>
            </w:tcBorders>
            <w:vAlign w:val="center"/>
          </w:tcPr>
          <w:p w14:paraId="3BF02042">
            <w:pPr>
              <w:spacing w:line="240" w:lineRule="auto"/>
              <w:ind w:firstLine="630" w:firstLineChars="300"/>
              <w:jc w:val="center"/>
              <w:rPr>
                <w:rFonts w:hint="eastAsia" w:ascii="仿宋_GB2312" w:hAnsi="仿宋_GB2312" w:eastAsia="仿宋_GB2312" w:cs="仿宋_GB2312"/>
                <w:kern w:val="0"/>
              </w:rPr>
            </w:pPr>
            <w:r>
              <w:rPr>
                <w:rFonts w:hint="eastAsia" w:ascii="仿宋_GB2312" w:hAnsi="仿宋_GB2312" w:eastAsia="仿宋_GB2312" w:cs="仿宋_GB2312"/>
                <w:kern w:val="0"/>
              </w:rPr>
              <w:t>其他资金</w:t>
            </w:r>
          </w:p>
        </w:tc>
        <w:tc>
          <w:tcPr>
            <w:tcW w:w="1020" w:type="dxa"/>
            <w:tcBorders>
              <w:top w:val="single" w:color="auto" w:sz="4" w:space="0"/>
              <w:left w:val="single" w:color="auto" w:sz="4" w:space="0"/>
              <w:bottom w:val="single" w:color="auto" w:sz="4" w:space="0"/>
              <w:right w:val="single" w:color="auto" w:sz="4" w:space="0"/>
            </w:tcBorders>
            <w:vAlign w:val="center"/>
          </w:tcPr>
          <w:p w14:paraId="200B8A3D">
            <w:pPr>
              <w:spacing w:line="240" w:lineRule="auto"/>
              <w:ind w:firstLine="420"/>
              <w:jc w:val="center"/>
              <w:rPr>
                <w:rFonts w:hint="eastAsia" w:ascii="仿宋_GB2312" w:hAnsi="仿宋_GB2312" w:eastAsia="仿宋_GB2312" w:cs="仿宋_GB2312"/>
                <w:kern w:val="0"/>
              </w:rPr>
            </w:pPr>
          </w:p>
        </w:tc>
        <w:tc>
          <w:tcPr>
            <w:tcW w:w="1099" w:type="dxa"/>
            <w:tcBorders>
              <w:top w:val="single" w:color="auto" w:sz="4" w:space="0"/>
              <w:left w:val="single" w:color="auto" w:sz="4" w:space="0"/>
              <w:bottom w:val="single" w:color="auto" w:sz="4" w:space="0"/>
              <w:right w:val="single" w:color="auto" w:sz="4" w:space="0"/>
            </w:tcBorders>
            <w:vAlign w:val="center"/>
          </w:tcPr>
          <w:p w14:paraId="6D6EF4ED">
            <w:pPr>
              <w:spacing w:line="240" w:lineRule="auto"/>
              <w:ind w:firstLine="420"/>
              <w:jc w:val="center"/>
              <w:rPr>
                <w:rFonts w:hint="eastAsia" w:ascii="仿宋_GB2312" w:hAnsi="仿宋_GB2312" w:eastAsia="仿宋_GB2312" w:cs="仿宋_GB2312"/>
                <w:kern w:val="0"/>
              </w:rPr>
            </w:pPr>
          </w:p>
        </w:tc>
        <w:tc>
          <w:tcPr>
            <w:tcW w:w="1099" w:type="dxa"/>
            <w:tcBorders>
              <w:top w:val="single" w:color="auto" w:sz="4" w:space="0"/>
              <w:left w:val="single" w:color="auto" w:sz="4" w:space="0"/>
              <w:bottom w:val="single" w:color="auto" w:sz="4" w:space="0"/>
              <w:right w:val="single" w:color="auto" w:sz="4" w:space="0"/>
            </w:tcBorders>
            <w:vAlign w:val="center"/>
          </w:tcPr>
          <w:p w14:paraId="1F8FF54F">
            <w:pPr>
              <w:spacing w:line="240" w:lineRule="auto"/>
              <w:ind w:firstLine="420"/>
              <w:jc w:val="center"/>
              <w:rPr>
                <w:rFonts w:hint="eastAsia" w:ascii="仿宋_GB2312" w:hAnsi="仿宋_GB2312" w:eastAsia="仿宋_GB2312" w:cs="仿宋_GB2312"/>
                <w:kern w:val="0"/>
              </w:rPr>
            </w:pPr>
          </w:p>
        </w:tc>
        <w:tc>
          <w:tcPr>
            <w:tcW w:w="809" w:type="dxa"/>
            <w:tcBorders>
              <w:top w:val="single" w:color="auto" w:sz="4" w:space="0"/>
              <w:left w:val="single" w:color="auto" w:sz="4" w:space="0"/>
              <w:bottom w:val="single" w:color="auto" w:sz="4" w:space="0"/>
              <w:right w:val="single" w:color="auto" w:sz="4" w:space="0"/>
            </w:tcBorders>
            <w:vAlign w:val="center"/>
          </w:tcPr>
          <w:p w14:paraId="26034C40">
            <w:pPr>
              <w:spacing w:line="240" w:lineRule="auto"/>
              <w:ind w:firstLine="420"/>
              <w:jc w:val="center"/>
              <w:rPr>
                <w:rFonts w:hint="eastAsia" w:ascii="仿宋_GB2312" w:hAnsi="仿宋_GB2312" w:eastAsia="仿宋_GB2312" w:cs="仿宋_GB2312"/>
                <w:kern w:val="0"/>
              </w:rPr>
            </w:pPr>
          </w:p>
        </w:tc>
        <w:tc>
          <w:tcPr>
            <w:tcW w:w="849" w:type="dxa"/>
            <w:tcBorders>
              <w:top w:val="single" w:color="auto" w:sz="4" w:space="0"/>
              <w:left w:val="single" w:color="auto" w:sz="4" w:space="0"/>
              <w:bottom w:val="single" w:color="auto" w:sz="4" w:space="0"/>
              <w:right w:val="single" w:color="auto" w:sz="4" w:space="0"/>
            </w:tcBorders>
            <w:vAlign w:val="center"/>
          </w:tcPr>
          <w:p w14:paraId="55043F5A">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49762202">
            <w:pPr>
              <w:spacing w:line="240" w:lineRule="auto"/>
              <w:ind w:firstLine="420"/>
              <w:jc w:val="center"/>
              <w:rPr>
                <w:rFonts w:hint="eastAsia" w:ascii="仿宋_GB2312" w:hAnsi="仿宋_GB2312" w:eastAsia="仿宋_GB2312" w:cs="仿宋_GB2312"/>
                <w:kern w:val="0"/>
              </w:rPr>
            </w:pPr>
          </w:p>
        </w:tc>
      </w:tr>
      <w:tr w14:paraId="2B3A3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right w:val="single" w:color="auto" w:sz="4" w:space="0"/>
            </w:tcBorders>
            <w:vAlign w:val="center"/>
          </w:tcPr>
          <w:p w14:paraId="39B2FC0F">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tcBorders>
              <w:top w:val="single" w:color="auto" w:sz="4" w:space="0"/>
              <w:left w:val="single" w:color="auto" w:sz="4" w:space="0"/>
              <w:bottom w:val="single" w:color="auto" w:sz="4" w:space="0"/>
              <w:right w:val="single" w:color="auto" w:sz="4" w:space="0"/>
            </w:tcBorders>
            <w:vAlign w:val="center"/>
          </w:tcPr>
          <w:p w14:paraId="1BF27AC5">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预期目标</w:t>
            </w:r>
          </w:p>
        </w:tc>
        <w:tc>
          <w:tcPr>
            <w:tcW w:w="4140" w:type="dxa"/>
            <w:gridSpan w:val="4"/>
            <w:tcBorders>
              <w:top w:val="single" w:color="auto" w:sz="4" w:space="0"/>
              <w:left w:val="single" w:color="auto" w:sz="4" w:space="0"/>
              <w:bottom w:val="single" w:color="auto" w:sz="4" w:space="0"/>
              <w:right w:val="single" w:color="auto" w:sz="4" w:space="0"/>
            </w:tcBorders>
            <w:vAlign w:val="center"/>
          </w:tcPr>
          <w:p w14:paraId="17A8F975">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实际完成情况</w:t>
            </w:r>
          </w:p>
        </w:tc>
      </w:tr>
      <w:tr w14:paraId="697BE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right w:val="single" w:color="auto" w:sz="4" w:space="0"/>
            </w:tcBorders>
            <w:vAlign w:val="center"/>
          </w:tcPr>
          <w:p w14:paraId="56489D2B">
            <w:pPr>
              <w:spacing w:line="240" w:lineRule="auto"/>
              <w:ind w:firstLine="420"/>
              <w:jc w:val="center"/>
              <w:rPr>
                <w:rFonts w:ascii="仿宋_GB2312" w:hAnsi="宋体" w:eastAsia="仿宋_GB2312" w:cs="宋体"/>
                <w:kern w:val="0"/>
              </w:rPr>
            </w:pPr>
          </w:p>
        </w:tc>
        <w:tc>
          <w:tcPr>
            <w:tcW w:w="4396" w:type="dxa"/>
            <w:gridSpan w:val="4"/>
            <w:tcBorders>
              <w:top w:val="single" w:color="auto" w:sz="4" w:space="0"/>
              <w:left w:val="single" w:color="auto" w:sz="4" w:space="0"/>
              <w:bottom w:val="single" w:color="auto" w:sz="4" w:space="0"/>
              <w:right w:val="single" w:color="auto" w:sz="4" w:space="0"/>
            </w:tcBorders>
            <w:vAlign w:val="center"/>
          </w:tcPr>
          <w:p w14:paraId="76F06FE7">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1、严厉打击非法行医，规范医疗服务秩序。 2、以创建文明卫生城市为契机，强化公共场所和餐饮具集中消毒服务监督。3、狠抓饮用水和学校卫生，确保群众和师生健康。4、加大职业病防治监督力度.</w:t>
            </w:r>
          </w:p>
        </w:tc>
        <w:tc>
          <w:tcPr>
            <w:tcW w:w="4140" w:type="dxa"/>
            <w:gridSpan w:val="4"/>
            <w:tcBorders>
              <w:top w:val="single" w:color="auto" w:sz="4" w:space="0"/>
              <w:left w:val="single" w:color="auto" w:sz="4" w:space="0"/>
              <w:bottom w:val="single" w:color="auto" w:sz="4" w:space="0"/>
              <w:right w:val="single" w:color="auto" w:sz="4" w:space="0"/>
            </w:tcBorders>
            <w:vAlign w:val="center"/>
          </w:tcPr>
          <w:p w14:paraId="5FD21670">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100%</w:t>
            </w:r>
          </w:p>
        </w:tc>
      </w:tr>
      <w:tr w14:paraId="41745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1054" w:type="dxa"/>
            <w:vMerge w:val="restart"/>
            <w:tcBorders>
              <w:right w:val="single" w:color="auto" w:sz="4" w:space="0"/>
            </w:tcBorders>
            <w:textDirection w:val="tbRlV"/>
            <w:vAlign w:val="center"/>
          </w:tcPr>
          <w:p w14:paraId="29B02BDB">
            <w:pPr>
              <w:spacing w:line="240" w:lineRule="auto"/>
              <w:ind w:firstLine="420"/>
              <w:jc w:val="center"/>
              <w:rPr>
                <w:rFonts w:ascii="仿宋_GB2312" w:hAnsi="宋体" w:eastAsia="仿宋_GB2312" w:cs="宋体"/>
                <w:kern w:val="0"/>
              </w:rPr>
            </w:pPr>
          </w:p>
          <w:p w14:paraId="0596A1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left w:val="single" w:color="auto" w:sz="4" w:space="0"/>
              <w:bottom w:val="single" w:color="auto" w:sz="4" w:space="0"/>
              <w:right w:val="single" w:color="auto" w:sz="4" w:space="0"/>
            </w:tcBorders>
            <w:vAlign w:val="center"/>
          </w:tcPr>
          <w:p w14:paraId="6E841BE1">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一级指标</w:t>
            </w:r>
          </w:p>
        </w:tc>
        <w:tc>
          <w:tcPr>
            <w:tcW w:w="1218" w:type="dxa"/>
            <w:tcBorders>
              <w:top w:val="single" w:color="auto" w:sz="4" w:space="0"/>
              <w:left w:val="single" w:color="auto" w:sz="4" w:space="0"/>
              <w:bottom w:val="single" w:color="auto" w:sz="4" w:space="0"/>
              <w:right w:val="single" w:color="auto" w:sz="4" w:space="0"/>
            </w:tcBorders>
            <w:vAlign w:val="center"/>
          </w:tcPr>
          <w:p w14:paraId="26C1F540">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二级指标</w:t>
            </w:r>
          </w:p>
        </w:tc>
        <w:tc>
          <w:tcPr>
            <w:tcW w:w="1020" w:type="dxa"/>
            <w:tcBorders>
              <w:top w:val="single" w:color="auto" w:sz="4" w:space="0"/>
              <w:left w:val="single" w:color="auto" w:sz="4" w:space="0"/>
              <w:bottom w:val="single" w:color="auto" w:sz="4" w:space="0"/>
              <w:right w:val="single" w:color="auto" w:sz="4" w:space="0"/>
            </w:tcBorders>
            <w:vAlign w:val="center"/>
          </w:tcPr>
          <w:p w14:paraId="15DC87D7">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三级指标</w:t>
            </w:r>
          </w:p>
        </w:tc>
        <w:tc>
          <w:tcPr>
            <w:tcW w:w="1099" w:type="dxa"/>
            <w:tcBorders>
              <w:top w:val="single" w:color="auto" w:sz="4" w:space="0"/>
              <w:left w:val="single" w:color="auto" w:sz="4" w:space="0"/>
              <w:bottom w:val="single" w:color="auto" w:sz="4" w:space="0"/>
              <w:right w:val="single" w:color="auto" w:sz="4" w:space="0"/>
            </w:tcBorders>
            <w:vAlign w:val="center"/>
          </w:tcPr>
          <w:p w14:paraId="1DB05AFF">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年度指标值</w:t>
            </w:r>
          </w:p>
        </w:tc>
        <w:tc>
          <w:tcPr>
            <w:tcW w:w="1099" w:type="dxa"/>
            <w:tcBorders>
              <w:top w:val="single" w:color="auto" w:sz="4" w:space="0"/>
              <w:left w:val="single" w:color="auto" w:sz="4" w:space="0"/>
              <w:bottom w:val="single" w:color="auto" w:sz="4" w:space="0"/>
              <w:right w:val="single" w:color="auto" w:sz="4" w:space="0"/>
            </w:tcBorders>
            <w:vAlign w:val="center"/>
          </w:tcPr>
          <w:p w14:paraId="6B7EB3FD">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实际完成值</w:t>
            </w:r>
          </w:p>
        </w:tc>
        <w:tc>
          <w:tcPr>
            <w:tcW w:w="809" w:type="dxa"/>
            <w:tcBorders>
              <w:top w:val="single" w:color="auto" w:sz="4" w:space="0"/>
              <w:left w:val="single" w:color="auto" w:sz="4" w:space="0"/>
              <w:bottom w:val="single" w:color="auto" w:sz="4" w:space="0"/>
              <w:right w:val="single" w:color="auto" w:sz="4" w:space="0"/>
            </w:tcBorders>
            <w:vAlign w:val="center"/>
          </w:tcPr>
          <w:p w14:paraId="2A84DF65">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分值</w:t>
            </w:r>
          </w:p>
        </w:tc>
        <w:tc>
          <w:tcPr>
            <w:tcW w:w="849" w:type="dxa"/>
            <w:tcBorders>
              <w:top w:val="single" w:color="auto" w:sz="4" w:space="0"/>
              <w:left w:val="single" w:color="auto" w:sz="4" w:space="0"/>
              <w:bottom w:val="single" w:color="auto" w:sz="4" w:space="0"/>
              <w:right w:val="single" w:color="auto" w:sz="4" w:space="0"/>
            </w:tcBorders>
            <w:vAlign w:val="center"/>
          </w:tcPr>
          <w:p w14:paraId="0F4255FD">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得分</w:t>
            </w:r>
          </w:p>
        </w:tc>
        <w:tc>
          <w:tcPr>
            <w:tcW w:w="1383" w:type="dxa"/>
            <w:tcBorders>
              <w:top w:val="single" w:color="auto" w:sz="4" w:space="0"/>
              <w:left w:val="single" w:color="auto" w:sz="4" w:space="0"/>
              <w:bottom w:val="single" w:color="auto" w:sz="4" w:space="0"/>
              <w:right w:val="single" w:color="auto" w:sz="4" w:space="0"/>
            </w:tcBorders>
            <w:vAlign w:val="center"/>
          </w:tcPr>
          <w:p w14:paraId="14ADBB66">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偏差原因分析及改进措施</w:t>
            </w:r>
          </w:p>
        </w:tc>
      </w:tr>
      <w:tr w14:paraId="739BE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2A6D777">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0FC1F137">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产出指标</w:t>
            </w:r>
          </w:p>
          <w:p w14:paraId="0AD4C08A">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仿宋_GB2312" w:hAnsi="仿宋_GB2312" w:eastAsia="仿宋_GB2312" w:cs="仿宋_GB2312"/>
                <w:kern w:val="0"/>
                <w:lang w:val="en-US" w:eastAsia="zh-CN"/>
              </w:rPr>
              <w:t>3</w:t>
            </w:r>
            <w:r>
              <w:rPr>
                <w:rFonts w:hint="eastAsia" w:ascii="仿宋_GB2312" w:hAnsi="仿宋_GB2312" w:eastAsia="仿宋_GB2312" w:cs="仿宋_GB2312"/>
                <w:kern w:val="0"/>
              </w:rPr>
              <w:t>0分)</w:t>
            </w: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604A9230">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5C1DD2F0">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医疗职业卫生监督执法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1CA21830">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502家</w:t>
            </w:r>
          </w:p>
        </w:tc>
        <w:tc>
          <w:tcPr>
            <w:tcW w:w="1099" w:type="dxa"/>
            <w:tcBorders>
              <w:top w:val="single" w:color="auto" w:sz="4" w:space="0"/>
              <w:left w:val="single" w:color="auto" w:sz="4" w:space="0"/>
              <w:bottom w:val="single" w:color="auto" w:sz="4" w:space="0"/>
              <w:right w:val="single" w:color="auto" w:sz="4" w:space="0"/>
            </w:tcBorders>
            <w:vAlign w:val="center"/>
          </w:tcPr>
          <w:p w14:paraId="5961C85A">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502家</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5DE90D46">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lang w:val="en-US" w:eastAsia="zh-CN"/>
              </w:rPr>
            </w:pPr>
          </w:p>
          <w:p w14:paraId="6E4BB736">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p>
          <w:p w14:paraId="4F3E78FD">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p w14:paraId="6DA483E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4E61338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lang w:val="en-US" w:eastAsia="zh-CN"/>
              </w:rPr>
            </w:pPr>
          </w:p>
          <w:p w14:paraId="629F94E9">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en-US" w:bidi="ar-SA"/>
              </w:rPr>
            </w:pPr>
          </w:p>
          <w:p w14:paraId="71440C4C">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p w14:paraId="2A4E0268">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en-US" w:bidi="ar-SA"/>
              </w:rPr>
            </w:pPr>
          </w:p>
        </w:tc>
        <w:tc>
          <w:tcPr>
            <w:tcW w:w="1383" w:type="dxa"/>
            <w:tcBorders>
              <w:top w:val="single" w:color="auto" w:sz="4" w:space="0"/>
              <w:left w:val="single" w:color="auto" w:sz="4" w:space="0"/>
              <w:bottom w:val="single" w:color="auto" w:sz="4" w:space="0"/>
              <w:right w:val="single" w:color="auto" w:sz="4" w:space="0"/>
            </w:tcBorders>
            <w:vAlign w:val="center"/>
          </w:tcPr>
          <w:p w14:paraId="71DA031D">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r>
      <w:tr w14:paraId="533AA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1054" w:type="dxa"/>
            <w:vMerge w:val="continue"/>
            <w:tcBorders>
              <w:right w:val="single" w:color="auto" w:sz="4" w:space="0"/>
            </w:tcBorders>
            <w:textDirection w:val="tbRlV"/>
            <w:vAlign w:val="center"/>
          </w:tcPr>
          <w:p w14:paraId="22D7930C">
            <w:pPr>
              <w:spacing w:line="240" w:lineRule="auto"/>
              <w:ind w:firstLine="420"/>
              <w:jc w:val="center"/>
              <w:rPr>
                <w:rFonts w:ascii="仿宋_GB2312" w:hAnsi="宋体" w:eastAsia="仿宋_GB2312" w:cs="宋体"/>
                <w:kern w:val="0"/>
                <w:lang w:eastAsia="zh-CN"/>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FFD593A">
            <w:pPr>
              <w:spacing w:line="240" w:lineRule="auto"/>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299CAE4B">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368413A1">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公共卫生监督执法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644A3AB7">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553家</w:t>
            </w:r>
          </w:p>
        </w:tc>
        <w:tc>
          <w:tcPr>
            <w:tcW w:w="1099" w:type="dxa"/>
            <w:tcBorders>
              <w:top w:val="single" w:color="auto" w:sz="4" w:space="0"/>
              <w:left w:val="single" w:color="auto" w:sz="4" w:space="0"/>
              <w:bottom w:val="single" w:color="auto" w:sz="4" w:space="0"/>
              <w:right w:val="single" w:color="auto" w:sz="4" w:space="0"/>
            </w:tcBorders>
            <w:vAlign w:val="center"/>
          </w:tcPr>
          <w:p w14:paraId="5CF506CA">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553家</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51DBC45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15642A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257FD03A">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707F1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146398B9">
            <w:pPr>
              <w:spacing w:line="240" w:lineRule="auto"/>
              <w:ind w:firstLine="420"/>
              <w:jc w:val="center"/>
              <w:rPr>
                <w:rFonts w:ascii="仿宋_GB2312" w:hAnsi="宋体" w:eastAsia="仿宋_GB2312" w:cs="宋体"/>
                <w:kern w:val="0"/>
                <w:lang w:eastAsia="zh-CN"/>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6EE74F1">
            <w:pPr>
              <w:spacing w:line="240" w:lineRule="auto"/>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05982525">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7E20A2DB">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职业健康卫生监督检查</w:t>
            </w:r>
          </w:p>
        </w:tc>
        <w:tc>
          <w:tcPr>
            <w:tcW w:w="1099" w:type="dxa"/>
            <w:tcBorders>
              <w:top w:val="single" w:color="auto" w:sz="4" w:space="0"/>
              <w:left w:val="single" w:color="auto" w:sz="4" w:space="0"/>
              <w:bottom w:val="single" w:color="auto" w:sz="4" w:space="0"/>
              <w:right w:val="single" w:color="auto" w:sz="4" w:space="0"/>
            </w:tcBorders>
            <w:vAlign w:val="center"/>
          </w:tcPr>
          <w:p w14:paraId="2399C42B">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400家</w:t>
            </w:r>
          </w:p>
        </w:tc>
        <w:tc>
          <w:tcPr>
            <w:tcW w:w="1099" w:type="dxa"/>
            <w:tcBorders>
              <w:top w:val="single" w:color="auto" w:sz="4" w:space="0"/>
              <w:left w:val="single" w:color="auto" w:sz="4" w:space="0"/>
              <w:bottom w:val="single" w:color="auto" w:sz="4" w:space="0"/>
              <w:right w:val="single" w:color="auto" w:sz="4" w:space="0"/>
            </w:tcBorders>
            <w:vAlign w:val="center"/>
          </w:tcPr>
          <w:p w14:paraId="6903DDF0">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400家</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237C08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01DAE17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5F38E6B8">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34633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5A52551E">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BBD7272">
            <w:pPr>
              <w:spacing w:line="240" w:lineRule="auto"/>
              <w:ind w:firstLine="420"/>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48951CE7">
            <w:pPr>
              <w:spacing w:line="240" w:lineRule="auto"/>
              <w:ind w:firstLine="420"/>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7ADCE091">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饮用水和学校卫生监督执法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6D44E8FF">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216家</w:t>
            </w:r>
          </w:p>
        </w:tc>
        <w:tc>
          <w:tcPr>
            <w:tcW w:w="1099" w:type="dxa"/>
            <w:tcBorders>
              <w:top w:val="single" w:color="auto" w:sz="4" w:space="0"/>
              <w:left w:val="single" w:color="auto" w:sz="4" w:space="0"/>
              <w:bottom w:val="single" w:color="auto" w:sz="4" w:space="0"/>
              <w:right w:val="single" w:color="auto" w:sz="4" w:space="0"/>
            </w:tcBorders>
            <w:vAlign w:val="center"/>
          </w:tcPr>
          <w:p w14:paraId="73636614">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216家</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6289327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0CCB43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205DF773">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465A3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jc w:val="center"/>
        </w:trPr>
        <w:tc>
          <w:tcPr>
            <w:tcW w:w="1054" w:type="dxa"/>
            <w:vMerge w:val="continue"/>
            <w:tcBorders>
              <w:right w:val="single" w:color="auto" w:sz="4" w:space="0"/>
            </w:tcBorders>
            <w:textDirection w:val="tbRlV"/>
            <w:vAlign w:val="center"/>
          </w:tcPr>
          <w:p w14:paraId="4E8A14C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4CC0A67">
            <w:pPr>
              <w:spacing w:line="240" w:lineRule="auto"/>
              <w:ind w:firstLine="420"/>
              <w:jc w:val="center"/>
              <w:rPr>
                <w:rFonts w:hint="eastAsia" w:ascii="仿宋_GB2312" w:hAnsi="仿宋_GB2312" w:eastAsia="仿宋_GB2312" w:cs="仿宋_GB2312"/>
                <w:kern w:val="0"/>
              </w:rPr>
            </w:pP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03A6ED46">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77CF8F29">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医疗职业卫生监督执法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4DA0F9C1">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全覆盖</w:t>
            </w:r>
          </w:p>
        </w:tc>
        <w:tc>
          <w:tcPr>
            <w:tcW w:w="1099" w:type="dxa"/>
            <w:tcBorders>
              <w:top w:val="single" w:color="auto" w:sz="4" w:space="0"/>
              <w:left w:val="single" w:color="auto" w:sz="4" w:space="0"/>
              <w:bottom w:val="single" w:color="auto" w:sz="4" w:space="0"/>
              <w:right w:val="single" w:color="auto" w:sz="4" w:space="0"/>
            </w:tcBorders>
            <w:vAlign w:val="center"/>
          </w:tcPr>
          <w:p w14:paraId="06D2E988">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按年初要求全部完成任务</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08268F1B">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lang w:val="en-US" w:eastAsia="zh-CN"/>
              </w:rPr>
            </w:pPr>
          </w:p>
          <w:p w14:paraId="0422B241">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p>
          <w:p w14:paraId="751E1A38">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w:t>
            </w:r>
          </w:p>
          <w:p w14:paraId="70F5D5C8">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p>
          <w:p w14:paraId="2FB5747C">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2702CDD8">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lang w:val="en-US" w:eastAsia="zh-CN"/>
              </w:rPr>
            </w:pPr>
          </w:p>
          <w:p w14:paraId="4521D818">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p>
          <w:p w14:paraId="1560AE5B">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w:t>
            </w:r>
          </w:p>
          <w:p w14:paraId="14A12BC3">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en-US" w:bidi="ar-SA"/>
              </w:rPr>
            </w:pPr>
          </w:p>
          <w:p w14:paraId="15D7FA15">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en-US" w:bidi="ar-SA"/>
              </w:rPr>
            </w:pPr>
          </w:p>
        </w:tc>
        <w:tc>
          <w:tcPr>
            <w:tcW w:w="1383" w:type="dxa"/>
            <w:tcBorders>
              <w:top w:val="single" w:color="auto" w:sz="4" w:space="0"/>
              <w:left w:val="single" w:color="auto" w:sz="4" w:space="0"/>
              <w:bottom w:val="single" w:color="auto" w:sz="4" w:space="0"/>
              <w:right w:val="single" w:color="auto" w:sz="4" w:space="0"/>
            </w:tcBorders>
            <w:vAlign w:val="center"/>
          </w:tcPr>
          <w:p w14:paraId="4FC10263">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5847B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1054" w:type="dxa"/>
            <w:vMerge w:val="continue"/>
            <w:tcBorders>
              <w:right w:val="single" w:color="auto" w:sz="4" w:space="0"/>
            </w:tcBorders>
            <w:textDirection w:val="tbRlV"/>
            <w:vAlign w:val="center"/>
          </w:tcPr>
          <w:p w14:paraId="2395BAB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C51FAB0">
            <w:pPr>
              <w:spacing w:line="240" w:lineRule="auto"/>
              <w:ind w:firstLine="420"/>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2178F03E">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018C9BC0">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公共卫生监督执法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03084BD5">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全覆盖</w:t>
            </w:r>
          </w:p>
        </w:tc>
        <w:tc>
          <w:tcPr>
            <w:tcW w:w="1099" w:type="dxa"/>
            <w:tcBorders>
              <w:top w:val="single" w:color="auto" w:sz="4" w:space="0"/>
              <w:left w:val="single" w:color="auto" w:sz="4" w:space="0"/>
              <w:bottom w:val="single" w:color="auto" w:sz="4" w:space="0"/>
              <w:right w:val="single" w:color="auto" w:sz="4" w:space="0"/>
            </w:tcBorders>
            <w:vAlign w:val="center"/>
          </w:tcPr>
          <w:p w14:paraId="57D82E2F">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按年初要求全部完成任务</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2730A2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7C734CD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3A413574">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27158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7BB7570D">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7E49969">
            <w:pPr>
              <w:spacing w:line="240" w:lineRule="auto"/>
              <w:ind w:firstLine="420"/>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37DFBCB7">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4E0905C5">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职业健康卫生监督检查</w:t>
            </w:r>
          </w:p>
        </w:tc>
        <w:tc>
          <w:tcPr>
            <w:tcW w:w="1099" w:type="dxa"/>
            <w:tcBorders>
              <w:top w:val="single" w:color="auto" w:sz="4" w:space="0"/>
              <w:left w:val="single" w:color="auto" w:sz="4" w:space="0"/>
              <w:bottom w:val="single" w:color="auto" w:sz="4" w:space="0"/>
              <w:right w:val="single" w:color="auto" w:sz="4" w:space="0"/>
            </w:tcBorders>
            <w:vAlign w:val="center"/>
          </w:tcPr>
          <w:p w14:paraId="51A4CEBC">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全覆盖</w:t>
            </w:r>
          </w:p>
        </w:tc>
        <w:tc>
          <w:tcPr>
            <w:tcW w:w="1099" w:type="dxa"/>
            <w:tcBorders>
              <w:top w:val="single" w:color="auto" w:sz="4" w:space="0"/>
              <w:left w:val="single" w:color="auto" w:sz="4" w:space="0"/>
              <w:bottom w:val="single" w:color="auto" w:sz="4" w:space="0"/>
              <w:right w:val="single" w:color="auto" w:sz="4" w:space="0"/>
            </w:tcBorders>
            <w:vAlign w:val="center"/>
          </w:tcPr>
          <w:p w14:paraId="10480D70">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按年初要求全部完成任务</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05CBA3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5</w:t>
            </w: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39E450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5</w:t>
            </w:r>
          </w:p>
        </w:tc>
        <w:tc>
          <w:tcPr>
            <w:tcW w:w="1383" w:type="dxa"/>
            <w:tcBorders>
              <w:top w:val="single" w:color="auto" w:sz="4" w:space="0"/>
              <w:left w:val="single" w:color="auto" w:sz="4" w:space="0"/>
              <w:bottom w:val="single" w:color="auto" w:sz="4" w:space="0"/>
              <w:right w:val="single" w:color="auto" w:sz="4" w:space="0"/>
            </w:tcBorders>
            <w:vAlign w:val="center"/>
          </w:tcPr>
          <w:p w14:paraId="0164939B">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51E8C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592E4F1B">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FF43711">
            <w:pPr>
              <w:spacing w:line="240" w:lineRule="auto"/>
              <w:ind w:firstLine="420"/>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43303E6E">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5EE70F67">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饮用水和学校卫生监督执法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3BDFF147">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全覆盖</w:t>
            </w:r>
          </w:p>
        </w:tc>
        <w:tc>
          <w:tcPr>
            <w:tcW w:w="1099" w:type="dxa"/>
            <w:tcBorders>
              <w:top w:val="single" w:color="auto" w:sz="4" w:space="0"/>
              <w:left w:val="single" w:color="auto" w:sz="4" w:space="0"/>
              <w:bottom w:val="single" w:color="auto" w:sz="4" w:space="0"/>
              <w:right w:val="single" w:color="auto" w:sz="4" w:space="0"/>
            </w:tcBorders>
            <w:vAlign w:val="center"/>
          </w:tcPr>
          <w:p w14:paraId="29A4FAAF">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按年初要求全部完成任务</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33D28F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5F15003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6388AC5C">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23582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cBorders>
              <w:right w:val="single" w:color="auto" w:sz="4" w:space="0"/>
            </w:tcBorders>
            <w:textDirection w:val="tbRlV"/>
            <w:vAlign w:val="center"/>
          </w:tcPr>
          <w:p w14:paraId="57958FF9">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EC47DB1">
            <w:pPr>
              <w:spacing w:line="240" w:lineRule="auto"/>
              <w:ind w:firstLine="42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39CA043E">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23B1D764">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7416B1B6">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年内完成</w:t>
            </w:r>
          </w:p>
        </w:tc>
        <w:tc>
          <w:tcPr>
            <w:tcW w:w="1099" w:type="dxa"/>
            <w:tcBorders>
              <w:top w:val="single" w:color="auto" w:sz="4" w:space="0"/>
              <w:left w:val="single" w:color="auto" w:sz="4" w:space="0"/>
              <w:bottom w:val="single" w:color="auto" w:sz="4" w:space="0"/>
              <w:right w:val="single" w:color="auto" w:sz="4" w:space="0"/>
            </w:tcBorders>
            <w:vAlign w:val="center"/>
          </w:tcPr>
          <w:p w14:paraId="65D90812">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及时完成</w:t>
            </w:r>
          </w:p>
        </w:tc>
        <w:tc>
          <w:tcPr>
            <w:tcW w:w="809" w:type="dxa"/>
            <w:tcBorders>
              <w:top w:val="single" w:color="auto" w:sz="4" w:space="0"/>
              <w:left w:val="single" w:color="auto" w:sz="4" w:space="0"/>
              <w:bottom w:val="single" w:color="auto" w:sz="4" w:space="0"/>
              <w:right w:val="single" w:color="auto" w:sz="4" w:space="0"/>
            </w:tcBorders>
            <w:vAlign w:val="center"/>
          </w:tcPr>
          <w:p w14:paraId="59150EC3">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tc>
        <w:tc>
          <w:tcPr>
            <w:tcW w:w="849" w:type="dxa"/>
            <w:tcBorders>
              <w:top w:val="single" w:color="auto" w:sz="4" w:space="0"/>
              <w:left w:val="single" w:color="auto" w:sz="4" w:space="0"/>
              <w:bottom w:val="single" w:color="auto" w:sz="4" w:space="0"/>
              <w:right w:val="single" w:color="auto" w:sz="4" w:space="0"/>
            </w:tcBorders>
            <w:vAlign w:val="center"/>
          </w:tcPr>
          <w:p w14:paraId="08A14FE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tc>
        <w:tc>
          <w:tcPr>
            <w:tcW w:w="1383" w:type="dxa"/>
            <w:tcBorders>
              <w:top w:val="single" w:color="auto" w:sz="4" w:space="0"/>
              <w:left w:val="single" w:color="auto" w:sz="4" w:space="0"/>
              <w:bottom w:val="single" w:color="auto" w:sz="4" w:space="0"/>
              <w:right w:val="single" w:color="auto" w:sz="4" w:space="0"/>
            </w:tcBorders>
            <w:vAlign w:val="center"/>
          </w:tcPr>
          <w:p w14:paraId="341580A4">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4B524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D465196">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C8FDC22">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效益指标</w:t>
            </w:r>
          </w:p>
          <w:p w14:paraId="310B8D59">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(30分)</w:t>
            </w:r>
          </w:p>
        </w:tc>
        <w:tc>
          <w:tcPr>
            <w:tcW w:w="1218" w:type="dxa"/>
            <w:tcBorders>
              <w:top w:val="single" w:color="auto" w:sz="4" w:space="0"/>
              <w:left w:val="single" w:color="auto" w:sz="4" w:space="0"/>
              <w:bottom w:val="single" w:color="auto" w:sz="4" w:space="0"/>
              <w:right w:val="single" w:color="auto" w:sz="4" w:space="0"/>
            </w:tcBorders>
            <w:vAlign w:val="center"/>
          </w:tcPr>
          <w:p w14:paraId="06AC2EC0">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经济效益指标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71B17BC1">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减轻群众负担</w:t>
            </w:r>
          </w:p>
        </w:tc>
        <w:tc>
          <w:tcPr>
            <w:tcW w:w="1099" w:type="dxa"/>
            <w:tcBorders>
              <w:top w:val="single" w:color="auto" w:sz="4" w:space="0"/>
              <w:left w:val="single" w:color="auto" w:sz="4" w:space="0"/>
              <w:bottom w:val="single" w:color="auto" w:sz="4" w:space="0"/>
              <w:right w:val="single" w:color="auto" w:sz="4" w:space="0"/>
            </w:tcBorders>
            <w:vAlign w:val="center"/>
          </w:tcPr>
          <w:p w14:paraId="2428E963">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34A0DC44">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809" w:type="dxa"/>
            <w:tcBorders>
              <w:top w:val="single" w:color="auto" w:sz="4" w:space="0"/>
              <w:left w:val="single" w:color="auto" w:sz="4" w:space="0"/>
              <w:bottom w:val="single" w:color="auto" w:sz="4" w:space="0"/>
              <w:right w:val="single" w:color="auto" w:sz="4" w:space="0"/>
            </w:tcBorders>
            <w:vAlign w:val="center"/>
          </w:tcPr>
          <w:p w14:paraId="441380E8">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849" w:type="dxa"/>
            <w:tcBorders>
              <w:top w:val="single" w:color="auto" w:sz="4" w:space="0"/>
              <w:left w:val="single" w:color="auto" w:sz="4" w:space="0"/>
              <w:bottom w:val="single" w:color="auto" w:sz="4" w:space="0"/>
              <w:right w:val="single" w:color="auto" w:sz="4" w:space="0"/>
            </w:tcBorders>
            <w:vAlign w:val="center"/>
          </w:tcPr>
          <w:p w14:paraId="0AD13227">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1383" w:type="dxa"/>
            <w:tcBorders>
              <w:top w:val="single" w:color="auto" w:sz="4" w:space="0"/>
              <w:left w:val="single" w:color="auto" w:sz="4" w:space="0"/>
              <w:bottom w:val="single" w:color="auto" w:sz="4" w:space="0"/>
              <w:right w:val="single" w:color="auto" w:sz="4" w:space="0"/>
            </w:tcBorders>
            <w:vAlign w:val="center"/>
          </w:tcPr>
          <w:p w14:paraId="2ED945FD">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逐步提高</w:t>
            </w:r>
          </w:p>
        </w:tc>
      </w:tr>
      <w:tr w14:paraId="69134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0833A0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9183549">
            <w:pPr>
              <w:spacing w:line="240" w:lineRule="auto"/>
              <w:ind w:firstLine="42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3A352C21">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社会效益指标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601BF477">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优化卫计监督执法工作</w:t>
            </w:r>
          </w:p>
        </w:tc>
        <w:tc>
          <w:tcPr>
            <w:tcW w:w="1099" w:type="dxa"/>
            <w:tcBorders>
              <w:top w:val="single" w:color="auto" w:sz="4" w:space="0"/>
              <w:left w:val="single" w:color="auto" w:sz="4" w:space="0"/>
              <w:bottom w:val="single" w:color="auto" w:sz="4" w:space="0"/>
              <w:right w:val="single" w:color="auto" w:sz="4" w:space="0"/>
            </w:tcBorders>
            <w:vAlign w:val="center"/>
          </w:tcPr>
          <w:p w14:paraId="5B144B67">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3599F273">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809" w:type="dxa"/>
            <w:tcBorders>
              <w:top w:val="single" w:color="auto" w:sz="4" w:space="0"/>
              <w:left w:val="single" w:color="auto" w:sz="4" w:space="0"/>
              <w:bottom w:val="single" w:color="auto" w:sz="4" w:space="0"/>
              <w:right w:val="single" w:color="auto" w:sz="4" w:space="0"/>
            </w:tcBorders>
            <w:vAlign w:val="center"/>
          </w:tcPr>
          <w:p w14:paraId="7F698D30">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849" w:type="dxa"/>
            <w:tcBorders>
              <w:top w:val="single" w:color="auto" w:sz="4" w:space="0"/>
              <w:left w:val="single" w:color="auto" w:sz="4" w:space="0"/>
              <w:bottom w:val="single" w:color="auto" w:sz="4" w:space="0"/>
              <w:right w:val="single" w:color="auto" w:sz="4" w:space="0"/>
            </w:tcBorders>
            <w:vAlign w:val="center"/>
          </w:tcPr>
          <w:p w14:paraId="54B36B37">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1383" w:type="dxa"/>
            <w:tcBorders>
              <w:top w:val="single" w:color="auto" w:sz="4" w:space="0"/>
              <w:left w:val="single" w:color="auto" w:sz="4" w:space="0"/>
              <w:bottom w:val="single" w:color="auto" w:sz="4" w:space="0"/>
              <w:right w:val="single" w:color="auto" w:sz="4" w:space="0"/>
            </w:tcBorders>
            <w:vAlign w:val="center"/>
          </w:tcPr>
          <w:p w14:paraId="408A5E61">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逐步优化</w:t>
            </w:r>
          </w:p>
        </w:tc>
      </w:tr>
      <w:tr w14:paraId="60F6F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54837167">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4135C76">
            <w:pPr>
              <w:spacing w:line="240" w:lineRule="auto"/>
              <w:ind w:firstLine="42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4FE37C80">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生态效益指标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05A12D48">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规范医疗市场监管</w:t>
            </w:r>
          </w:p>
        </w:tc>
        <w:tc>
          <w:tcPr>
            <w:tcW w:w="1099" w:type="dxa"/>
            <w:tcBorders>
              <w:top w:val="single" w:color="auto" w:sz="4" w:space="0"/>
              <w:left w:val="single" w:color="auto" w:sz="4" w:space="0"/>
              <w:bottom w:val="single" w:color="auto" w:sz="4" w:space="0"/>
              <w:right w:val="single" w:color="auto" w:sz="4" w:space="0"/>
            </w:tcBorders>
            <w:vAlign w:val="center"/>
          </w:tcPr>
          <w:p w14:paraId="1835D93B">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7416D932">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809" w:type="dxa"/>
            <w:tcBorders>
              <w:top w:val="single" w:color="auto" w:sz="4" w:space="0"/>
              <w:left w:val="single" w:color="auto" w:sz="4" w:space="0"/>
              <w:bottom w:val="single" w:color="auto" w:sz="4" w:space="0"/>
              <w:right w:val="single" w:color="auto" w:sz="4" w:space="0"/>
            </w:tcBorders>
            <w:vAlign w:val="center"/>
          </w:tcPr>
          <w:p w14:paraId="2DC184BE">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849" w:type="dxa"/>
            <w:tcBorders>
              <w:top w:val="single" w:color="auto" w:sz="4" w:space="0"/>
              <w:left w:val="single" w:color="auto" w:sz="4" w:space="0"/>
              <w:bottom w:val="single" w:color="auto" w:sz="4" w:space="0"/>
              <w:right w:val="single" w:color="auto" w:sz="4" w:space="0"/>
            </w:tcBorders>
            <w:vAlign w:val="center"/>
          </w:tcPr>
          <w:p w14:paraId="7648F25D">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1383" w:type="dxa"/>
            <w:tcBorders>
              <w:top w:val="single" w:color="auto" w:sz="4" w:space="0"/>
              <w:left w:val="single" w:color="auto" w:sz="4" w:space="0"/>
              <w:bottom w:val="single" w:color="auto" w:sz="4" w:space="0"/>
              <w:right w:val="single" w:color="auto" w:sz="4" w:space="0"/>
            </w:tcBorders>
            <w:vAlign w:val="center"/>
          </w:tcPr>
          <w:p w14:paraId="245AE130">
            <w:pPr>
              <w:pStyle w:val="9"/>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逐步提高</w:t>
            </w:r>
          </w:p>
        </w:tc>
      </w:tr>
      <w:tr w14:paraId="6DBBA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197F7587">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C550735">
            <w:pPr>
              <w:spacing w:line="240" w:lineRule="auto"/>
              <w:ind w:firstLine="42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6E7F8916">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可持续影响指标</w:t>
            </w:r>
          </w:p>
        </w:tc>
        <w:tc>
          <w:tcPr>
            <w:tcW w:w="1020" w:type="dxa"/>
            <w:tcBorders>
              <w:top w:val="single" w:color="auto" w:sz="4" w:space="0"/>
              <w:left w:val="single" w:color="auto" w:sz="4" w:space="0"/>
              <w:bottom w:val="single" w:color="auto" w:sz="4" w:space="0"/>
              <w:right w:val="single" w:color="auto" w:sz="4" w:space="0"/>
            </w:tcBorders>
            <w:vAlign w:val="center"/>
          </w:tcPr>
          <w:p w14:paraId="76A77D1A">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保障全市人民安全健康生活环境</w:t>
            </w:r>
          </w:p>
        </w:tc>
        <w:tc>
          <w:tcPr>
            <w:tcW w:w="1099" w:type="dxa"/>
            <w:tcBorders>
              <w:top w:val="single" w:color="auto" w:sz="4" w:space="0"/>
              <w:left w:val="single" w:color="auto" w:sz="4" w:space="0"/>
              <w:bottom w:val="single" w:color="auto" w:sz="4" w:space="0"/>
              <w:right w:val="single" w:color="auto" w:sz="4" w:space="0"/>
            </w:tcBorders>
            <w:vAlign w:val="center"/>
          </w:tcPr>
          <w:p w14:paraId="5AF18782">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2005021D">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99%</w:t>
            </w:r>
          </w:p>
        </w:tc>
        <w:tc>
          <w:tcPr>
            <w:tcW w:w="809" w:type="dxa"/>
            <w:tcBorders>
              <w:top w:val="single" w:color="auto" w:sz="4" w:space="0"/>
              <w:left w:val="single" w:color="auto" w:sz="4" w:space="0"/>
              <w:bottom w:val="single" w:color="auto" w:sz="4" w:space="0"/>
              <w:right w:val="single" w:color="auto" w:sz="4" w:space="0"/>
            </w:tcBorders>
            <w:vAlign w:val="center"/>
          </w:tcPr>
          <w:p w14:paraId="4943637C">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849" w:type="dxa"/>
            <w:tcBorders>
              <w:top w:val="single" w:color="auto" w:sz="4" w:space="0"/>
              <w:left w:val="single" w:color="auto" w:sz="4" w:space="0"/>
              <w:bottom w:val="single" w:color="auto" w:sz="4" w:space="0"/>
              <w:right w:val="single" w:color="auto" w:sz="4" w:space="0"/>
            </w:tcBorders>
            <w:vAlign w:val="center"/>
          </w:tcPr>
          <w:p w14:paraId="1FCE34F8">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7</w:t>
            </w:r>
          </w:p>
        </w:tc>
        <w:tc>
          <w:tcPr>
            <w:tcW w:w="1383" w:type="dxa"/>
            <w:tcBorders>
              <w:top w:val="single" w:color="auto" w:sz="4" w:space="0"/>
              <w:left w:val="single" w:color="auto" w:sz="4" w:space="0"/>
              <w:bottom w:val="single" w:color="auto" w:sz="4" w:space="0"/>
              <w:right w:val="single" w:color="auto" w:sz="4" w:space="0"/>
            </w:tcBorders>
            <w:vAlign w:val="center"/>
          </w:tcPr>
          <w:p w14:paraId="2DA8F312">
            <w:pPr>
              <w:pStyle w:val="9"/>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逐步提高</w:t>
            </w:r>
          </w:p>
        </w:tc>
      </w:tr>
      <w:tr w14:paraId="77035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1498EA3F">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0675D8E6">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满意度指标(10分)</w:t>
            </w:r>
          </w:p>
        </w:tc>
        <w:tc>
          <w:tcPr>
            <w:tcW w:w="1218" w:type="dxa"/>
            <w:tcBorders>
              <w:top w:val="single" w:color="auto" w:sz="4" w:space="0"/>
              <w:left w:val="single" w:color="auto" w:sz="4" w:space="0"/>
              <w:bottom w:val="single" w:color="auto" w:sz="4" w:space="0"/>
              <w:right w:val="single" w:color="auto" w:sz="4" w:space="0"/>
            </w:tcBorders>
            <w:vAlign w:val="center"/>
          </w:tcPr>
          <w:p w14:paraId="70F1EE9E">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服务对象满意度指标</w:t>
            </w:r>
          </w:p>
        </w:tc>
        <w:tc>
          <w:tcPr>
            <w:tcW w:w="1020" w:type="dxa"/>
            <w:tcBorders>
              <w:top w:val="single" w:color="auto" w:sz="4" w:space="0"/>
              <w:left w:val="single" w:color="auto" w:sz="4" w:space="0"/>
              <w:bottom w:val="single" w:color="auto" w:sz="4" w:space="0"/>
              <w:right w:val="single" w:color="auto" w:sz="4" w:space="0"/>
            </w:tcBorders>
            <w:vAlign w:val="center"/>
          </w:tcPr>
          <w:p w14:paraId="2DDA24A1">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社会公众满意度</w:t>
            </w:r>
          </w:p>
        </w:tc>
        <w:tc>
          <w:tcPr>
            <w:tcW w:w="1099" w:type="dxa"/>
            <w:tcBorders>
              <w:top w:val="single" w:color="auto" w:sz="4" w:space="0"/>
              <w:left w:val="single" w:color="auto" w:sz="4" w:space="0"/>
              <w:bottom w:val="single" w:color="auto" w:sz="4" w:space="0"/>
              <w:right w:val="single" w:color="auto" w:sz="4" w:space="0"/>
            </w:tcBorders>
            <w:vAlign w:val="center"/>
          </w:tcPr>
          <w:p w14:paraId="33288EE4">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5D35B5A7">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99%</w:t>
            </w:r>
          </w:p>
        </w:tc>
        <w:tc>
          <w:tcPr>
            <w:tcW w:w="809" w:type="dxa"/>
            <w:tcBorders>
              <w:top w:val="single" w:color="auto" w:sz="4" w:space="0"/>
              <w:left w:val="single" w:color="auto" w:sz="4" w:space="0"/>
              <w:bottom w:val="single" w:color="auto" w:sz="4" w:space="0"/>
              <w:right w:val="single" w:color="auto" w:sz="4" w:space="0"/>
            </w:tcBorders>
            <w:vAlign w:val="center"/>
          </w:tcPr>
          <w:p w14:paraId="192E1E8A">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tc>
        <w:tc>
          <w:tcPr>
            <w:tcW w:w="849" w:type="dxa"/>
            <w:tcBorders>
              <w:top w:val="single" w:color="auto" w:sz="4" w:space="0"/>
              <w:left w:val="single" w:color="auto" w:sz="4" w:space="0"/>
              <w:bottom w:val="single" w:color="auto" w:sz="4" w:space="0"/>
              <w:right w:val="single" w:color="auto" w:sz="4" w:space="0"/>
            </w:tcBorders>
            <w:vAlign w:val="center"/>
          </w:tcPr>
          <w:p w14:paraId="78F8CBD2">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9.5</w:t>
            </w:r>
          </w:p>
        </w:tc>
        <w:tc>
          <w:tcPr>
            <w:tcW w:w="1383" w:type="dxa"/>
            <w:tcBorders>
              <w:top w:val="single" w:color="auto" w:sz="4" w:space="0"/>
              <w:left w:val="single" w:color="auto" w:sz="4" w:space="0"/>
              <w:bottom w:val="single" w:color="auto" w:sz="4" w:space="0"/>
              <w:right w:val="single" w:color="auto" w:sz="4" w:space="0"/>
            </w:tcBorders>
            <w:vAlign w:val="center"/>
          </w:tcPr>
          <w:p w14:paraId="457204C2">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逐步改善</w:t>
            </w:r>
          </w:p>
        </w:tc>
      </w:tr>
      <w:tr w14:paraId="35EC1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382B289B">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1FCC565">
            <w:pPr>
              <w:spacing w:line="240" w:lineRule="auto"/>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成本指标</w:t>
            </w:r>
          </w:p>
          <w:p w14:paraId="7D056843">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6C2150DB">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lang w:eastAsia="zh-CN"/>
              </w:rPr>
              <w:t>经济成本指标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0D699A5A">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卫计监督执法经费</w:t>
            </w:r>
          </w:p>
        </w:tc>
        <w:tc>
          <w:tcPr>
            <w:tcW w:w="1099" w:type="dxa"/>
            <w:tcBorders>
              <w:top w:val="single" w:color="auto" w:sz="4" w:space="0"/>
              <w:left w:val="single" w:color="auto" w:sz="4" w:space="0"/>
              <w:bottom w:val="single" w:color="auto" w:sz="4" w:space="0"/>
              <w:right w:val="single" w:color="auto" w:sz="4" w:space="0"/>
            </w:tcBorders>
            <w:vAlign w:val="center"/>
          </w:tcPr>
          <w:p w14:paraId="127BA39A">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年初预算</w:t>
            </w:r>
          </w:p>
        </w:tc>
        <w:tc>
          <w:tcPr>
            <w:tcW w:w="1099" w:type="dxa"/>
            <w:tcBorders>
              <w:top w:val="single" w:color="auto" w:sz="4" w:space="0"/>
              <w:left w:val="single" w:color="auto" w:sz="4" w:space="0"/>
              <w:bottom w:val="single" w:color="auto" w:sz="4" w:space="0"/>
              <w:right w:val="single" w:color="auto" w:sz="4" w:space="0"/>
            </w:tcBorders>
            <w:vAlign w:val="center"/>
          </w:tcPr>
          <w:p w14:paraId="19A23F63">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已完成</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5F156270">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lang w:val="en-US" w:eastAsia="zh-CN"/>
              </w:rPr>
            </w:pPr>
          </w:p>
          <w:p w14:paraId="7F9563AB">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w:t>
            </w:r>
          </w:p>
          <w:p w14:paraId="22B346B0">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54C1CE6E">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lang w:eastAsia="zh-CN"/>
              </w:rPr>
            </w:pPr>
          </w:p>
          <w:p w14:paraId="4D738DFA">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w:t>
            </w:r>
          </w:p>
          <w:p w14:paraId="7C3E2EB5">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c>
          <w:tcPr>
            <w:tcW w:w="1383" w:type="dxa"/>
            <w:tcBorders>
              <w:top w:val="single" w:color="auto" w:sz="4" w:space="0"/>
              <w:left w:val="single" w:color="auto" w:sz="4" w:space="0"/>
              <w:bottom w:val="single" w:color="auto" w:sz="4" w:space="0"/>
              <w:right w:val="single" w:color="auto" w:sz="4" w:space="0"/>
            </w:tcBorders>
            <w:vAlign w:val="center"/>
          </w:tcPr>
          <w:p w14:paraId="0314565B">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35AA4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7D302D19">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858F7E1">
            <w:pPr>
              <w:spacing w:line="240" w:lineRule="auto"/>
              <w:ind w:firstLine="420" w:firstLineChars="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23EA450B">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lang w:eastAsia="zh-CN"/>
              </w:rPr>
              <w:t>社会成本指标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3BF1CA96">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社会成本指标</w:t>
            </w:r>
          </w:p>
        </w:tc>
        <w:tc>
          <w:tcPr>
            <w:tcW w:w="1099" w:type="dxa"/>
            <w:tcBorders>
              <w:top w:val="single" w:color="auto" w:sz="4" w:space="0"/>
              <w:left w:val="single" w:color="auto" w:sz="4" w:space="0"/>
              <w:bottom w:val="single" w:color="auto" w:sz="4" w:space="0"/>
              <w:right w:val="single" w:color="auto" w:sz="4" w:space="0"/>
            </w:tcBorders>
            <w:vAlign w:val="center"/>
          </w:tcPr>
          <w:p w14:paraId="46ACCB9F">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对社会可能造成的负面影响</w:t>
            </w:r>
          </w:p>
        </w:tc>
        <w:tc>
          <w:tcPr>
            <w:tcW w:w="1099" w:type="dxa"/>
            <w:tcBorders>
              <w:top w:val="single" w:color="auto" w:sz="4" w:space="0"/>
              <w:left w:val="single" w:color="auto" w:sz="4" w:space="0"/>
              <w:bottom w:val="single" w:color="auto" w:sz="4" w:space="0"/>
              <w:right w:val="single" w:color="auto" w:sz="4" w:space="0"/>
            </w:tcBorders>
            <w:vAlign w:val="center"/>
          </w:tcPr>
          <w:p w14:paraId="165B8A15">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44FFC53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4E69B2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3EB87A5C">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r>
      <w:tr w14:paraId="589C5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36F273B1">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D98D957">
            <w:pPr>
              <w:spacing w:line="240" w:lineRule="auto"/>
              <w:ind w:firstLine="420" w:firstLineChars="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62CC881D">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lang w:eastAsia="zh-CN"/>
              </w:rPr>
              <w:t>生态环境成本指标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73DD2DB0">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生态环境成本指标</w:t>
            </w:r>
          </w:p>
        </w:tc>
        <w:tc>
          <w:tcPr>
            <w:tcW w:w="1099" w:type="dxa"/>
            <w:tcBorders>
              <w:top w:val="single" w:color="auto" w:sz="4" w:space="0"/>
              <w:left w:val="single" w:color="auto" w:sz="4" w:space="0"/>
              <w:bottom w:val="single" w:color="auto" w:sz="4" w:space="0"/>
              <w:right w:val="single" w:color="auto" w:sz="4" w:space="0"/>
            </w:tcBorders>
            <w:vAlign w:val="center"/>
          </w:tcPr>
          <w:p w14:paraId="0C557A92">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对自然环境可能造成的负面影响</w:t>
            </w:r>
          </w:p>
        </w:tc>
        <w:tc>
          <w:tcPr>
            <w:tcW w:w="1099" w:type="dxa"/>
            <w:tcBorders>
              <w:top w:val="single" w:color="auto" w:sz="4" w:space="0"/>
              <w:left w:val="single" w:color="auto" w:sz="4" w:space="0"/>
              <w:bottom w:val="single" w:color="auto" w:sz="4" w:space="0"/>
              <w:right w:val="single" w:color="auto" w:sz="4" w:space="0"/>
            </w:tcBorders>
            <w:vAlign w:val="center"/>
          </w:tcPr>
          <w:p w14:paraId="6BF46ABB">
            <w:pPr>
              <w:pStyle w:val="9"/>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696A806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0BAD78F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6237D193">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r>
      <w:tr w14:paraId="355D2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E6A3683">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总分</w:t>
            </w:r>
          </w:p>
        </w:tc>
        <w:tc>
          <w:tcPr>
            <w:tcW w:w="809" w:type="dxa"/>
            <w:vAlign w:val="center"/>
          </w:tcPr>
          <w:p w14:paraId="18A903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rPr>
            </w:pPr>
            <w:r>
              <w:rPr>
                <w:rFonts w:hint="eastAsia" w:ascii="仿宋_GB2312" w:hAnsi="仿宋_GB2312" w:eastAsia="仿宋_GB2312" w:cs="仿宋_GB2312"/>
                <w:kern w:val="0"/>
              </w:rPr>
              <w:t>100</w:t>
            </w:r>
          </w:p>
        </w:tc>
        <w:tc>
          <w:tcPr>
            <w:tcW w:w="849" w:type="dxa"/>
            <w:vAlign w:val="center"/>
          </w:tcPr>
          <w:p w14:paraId="58FC07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99</w:t>
            </w:r>
          </w:p>
        </w:tc>
        <w:tc>
          <w:tcPr>
            <w:tcW w:w="1383" w:type="dxa"/>
            <w:vAlign w:val="center"/>
          </w:tcPr>
          <w:p w14:paraId="57201B2B">
            <w:pPr>
              <w:spacing w:line="240" w:lineRule="auto"/>
              <w:ind w:firstLine="420"/>
              <w:jc w:val="center"/>
              <w:rPr>
                <w:rFonts w:hint="eastAsia" w:ascii="仿宋_GB2312" w:hAnsi="仿宋_GB2312" w:eastAsia="仿宋_GB2312" w:cs="仿宋_GB2312"/>
                <w:kern w:val="0"/>
              </w:rPr>
            </w:pPr>
          </w:p>
        </w:tc>
      </w:tr>
    </w:tbl>
    <w:p w14:paraId="4D53E1E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0DB22CF">
      <w:pPr>
        <w:spacing w:line="240" w:lineRule="auto"/>
        <w:ind w:firstLine="420"/>
        <w:jc w:val="left"/>
        <w:rPr>
          <w:rFonts w:ascii="宋体" w:hAnsi="宋体" w:eastAsia="宋体" w:cs="宋体"/>
          <w:kern w:val="0"/>
          <w:lang w:eastAsia="zh-CN"/>
        </w:rPr>
      </w:pPr>
    </w:p>
    <w:p w14:paraId="7B08CB4D">
      <w:pPr>
        <w:keepNext w:val="0"/>
        <w:keepLines w:val="0"/>
        <w:pageBreakBefore w:val="0"/>
        <w:widowControl/>
        <w:kinsoku w:val="0"/>
        <w:wordWrap/>
        <w:overflowPunct/>
        <w:topLinePunct w:val="0"/>
        <w:autoSpaceDE w:val="0"/>
        <w:autoSpaceDN w:val="0"/>
        <w:bidi w:val="0"/>
        <w:adjustRightInd w:val="0"/>
        <w:snapToGrid w:val="0"/>
        <w:spacing w:before="293" w:line="236" w:lineRule="auto"/>
        <w:ind w:firstLine="0"/>
        <w:textAlignment w:val="baseline"/>
        <w:rPr>
          <w:rFonts w:hint="default"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彭云</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2025.9.20</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13407302850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黎清华</w:t>
      </w:r>
    </w:p>
    <w:p w14:paraId="1146FE9C">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p>
    <w:p w14:paraId="03E15E73">
      <w:pPr>
        <w:spacing w:line="267" w:lineRule="auto"/>
        <w:ind w:firstLine="552"/>
        <w:jc w:val="both"/>
        <w:rPr>
          <w:rFonts w:hint="eastAsia" w:ascii="仿宋_GB2312" w:hAnsi="宋体" w:eastAsia="仿宋_GB2312" w:cs="宋体"/>
          <w:kern w:val="0"/>
          <w:lang w:eastAsia="zh-CN"/>
        </w:rPr>
      </w:pPr>
    </w:p>
    <w:p w14:paraId="36953AD6">
      <w:pPr>
        <w:spacing w:line="267" w:lineRule="auto"/>
        <w:ind w:firstLine="552"/>
        <w:jc w:val="both"/>
        <w:rPr>
          <w:rFonts w:hint="eastAsia" w:ascii="仿宋_GB2312" w:hAnsi="宋体" w:eastAsia="仿宋_GB2312" w:cs="宋体"/>
          <w:kern w:val="0"/>
          <w:lang w:eastAsia="zh-CN"/>
        </w:rPr>
      </w:pPr>
    </w:p>
    <w:p w14:paraId="2D6A8099">
      <w:pPr>
        <w:spacing w:line="267" w:lineRule="auto"/>
        <w:ind w:firstLine="552"/>
        <w:jc w:val="both"/>
        <w:rPr>
          <w:rFonts w:hint="eastAsia" w:ascii="仿宋_GB2312" w:hAnsi="宋体" w:eastAsia="仿宋_GB2312" w:cs="宋体"/>
          <w:kern w:val="0"/>
          <w:lang w:eastAsia="zh-CN"/>
        </w:rPr>
      </w:pPr>
    </w:p>
    <w:p w14:paraId="1FD93232">
      <w:pPr>
        <w:spacing w:line="267" w:lineRule="auto"/>
        <w:ind w:firstLine="552"/>
        <w:jc w:val="both"/>
        <w:rPr>
          <w:rFonts w:hint="eastAsia" w:ascii="仿宋_GB2312" w:hAnsi="宋体" w:eastAsia="仿宋_GB2312" w:cs="宋体"/>
          <w:kern w:val="0"/>
          <w:lang w:eastAsia="zh-CN"/>
        </w:rPr>
      </w:pPr>
    </w:p>
    <w:p w14:paraId="632A61A5">
      <w:pPr>
        <w:spacing w:line="267" w:lineRule="auto"/>
        <w:ind w:firstLine="552"/>
        <w:jc w:val="both"/>
        <w:rPr>
          <w:rFonts w:hint="eastAsia" w:ascii="仿宋_GB2312" w:hAnsi="宋体" w:eastAsia="仿宋_GB2312" w:cs="宋体"/>
          <w:kern w:val="0"/>
          <w:lang w:eastAsia="zh-CN"/>
        </w:rPr>
      </w:pPr>
    </w:p>
    <w:p w14:paraId="7D8FA64C">
      <w:pPr>
        <w:spacing w:line="267" w:lineRule="auto"/>
        <w:ind w:firstLine="552"/>
        <w:jc w:val="both"/>
        <w:rPr>
          <w:rFonts w:hint="eastAsia" w:ascii="仿宋_GB2312" w:hAnsi="宋体" w:eastAsia="仿宋_GB2312" w:cs="宋体"/>
          <w:kern w:val="0"/>
          <w:lang w:eastAsia="zh-CN"/>
        </w:rPr>
      </w:pPr>
    </w:p>
    <w:p w14:paraId="1EE7D213">
      <w:pPr>
        <w:spacing w:line="267" w:lineRule="auto"/>
        <w:ind w:firstLine="552"/>
        <w:jc w:val="both"/>
        <w:rPr>
          <w:rFonts w:hint="eastAsia" w:ascii="仿宋_GB2312" w:hAnsi="宋体" w:eastAsia="仿宋_GB2312" w:cs="宋体"/>
          <w:kern w:val="0"/>
          <w:lang w:eastAsia="zh-CN"/>
        </w:rPr>
      </w:pPr>
    </w:p>
    <w:p w14:paraId="50E48972">
      <w:pPr>
        <w:spacing w:line="267" w:lineRule="auto"/>
        <w:ind w:firstLine="552"/>
        <w:jc w:val="both"/>
        <w:rPr>
          <w:rFonts w:hint="eastAsia" w:ascii="仿宋_GB2312" w:hAnsi="宋体" w:eastAsia="仿宋_GB2312" w:cs="宋体"/>
          <w:kern w:val="0"/>
          <w:lang w:eastAsia="zh-CN"/>
        </w:rPr>
      </w:pPr>
    </w:p>
    <w:p w14:paraId="1E43AB79">
      <w:pPr>
        <w:spacing w:line="267" w:lineRule="auto"/>
        <w:ind w:firstLine="552"/>
        <w:jc w:val="both"/>
        <w:rPr>
          <w:rFonts w:hint="eastAsia" w:ascii="仿宋_GB2312" w:hAnsi="宋体" w:eastAsia="仿宋_GB2312" w:cs="宋体"/>
          <w:kern w:val="0"/>
          <w:lang w:eastAsia="zh-CN"/>
        </w:rPr>
      </w:pPr>
    </w:p>
    <w:p w14:paraId="7F289EEF">
      <w:pPr>
        <w:spacing w:line="267" w:lineRule="auto"/>
        <w:ind w:firstLine="552"/>
        <w:jc w:val="both"/>
        <w:rPr>
          <w:rFonts w:hint="eastAsia" w:ascii="仿宋_GB2312" w:hAnsi="宋体" w:eastAsia="仿宋_GB2312" w:cs="宋体"/>
          <w:kern w:val="0"/>
          <w:lang w:eastAsia="zh-CN"/>
        </w:rPr>
      </w:pPr>
    </w:p>
    <w:p w14:paraId="6F5A0B9D">
      <w:pPr>
        <w:spacing w:line="267" w:lineRule="auto"/>
        <w:ind w:firstLine="552"/>
        <w:jc w:val="both"/>
        <w:rPr>
          <w:rFonts w:hint="eastAsia" w:ascii="仿宋_GB2312" w:hAnsi="宋体" w:eastAsia="仿宋_GB2312" w:cs="宋体"/>
          <w:kern w:val="0"/>
          <w:lang w:eastAsia="zh-CN"/>
        </w:rPr>
      </w:pPr>
    </w:p>
    <w:p w14:paraId="113CB049">
      <w:pPr>
        <w:spacing w:line="267" w:lineRule="auto"/>
        <w:ind w:firstLine="552"/>
        <w:jc w:val="both"/>
        <w:rPr>
          <w:rFonts w:hint="eastAsia" w:ascii="仿宋_GB2312" w:hAnsi="宋体" w:eastAsia="仿宋_GB2312" w:cs="宋体"/>
          <w:kern w:val="0"/>
          <w:lang w:eastAsia="zh-CN"/>
        </w:rPr>
      </w:pPr>
    </w:p>
    <w:p w14:paraId="3D4F9FE7">
      <w:pPr>
        <w:spacing w:line="267" w:lineRule="auto"/>
        <w:ind w:firstLine="552"/>
        <w:jc w:val="both"/>
        <w:rPr>
          <w:rFonts w:hint="eastAsia" w:ascii="仿宋_GB2312" w:hAnsi="宋体" w:eastAsia="仿宋_GB2312" w:cs="宋体"/>
          <w:kern w:val="0"/>
          <w:lang w:eastAsia="zh-CN"/>
        </w:rPr>
      </w:pPr>
    </w:p>
    <w:p w14:paraId="20F302E0">
      <w:pPr>
        <w:spacing w:line="267" w:lineRule="auto"/>
        <w:ind w:firstLine="552"/>
        <w:jc w:val="both"/>
        <w:rPr>
          <w:rFonts w:hint="eastAsia" w:ascii="仿宋_GB2312" w:hAnsi="宋体" w:eastAsia="仿宋_GB2312" w:cs="宋体"/>
          <w:kern w:val="0"/>
          <w:lang w:eastAsia="zh-CN"/>
        </w:rPr>
      </w:pPr>
    </w:p>
    <w:p w14:paraId="16394411">
      <w:pPr>
        <w:spacing w:line="267" w:lineRule="auto"/>
        <w:ind w:firstLine="552"/>
        <w:jc w:val="both"/>
        <w:rPr>
          <w:rFonts w:hint="eastAsia" w:ascii="仿宋_GB2312" w:hAnsi="宋体" w:eastAsia="仿宋_GB2312" w:cs="宋体"/>
          <w:kern w:val="0"/>
          <w:lang w:eastAsia="zh-CN"/>
        </w:rPr>
      </w:pPr>
    </w:p>
    <w:p w14:paraId="6E4FE8E5">
      <w:pPr>
        <w:spacing w:line="267" w:lineRule="auto"/>
        <w:ind w:firstLine="552"/>
        <w:jc w:val="both"/>
        <w:rPr>
          <w:rFonts w:hint="eastAsia" w:ascii="仿宋_GB2312" w:hAnsi="宋体" w:eastAsia="仿宋_GB2312" w:cs="宋体"/>
          <w:kern w:val="0"/>
          <w:lang w:eastAsia="zh-CN"/>
        </w:rPr>
      </w:pPr>
    </w:p>
    <w:p w14:paraId="5ACB9040">
      <w:pPr>
        <w:spacing w:line="267" w:lineRule="auto"/>
        <w:ind w:firstLine="552"/>
        <w:jc w:val="both"/>
        <w:rPr>
          <w:rFonts w:hint="eastAsia" w:ascii="仿宋_GB2312" w:hAnsi="宋体" w:eastAsia="仿宋_GB2312" w:cs="宋体"/>
          <w:kern w:val="0"/>
          <w:lang w:eastAsia="zh-CN"/>
        </w:rPr>
      </w:pPr>
    </w:p>
    <w:p w14:paraId="0B85166B">
      <w:pPr>
        <w:spacing w:line="267" w:lineRule="auto"/>
        <w:ind w:firstLine="552"/>
        <w:jc w:val="both"/>
        <w:rPr>
          <w:rFonts w:hint="eastAsia" w:ascii="仿宋_GB2312" w:hAnsi="宋体" w:eastAsia="仿宋_GB2312" w:cs="宋体"/>
          <w:kern w:val="0"/>
          <w:lang w:eastAsia="zh-CN"/>
        </w:rPr>
      </w:pPr>
    </w:p>
    <w:p w14:paraId="50226801">
      <w:pPr>
        <w:spacing w:line="267" w:lineRule="auto"/>
        <w:ind w:firstLine="552"/>
        <w:jc w:val="both"/>
        <w:rPr>
          <w:rFonts w:hint="eastAsia" w:ascii="仿宋_GB2312" w:hAnsi="宋体" w:eastAsia="仿宋_GB2312" w:cs="宋体"/>
          <w:kern w:val="0"/>
          <w:lang w:eastAsia="zh-CN"/>
        </w:rPr>
      </w:pPr>
    </w:p>
    <w:p w14:paraId="58A7EDD1">
      <w:pPr>
        <w:spacing w:line="267" w:lineRule="auto"/>
        <w:ind w:firstLine="552"/>
        <w:jc w:val="both"/>
        <w:rPr>
          <w:rFonts w:hint="eastAsia" w:ascii="仿宋_GB2312" w:hAnsi="宋体" w:eastAsia="仿宋_GB2312" w:cs="宋体"/>
          <w:kern w:val="0"/>
          <w:lang w:eastAsia="zh-CN"/>
        </w:rPr>
      </w:pPr>
    </w:p>
    <w:p w14:paraId="0A2BA7FC">
      <w:pPr>
        <w:spacing w:line="267" w:lineRule="auto"/>
        <w:jc w:val="both"/>
        <w:rPr>
          <w:rFonts w:hint="eastAsia" w:ascii="仿宋_GB2312" w:hAnsi="宋体" w:eastAsia="仿宋_GB2312" w:cs="宋体"/>
          <w:kern w:val="0"/>
          <w:lang w:eastAsia="zh-CN"/>
        </w:rPr>
      </w:pPr>
    </w:p>
    <w:p w14:paraId="0809350D">
      <w:pPr>
        <w:spacing w:line="267" w:lineRule="auto"/>
        <w:ind w:firstLine="552"/>
        <w:jc w:val="both"/>
        <w:rPr>
          <w:rFonts w:hint="eastAsia" w:ascii="仿宋_GB2312" w:hAnsi="宋体" w:eastAsia="仿宋_GB2312" w:cs="宋体"/>
          <w:kern w:val="0"/>
          <w:lang w:eastAsia="zh-CN"/>
        </w:rPr>
      </w:pPr>
    </w:p>
    <w:p w14:paraId="56CC05E4">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562F299A">
      <w:pPr>
        <w:spacing w:line="240" w:lineRule="auto"/>
        <w:ind w:firstLine="880"/>
        <w:jc w:val="center"/>
        <w:rPr>
          <w:rFonts w:hint="eastAsia" w:ascii="方正小标宋简体" w:eastAsia="方正小标宋简体"/>
          <w:kern w:val="0"/>
          <w:sz w:val="44"/>
          <w:szCs w:val="44"/>
          <w:lang w:eastAsia="zh-CN"/>
        </w:rPr>
      </w:pPr>
    </w:p>
    <w:p w14:paraId="14BB117D">
      <w:pPr>
        <w:spacing w:line="240" w:lineRule="auto"/>
        <w:ind w:firstLine="880"/>
        <w:jc w:val="center"/>
        <w:rPr>
          <w:rFonts w:hint="eastAsia" w:ascii="方正小标宋简体" w:eastAsia="方正小标宋简体"/>
          <w:kern w:val="0"/>
          <w:sz w:val="44"/>
          <w:szCs w:val="44"/>
          <w:lang w:eastAsia="zh-CN"/>
        </w:rPr>
      </w:pPr>
    </w:p>
    <w:p w14:paraId="4A708A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年度汨罗市卫生计生综合监督执法局部门整体支出绩效自评报告</w:t>
      </w:r>
    </w:p>
    <w:p w14:paraId="719C1D0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49910E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7AC00B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42ADF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52AC67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F1EC34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E290BB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B52B11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C548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9562B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2212C0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3F07B9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6F1AE2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0D8DCC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(盖章)</w:t>
      </w:r>
    </w:p>
    <w:p w14:paraId="0ABECD64">
      <w:pPr>
        <w:spacing w:before="274" w:line="225" w:lineRule="auto"/>
        <w:ind w:firstLine="617"/>
        <w:jc w:val="center"/>
        <w:rPr>
          <w:rFonts w:ascii="楷体_GB2312" w:hAnsi="楷体" w:eastAsia="楷体_GB2312" w:cs="楷体"/>
          <w:b/>
          <w:bCs/>
          <w:kern w:val="0"/>
          <w:sz w:val="32"/>
          <w:szCs w:val="32"/>
          <w:lang w:eastAsia="zh-CN"/>
        </w:rPr>
      </w:pPr>
      <w:r>
        <w:rPr>
          <w:rFonts w:hint="eastAsia" w:ascii="楷体_GB2312" w:hAnsi="楷体" w:eastAsia="楷体_GB2312" w:cs="楷体"/>
          <w:b/>
          <w:bCs/>
          <w:spacing w:val="-13"/>
          <w:kern w:val="0"/>
          <w:sz w:val="32"/>
          <w:szCs w:val="32"/>
          <w:lang w:val="en-US" w:eastAsia="zh-CN"/>
        </w:rPr>
        <w:t xml:space="preserve">2025 </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 xml:space="preserve"> 9</w:t>
      </w:r>
      <w:r>
        <w:rPr>
          <w:rFonts w:hint="eastAsia" w:ascii="楷体_GB2312" w:hAnsi="楷体" w:eastAsia="楷体_GB2312" w:cs="楷体"/>
          <w:b/>
          <w:bCs/>
          <w:spacing w:val="-13"/>
          <w:kern w:val="0"/>
          <w:sz w:val="32"/>
          <w:szCs w:val="32"/>
          <w:lang w:eastAsia="zh-CN"/>
        </w:rPr>
        <w:t xml:space="preserve">月 </w:t>
      </w:r>
      <w:r>
        <w:rPr>
          <w:rFonts w:hint="eastAsia" w:ascii="楷体_GB2312" w:hAnsi="楷体" w:eastAsia="楷体_GB2312" w:cs="楷体"/>
          <w:b/>
          <w:bCs/>
          <w:spacing w:val="-13"/>
          <w:kern w:val="0"/>
          <w:sz w:val="32"/>
          <w:szCs w:val="32"/>
          <w:lang w:val="en-US" w:eastAsia="zh-CN"/>
        </w:rPr>
        <w:t xml:space="preserve">22 </w:t>
      </w:r>
      <w:r>
        <w:rPr>
          <w:rFonts w:hint="eastAsia" w:ascii="楷体_GB2312" w:hAnsi="楷体" w:eastAsia="楷体_GB2312" w:cs="楷体"/>
          <w:b/>
          <w:bCs/>
          <w:spacing w:val="-13"/>
          <w:kern w:val="0"/>
          <w:sz w:val="32"/>
          <w:szCs w:val="32"/>
          <w:lang w:eastAsia="zh-CN"/>
        </w:rPr>
        <w:t>日</w:t>
      </w:r>
    </w:p>
    <w:p w14:paraId="516C8419">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7A384A6B">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1D4552B">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240A6E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CBD88D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E662BB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14746356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92617EC">
          <w:pPr>
            <w:pStyle w:val="3"/>
            <w:ind w:firstLine="360"/>
            <w:jc w:val="left"/>
            <w:rPr>
              <w:rFonts w:asciiTheme="minorEastAsia" w:hAnsiTheme="minorEastAsia" w:eastAsiaTheme="minorEastAsia"/>
              <w:kern w:val="0"/>
              <w:lang w:eastAsia="zh-CN"/>
            </w:rPr>
          </w:pPr>
        </w:p>
      </w:sdtContent>
    </w:sdt>
    <w:p w14:paraId="5157D75C">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年度</w:t>
      </w:r>
      <w:r>
        <w:rPr>
          <w:rFonts w:hint="eastAsia" w:ascii="黑体" w:hAnsi="黑体" w:eastAsia="黑体" w:cs="黑体"/>
          <w:spacing w:val="16"/>
          <w:sz w:val="40"/>
          <w:szCs w:val="40"/>
        </w:rPr>
        <w:t>汨罗市卫生计生综合监督执法局</w:t>
      </w:r>
      <w:r>
        <w:rPr>
          <w:rFonts w:ascii="黑体" w:hAnsi="黑体" w:eastAsia="黑体" w:cs="黑体"/>
          <w:spacing w:val="16"/>
          <w:sz w:val="40"/>
          <w:szCs w:val="40"/>
        </w:rPr>
        <w:t>部门整体支出绩效</w:t>
      </w:r>
    </w:p>
    <w:p w14:paraId="6DA8F639">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24E5E618">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67407E17">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一、部门基本情况</w:t>
      </w:r>
    </w:p>
    <w:p w14:paraId="5290847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单位基本情况：负责实施卫生计生专项整治和日常监督检查；参与卫生计生行政许可现场审查等工作；对公共场所卫生、生活饮用水、学校卫生及消毒产品和涉及饮用水安全产品进行监督检查；对医疗机构及其从业人员的执业活动进行监督检查，查处违法行为；打击非法行医；整顿和规范医疗服务秩序，对医疗卫生机构的放射诊疗、职业健康检查和职业病诊断工作进行监督检查，查处违法行为；对医疗机构、疾病预防控制机构的传染病防治进行监督检查，查处违法行为；对卫生监督协管员进行培训、业务指导；负责行辖区内卫生计生监督信息的收集、核实和上报；受理对违法行为的投诉、举报，并组织查处和及时回复；开展卫生计生法律法规宣传教育和执法检查；承办市委、市政府和卫生计生行政主管部门交办的其他事项。</w:t>
      </w:r>
    </w:p>
    <w:p w14:paraId="54946DCB">
      <w:pPr>
        <w:keepNext w:val="0"/>
        <w:keepLines w:val="0"/>
        <w:pageBreakBefore w:val="0"/>
        <w:widowControl/>
        <w:kinsoku w:val="0"/>
        <w:wordWrap/>
        <w:overflowPunct/>
        <w:topLinePunct w:val="0"/>
        <w:autoSpaceDE w:val="0"/>
        <w:autoSpaceDN w:val="0"/>
        <w:bidi w:val="0"/>
        <w:adjustRightInd w:val="0"/>
        <w:snapToGrid w:val="0"/>
        <w:spacing w:before="211" w:line="600" w:lineRule="exact"/>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二）单位整体支出规模、使用方向和主要内容、涉及范围等：汨罗市卫生计生综合监督执法局属于汨罗市卫生健康局的二级机构，属于财政全额拨款事业（参照公务员）管理单位，本单位内设股室分别是办公室、财务室、稽查信息股、医疗职业卫生监督股、传染病防治监督股、公共场所卫生监督股、学校卫生及生活饮用水监督股。</w:t>
      </w:r>
    </w:p>
    <w:p w14:paraId="6214D6D2">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二、一般公共预算财政拨款支出情况</w:t>
      </w:r>
    </w:p>
    <w:p w14:paraId="087F09BA">
      <w:p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（一）基本支出情况　</w:t>
      </w:r>
    </w:p>
    <w:p w14:paraId="4761BF19">
      <w:p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202</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lang w:eastAsia="zh-CN"/>
        </w:rPr>
        <w:t>年度财政拨款基本支出</w:t>
      </w:r>
      <w:r>
        <w:rPr>
          <w:rFonts w:hint="eastAsia" w:ascii="Times New Roman" w:hAnsi="Times New Roman" w:eastAsia="仿宋_GB2312"/>
          <w:kern w:val="0"/>
          <w:sz w:val="32"/>
          <w:szCs w:val="32"/>
          <w:lang w:val="en-US" w:eastAsia="zh-CN"/>
        </w:rPr>
        <w:t>271.71</w:t>
      </w:r>
      <w:r>
        <w:rPr>
          <w:rFonts w:hint="eastAsia" w:ascii="Times New Roman" w:hAnsi="Times New Roman" w:eastAsia="仿宋_GB2312"/>
          <w:kern w:val="0"/>
          <w:sz w:val="32"/>
          <w:szCs w:val="32"/>
          <w:lang w:eastAsia="zh-CN"/>
        </w:rPr>
        <w:t>万元，其中：人员经费</w:t>
      </w:r>
      <w:r>
        <w:rPr>
          <w:rFonts w:hint="eastAsia" w:ascii="Times New Roman" w:hAnsi="Times New Roman" w:eastAsia="仿宋_GB2312"/>
          <w:kern w:val="0"/>
          <w:sz w:val="32"/>
          <w:szCs w:val="32"/>
          <w:lang w:val="en-US" w:eastAsia="zh-CN"/>
        </w:rPr>
        <w:t>219.61</w:t>
      </w:r>
      <w:r>
        <w:rPr>
          <w:rFonts w:hint="eastAsia" w:ascii="Times New Roman" w:hAnsi="Times New Roman" w:eastAsia="仿宋_GB2312"/>
          <w:kern w:val="0"/>
          <w:sz w:val="32"/>
          <w:szCs w:val="32"/>
          <w:lang w:eastAsia="zh-CN"/>
        </w:rPr>
        <w:t>万元，占基本支出的</w:t>
      </w:r>
      <w:r>
        <w:rPr>
          <w:rFonts w:hint="eastAsia" w:ascii="Times New Roman" w:hAnsi="Times New Roman" w:eastAsia="仿宋_GB2312"/>
          <w:kern w:val="0"/>
          <w:sz w:val="32"/>
          <w:szCs w:val="32"/>
          <w:lang w:val="en-US" w:eastAsia="zh-CN"/>
        </w:rPr>
        <w:t>80</w:t>
      </w:r>
      <w:r>
        <w:rPr>
          <w:rFonts w:hint="eastAsia" w:ascii="Times New Roman" w:hAnsi="Times New Roman" w:eastAsia="仿宋_GB2312"/>
          <w:kern w:val="0"/>
          <w:sz w:val="32"/>
          <w:szCs w:val="32"/>
          <w:lang w:eastAsia="zh-CN"/>
        </w:rPr>
        <w:t>.83%,主要包括基本工资、津贴补贴、奖金、伙食补助费、社会保障缴费、绩效工资、其他工资福利支出；公用经费</w:t>
      </w:r>
      <w:r>
        <w:rPr>
          <w:rFonts w:hint="eastAsia" w:ascii="Times New Roman" w:hAnsi="Times New Roman" w:eastAsia="仿宋_GB2312"/>
          <w:kern w:val="0"/>
          <w:sz w:val="32"/>
          <w:szCs w:val="32"/>
          <w:lang w:val="en-US" w:eastAsia="zh-CN"/>
        </w:rPr>
        <w:t>52.10</w:t>
      </w:r>
      <w:r>
        <w:rPr>
          <w:rFonts w:hint="eastAsia" w:ascii="Times New Roman" w:hAnsi="Times New Roman" w:eastAsia="仿宋_GB2312"/>
          <w:kern w:val="0"/>
          <w:sz w:val="32"/>
          <w:szCs w:val="32"/>
          <w:lang w:eastAsia="zh-CN"/>
        </w:rPr>
        <w:t>万元，占基本支出的</w:t>
      </w:r>
      <w:r>
        <w:rPr>
          <w:rFonts w:hint="eastAsia" w:ascii="Times New Roman" w:hAnsi="Times New Roman" w:eastAsia="仿宋_GB2312"/>
          <w:kern w:val="0"/>
          <w:sz w:val="32"/>
          <w:szCs w:val="32"/>
          <w:lang w:val="en-US" w:eastAsia="zh-CN"/>
        </w:rPr>
        <w:t>19</w:t>
      </w:r>
      <w:r>
        <w:rPr>
          <w:rFonts w:hint="eastAsia" w:ascii="Times New Roman" w:hAnsi="Times New Roman" w:eastAsia="仿宋_GB2312"/>
          <w:kern w:val="0"/>
          <w:sz w:val="32"/>
          <w:szCs w:val="32"/>
          <w:lang w:eastAsia="zh-CN"/>
        </w:rPr>
        <w:t>.17%，主要包括办公费、印刷费、水费、电费、邮电费、差旅费、维修（护）费、培训费、公务接待费、专业材料费、委托业务费、工会经费、其他交通费用、其他一般商品和服务支出等。</w:t>
      </w:r>
    </w:p>
    <w:p w14:paraId="53E6238B">
      <w:p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（二）项目支出情况</w:t>
      </w:r>
    </w:p>
    <w:p w14:paraId="4CC4709B">
      <w:p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1、专项资金安排落实、总投入等情况分析：202</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lang w:eastAsia="zh-CN"/>
        </w:rPr>
        <w:t>年度我局收到财政拨入卫计执法经费项目经费</w:t>
      </w:r>
      <w:r>
        <w:rPr>
          <w:rFonts w:hint="eastAsia" w:ascii="Times New Roman" w:hAnsi="Times New Roman" w:eastAsia="仿宋_GB2312"/>
          <w:kern w:val="0"/>
          <w:sz w:val="32"/>
          <w:szCs w:val="32"/>
          <w:lang w:val="en-US" w:eastAsia="zh-CN"/>
        </w:rPr>
        <w:t>20.00</w:t>
      </w:r>
      <w:r>
        <w:rPr>
          <w:rFonts w:hint="eastAsia" w:ascii="Times New Roman" w:hAnsi="Times New Roman" w:eastAsia="仿宋_GB2312"/>
          <w:kern w:val="0"/>
          <w:sz w:val="32"/>
          <w:szCs w:val="32"/>
          <w:lang w:eastAsia="zh-CN"/>
        </w:rPr>
        <w:t>万元，均为本级财政拨入，已经全部落实到位。</w:t>
      </w:r>
    </w:p>
    <w:p w14:paraId="5206DE66">
      <w:p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2、专项资金实际使用情况分析：项目资金支出用于卫计执法经费项目</w:t>
      </w:r>
      <w:r>
        <w:rPr>
          <w:rFonts w:hint="eastAsia" w:ascii="Times New Roman" w:hAnsi="Times New Roman" w:eastAsia="仿宋_GB2312"/>
          <w:kern w:val="0"/>
          <w:sz w:val="32"/>
          <w:szCs w:val="32"/>
          <w:lang w:val="en-US" w:eastAsia="zh-CN"/>
        </w:rPr>
        <w:t>19.56</w:t>
      </w:r>
      <w:r>
        <w:rPr>
          <w:rFonts w:hint="eastAsia" w:ascii="Times New Roman" w:hAnsi="Times New Roman" w:eastAsia="仿宋_GB2312"/>
          <w:kern w:val="0"/>
          <w:sz w:val="32"/>
          <w:szCs w:val="32"/>
          <w:lang w:eastAsia="zh-CN"/>
        </w:rPr>
        <w:t>万元，已经全部按项目对应使用到位，没有挪作其他用途，做到了专款专用。</w:t>
      </w:r>
    </w:p>
    <w:p w14:paraId="533969EE">
      <w:p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3、专项资金管理情况分析：我局高度重视卫及执法专项经费，制定了相应的管理办法及实施方案。按专项经费使用要求，严格管理，保障了专项经费的合规使用。</w:t>
      </w:r>
    </w:p>
    <w:p w14:paraId="50FFA617">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三、政府性基金预算财政拨款支出情况</w:t>
      </w:r>
    </w:p>
    <w:p w14:paraId="0615B31E">
      <w:p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2024年度本单位无政府性基金预算支出。</w:t>
      </w:r>
    </w:p>
    <w:p w14:paraId="2A2449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四、国有资本经营预算财政拨款支出情况</w:t>
      </w:r>
    </w:p>
    <w:p w14:paraId="0B8FA5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2024年度本单位无国有资本经营预算支出。</w:t>
      </w:r>
    </w:p>
    <w:p w14:paraId="49A60EBB">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3D834DD3">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2024年度本单位无社会保险基金预算支出。</w:t>
      </w:r>
    </w:p>
    <w:p w14:paraId="2B248C4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743ECDE9">
      <w:pPr>
        <w:numPr>
          <w:ilvl w:val="0"/>
          <w:numId w:val="0"/>
        </w:numPr>
        <w:spacing w:after="0" w:line="348" w:lineRule="auto"/>
        <w:ind w:firstLine="640" w:firstLineChars="200"/>
        <w:jc w:val="both"/>
        <w:rPr>
          <w:rFonts w:hint="default" w:ascii="仿宋" w:hAnsi="仿宋" w:eastAsia="仿宋"/>
          <w:sz w:val="32"/>
          <w:szCs w:val="32"/>
          <w:lang w:val="en-US" w:eastAsia="zh-CN"/>
        </w:rPr>
      </w:pPr>
      <w:r>
        <w:rPr>
          <w:rFonts w:hint="eastAsia" w:ascii="仿宋" w:hAnsi="仿宋" w:eastAsia="仿宋" w:cs="Arial"/>
          <w:snapToGrid w:val="0"/>
          <w:color w:val="000000"/>
          <w:kern w:val="0"/>
          <w:sz w:val="32"/>
          <w:szCs w:val="32"/>
          <w:lang w:val="en-US" w:eastAsia="zh-CN" w:bidi="ar-SA"/>
        </w:rPr>
        <w:t>（一）对医疗机构抗菌药物使用的专项整顿：</w:t>
      </w:r>
      <w:r>
        <w:rPr>
          <w:rFonts w:hint="eastAsia" w:ascii="仿宋" w:hAnsi="仿宋" w:eastAsia="仿宋"/>
          <w:sz w:val="32"/>
          <w:szCs w:val="32"/>
          <w:lang w:val="en-US" w:eastAsia="zh-CN"/>
        </w:rPr>
        <w:t>今年我局对这个情况立案查处4起，罚没金额九千余元，并将查处情况在群里进行公布，每次日常监督都将抗菌药物的应用作为必查项目，滥用抗菌药物的情况已有很大改善。</w:t>
      </w:r>
    </w:p>
    <w:p w14:paraId="132523E2">
      <w:pPr>
        <w:pStyle w:val="10"/>
        <w:spacing w:after="0" w:line="348" w:lineRule="auto"/>
        <w:ind w:left="0" w:leftChars="0" w:firstLine="640" w:firstLineChars="200"/>
        <w:jc w:val="both"/>
        <w:rPr>
          <w:rFonts w:ascii="仿宋" w:hAnsi="仿宋" w:eastAsia="仿宋"/>
          <w:sz w:val="32"/>
          <w:szCs w:val="32"/>
        </w:rPr>
      </w:pPr>
      <w:r>
        <w:rPr>
          <w:rFonts w:hint="eastAsia" w:ascii="仿宋" w:hAnsi="仿宋" w:eastAsia="仿宋" w:cs="Arial"/>
          <w:snapToGrid w:val="0"/>
          <w:color w:val="000000"/>
          <w:kern w:val="0"/>
          <w:sz w:val="32"/>
          <w:szCs w:val="32"/>
          <w:lang w:val="en-US" w:eastAsia="zh-CN" w:bidi="ar-SA"/>
        </w:rPr>
        <w:t>(二)加强医疗机构日常监督，规范医疗机构布局和执业行为：</w:t>
      </w:r>
      <w:r>
        <w:rPr>
          <w:rFonts w:hint="eastAsia" w:ascii="仿宋" w:hAnsi="仿宋" w:eastAsia="仿宋"/>
          <w:sz w:val="32"/>
          <w:szCs w:val="32"/>
        </w:rPr>
        <w:t>自今年</w:t>
      </w:r>
      <w:r>
        <w:rPr>
          <w:rFonts w:hint="eastAsia" w:ascii="仿宋" w:hAnsi="仿宋" w:eastAsia="仿宋"/>
          <w:sz w:val="32"/>
          <w:szCs w:val="32"/>
          <w:lang w:val="en-US" w:eastAsia="zh-CN"/>
        </w:rPr>
        <w:t>3</w:t>
      </w:r>
      <w:r>
        <w:rPr>
          <w:rFonts w:hint="eastAsia" w:ascii="仿宋" w:hAnsi="仿宋" w:eastAsia="仿宋"/>
          <w:sz w:val="32"/>
          <w:szCs w:val="32"/>
        </w:rPr>
        <w:t>月份底开始对管辖范围内的133个行政村卫生室，进行了全面的日常监督检查，从基本医疗机构设置布局、执业行为、执业资质、处方管理、登记制度、医疗废弃物、医疗废水处置等6个重点方面进行了严格要求和督促。对医疗机构中出现的聘用非卫生技术人员、超出诊疗登记范围执业</w:t>
      </w:r>
      <w:r>
        <w:rPr>
          <w:rFonts w:hint="eastAsia" w:ascii="仿宋" w:hAnsi="仿宋" w:eastAsia="仿宋"/>
          <w:sz w:val="32"/>
          <w:szCs w:val="32"/>
          <w:lang w:eastAsia="zh-CN"/>
        </w:rPr>
        <w:t>，不落实医疗质量管理制度</w:t>
      </w:r>
      <w:r>
        <w:rPr>
          <w:rFonts w:hint="eastAsia" w:ascii="仿宋" w:hAnsi="仿宋" w:eastAsia="仿宋"/>
          <w:sz w:val="32"/>
          <w:szCs w:val="32"/>
        </w:rPr>
        <w:t>等违规行为进行查处，共立案查处1</w:t>
      </w:r>
      <w:r>
        <w:rPr>
          <w:rFonts w:hint="eastAsia" w:ascii="仿宋" w:hAnsi="仿宋" w:eastAsia="仿宋"/>
          <w:sz w:val="32"/>
          <w:szCs w:val="32"/>
          <w:lang w:val="en-US" w:eastAsia="zh-CN"/>
        </w:rPr>
        <w:t>1</w:t>
      </w:r>
      <w:r>
        <w:rPr>
          <w:rFonts w:hint="eastAsia" w:ascii="仿宋" w:hAnsi="仿宋" w:eastAsia="仿宋"/>
          <w:sz w:val="32"/>
          <w:szCs w:val="32"/>
        </w:rPr>
        <w:t>个医疗机构，并对其进行了行政处罚</w:t>
      </w:r>
      <w:r>
        <w:rPr>
          <w:rFonts w:hint="eastAsia" w:ascii="仿宋" w:hAnsi="仿宋" w:eastAsia="仿宋"/>
          <w:sz w:val="32"/>
          <w:szCs w:val="32"/>
          <w:lang w:eastAsia="zh-CN"/>
        </w:rPr>
        <w:t>，共罚没金额两万余元</w:t>
      </w:r>
      <w:r>
        <w:rPr>
          <w:rFonts w:hint="eastAsia" w:ascii="仿宋" w:hAnsi="仿宋" w:eastAsia="仿宋"/>
          <w:sz w:val="32"/>
          <w:szCs w:val="32"/>
        </w:rPr>
        <w:t>。针对一些医疗机构管理不规范，制度落实不力的单位，下达了</w:t>
      </w:r>
      <w:r>
        <w:rPr>
          <w:rFonts w:hint="eastAsia" w:ascii="仿宋" w:hAnsi="仿宋" w:eastAsia="仿宋"/>
          <w:sz w:val="32"/>
          <w:szCs w:val="32"/>
          <w:lang w:val="en-US" w:eastAsia="zh-CN"/>
        </w:rPr>
        <w:t>卫生监督意见书36</w:t>
      </w:r>
      <w:r>
        <w:rPr>
          <w:rFonts w:hint="eastAsia" w:ascii="仿宋" w:hAnsi="仿宋" w:eastAsia="仿宋"/>
          <w:sz w:val="32"/>
          <w:szCs w:val="32"/>
        </w:rPr>
        <w:t>0余份。通过此次督查使各医疗单位从医疗机构布局、医疗执业人员执业行为、规范化操作，医疗服务质量提升，医疗事故安全隐患的排查等各个方面得到了极大的提高和改善。</w:t>
      </w:r>
    </w:p>
    <w:p w14:paraId="282E1A5F">
      <w:pPr>
        <w:spacing w:after="0" w:line="348" w:lineRule="auto"/>
        <w:ind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（三）进行放射诊疗专项监督，加强对精麻药品的督导：</w:t>
      </w:r>
      <w:r>
        <w:rPr>
          <w:rFonts w:hint="eastAsia" w:ascii="仿宋" w:hAnsi="仿宋" w:eastAsia="仿宋"/>
          <w:sz w:val="32"/>
          <w:szCs w:val="32"/>
        </w:rPr>
        <w:t>针对辖区放射诊疗工作的开展的实际情况，我们依照《职业病防治法》和《放射诊疗管理规定》要求，</w:t>
      </w:r>
      <w:r>
        <w:rPr>
          <w:rFonts w:hint="eastAsia" w:ascii="仿宋" w:hAnsi="仿宋" w:eastAsia="仿宋"/>
          <w:sz w:val="32"/>
          <w:szCs w:val="32"/>
          <w:lang w:val="en-US" w:eastAsia="zh-CN"/>
        </w:rPr>
        <w:t>组织人员对</w:t>
      </w:r>
      <w:r>
        <w:rPr>
          <w:rFonts w:hint="eastAsia" w:ascii="仿宋" w:hAnsi="仿宋" w:eastAsia="仿宋"/>
          <w:sz w:val="32"/>
          <w:szCs w:val="32"/>
        </w:rPr>
        <w:t>开展放射诊疗的医疗机构进行了督查，主要就放射人员资质，制度的落实，放射场所、器械的预评、控评、稳定性检测评价报告，放射防护装置、辐射检测仪器、和个人防护用品的配备使用等情况进行检查。对不符合要求的单位，下达立即停止开展放射诊疗，进行整改的监督意见书</w:t>
      </w:r>
      <w:r>
        <w:rPr>
          <w:rFonts w:hint="eastAsia" w:ascii="仿宋" w:hAnsi="仿宋" w:eastAsia="仿宋"/>
          <w:sz w:val="32"/>
          <w:szCs w:val="32"/>
          <w:lang w:eastAsia="zh-CN"/>
        </w:rPr>
        <w:t>；</w:t>
      </w:r>
      <w:r>
        <w:rPr>
          <w:rFonts w:hint="eastAsia" w:ascii="仿宋" w:hAnsi="仿宋" w:eastAsia="仿宋"/>
          <w:sz w:val="32"/>
          <w:szCs w:val="32"/>
          <w:lang w:val="en-US" w:eastAsia="zh-CN"/>
        </w:rPr>
        <w:t>为加强对麻精药的监督管理，我们从医疗机构麻精药品的购入、储存、使用、以及回收销毁的每一个环节充分监督到位，防止违法违规情况的发生。</w:t>
      </w:r>
    </w:p>
    <w:p w14:paraId="0B6B9FEB">
      <w:pPr>
        <w:numPr>
          <w:ilvl w:val="0"/>
          <w:numId w:val="0"/>
        </w:numPr>
        <w:spacing w:after="0" w:line="348" w:lineRule="auto"/>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四）开展了打击非法行医专项整治工作：我们将打击非法行医工作贯穿全年，发现一起，处理一起。并且，开通群众举报热线，随时从群众中发现线索，及时对其进行查处，一年来，共罚没金额十二万余元，保障人民群众的就医安全和规范医疗市场秩序。</w:t>
      </w:r>
    </w:p>
    <w:p w14:paraId="7106F3B9">
      <w:pPr>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五</w:t>
      </w:r>
      <w:r>
        <w:rPr>
          <w:rFonts w:hint="eastAsia" w:ascii="仿宋" w:hAnsi="仿宋" w:eastAsia="仿宋"/>
          <w:sz w:val="32"/>
          <w:szCs w:val="32"/>
        </w:rPr>
        <w:t>)公共场所的管理用五个月的时间组织进行摸底清查，认真细致整理分类行业档案，执行一户一档，建立卫生管理台账，并逐步完善电子化卫生管理档案，202</w:t>
      </w:r>
      <w:r>
        <w:rPr>
          <w:rFonts w:hint="eastAsia" w:ascii="仿宋" w:hAnsi="仿宋" w:eastAsia="仿宋"/>
          <w:sz w:val="32"/>
          <w:szCs w:val="32"/>
          <w:lang w:val="en-US" w:eastAsia="zh-CN"/>
        </w:rPr>
        <w:t>4</w:t>
      </w:r>
      <w:r>
        <w:rPr>
          <w:rFonts w:hint="eastAsia" w:ascii="仿宋" w:hAnsi="仿宋" w:eastAsia="仿宋"/>
          <w:sz w:val="32"/>
          <w:szCs w:val="32"/>
        </w:rPr>
        <w:t>年全年共检查各类公共场所5</w:t>
      </w:r>
      <w:r>
        <w:rPr>
          <w:rFonts w:hint="eastAsia" w:ascii="仿宋" w:hAnsi="仿宋" w:eastAsia="仿宋"/>
          <w:sz w:val="32"/>
          <w:szCs w:val="32"/>
          <w:lang w:val="en-US" w:eastAsia="zh-CN"/>
        </w:rPr>
        <w:t>25</w:t>
      </w:r>
      <w:r>
        <w:rPr>
          <w:rFonts w:hint="eastAsia" w:ascii="仿宋" w:hAnsi="仿宋" w:eastAsia="仿宋"/>
          <w:sz w:val="32"/>
          <w:szCs w:val="32"/>
        </w:rPr>
        <w:t>家，其中宾馆旅店业22</w:t>
      </w:r>
      <w:r>
        <w:rPr>
          <w:rFonts w:hint="eastAsia" w:ascii="仿宋" w:hAnsi="仿宋" w:eastAsia="仿宋"/>
          <w:sz w:val="32"/>
          <w:szCs w:val="32"/>
          <w:lang w:val="en-US" w:eastAsia="zh-CN"/>
        </w:rPr>
        <w:t>5</w:t>
      </w:r>
      <w:r>
        <w:rPr>
          <w:rFonts w:hint="eastAsia" w:ascii="仿宋" w:hAnsi="仿宋" w:eastAsia="仿宋"/>
          <w:sz w:val="32"/>
          <w:szCs w:val="32"/>
        </w:rPr>
        <w:t>家、美容美发场所</w:t>
      </w:r>
      <w:r>
        <w:rPr>
          <w:rFonts w:hint="eastAsia" w:ascii="仿宋" w:hAnsi="仿宋" w:eastAsia="仿宋"/>
          <w:sz w:val="32"/>
          <w:szCs w:val="32"/>
          <w:lang w:val="en-US" w:eastAsia="zh-CN"/>
        </w:rPr>
        <w:t>199</w:t>
      </w:r>
      <w:r>
        <w:rPr>
          <w:rFonts w:hint="eastAsia" w:ascii="仿宋" w:hAnsi="仿宋" w:eastAsia="仿宋"/>
          <w:sz w:val="32"/>
          <w:szCs w:val="32"/>
        </w:rPr>
        <w:t>家、娱乐场所KTV1</w:t>
      </w:r>
      <w:r>
        <w:rPr>
          <w:rFonts w:hint="eastAsia" w:ascii="仿宋" w:hAnsi="仿宋" w:eastAsia="仿宋"/>
          <w:sz w:val="32"/>
          <w:szCs w:val="32"/>
          <w:lang w:val="en-US" w:eastAsia="zh-CN"/>
        </w:rPr>
        <w:t>1</w:t>
      </w:r>
      <w:r>
        <w:rPr>
          <w:rFonts w:hint="eastAsia" w:ascii="仿宋" w:hAnsi="仿宋" w:eastAsia="仿宋"/>
          <w:sz w:val="32"/>
          <w:szCs w:val="32"/>
        </w:rPr>
        <w:t>家、洗浴足浴</w:t>
      </w:r>
      <w:r>
        <w:rPr>
          <w:rFonts w:hint="eastAsia" w:ascii="仿宋" w:hAnsi="仿宋" w:eastAsia="仿宋"/>
          <w:sz w:val="32"/>
          <w:szCs w:val="32"/>
          <w:lang w:val="en-US" w:eastAsia="zh-CN"/>
        </w:rPr>
        <w:t>20</w:t>
      </w:r>
      <w:r>
        <w:rPr>
          <w:rFonts w:hint="eastAsia" w:ascii="仿宋" w:hAnsi="仿宋" w:eastAsia="仿宋"/>
          <w:sz w:val="32"/>
          <w:szCs w:val="32"/>
        </w:rPr>
        <w:t>家、超市</w:t>
      </w:r>
      <w:r>
        <w:rPr>
          <w:rFonts w:hint="eastAsia" w:ascii="仿宋" w:hAnsi="仿宋" w:eastAsia="仿宋"/>
          <w:sz w:val="32"/>
          <w:szCs w:val="32"/>
          <w:lang w:val="en-US" w:eastAsia="zh-CN"/>
        </w:rPr>
        <w:t>18</w:t>
      </w:r>
      <w:r>
        <w:rPr>
          <w:rFonts w:hint="eastAsia" w:ascii="仿宋" w:hAnsi="仿宋" w:eastAsia="仿宋"/>
          <w:sz w:val="32"/>
          <w:szCs w:val="32"/>
        </w:rPr>
        <w:t>家、影院</w:t>
      </w:r>
      <w:r>
        <w:rPr>
          <w:rFonts w:hint="eastAsia" w:ascii="仿宋" w:hAnsi="仿宋" w:eastAsia="仿宋"/>
          <w:sz w:val="32"/>
          <w:szCs w:val="32"/>
          <w:lang w:val="en-US" w:eastAsia="zh-CN"/>
        </w:rPr>
        <w:t>4</w:t>
      </w:r>
      <w:r>
        <w:rPr>
          <w:rFonts w:hint="eastAsia" w:ascii="仿宋" w:hAnsi="仿宋" w:eastAsia="仿宋"/>
          <w:sz w:val="32"/>
          <w:szCs w:val="32"/>
        </w:rPr>
        <w:t>家、游泳场（馆）5家、候车候诊室6家、餐饮具集中消毒</w:t>
      </w:r>
      <w:r>
        <w:rPr>
          <w:rFonts w:hint="eastAsia" w:ascii="仿宋" w:hAnsi="仿宋" w:eastAsia="仿宋"/>
          <w:sz w:val="32"/>
          <w:szCs w:val="32"/>
          <w:lang w:val="en-US" w:eastAsia="zh-CN"/>
        </w:rPr>
        <w:t>5</w:t>
      </w:r>
      <w:r>
        <w:rPr>
          <w:rFonts w:hint="eastAsia" w:ascii="仿宋" w:hAnsi="仿宋" w:eastAsia="仿宋"/>
          <w:sz w:val="32"/>
          <w:szCs w:val="32"/>
        </w:rPr>
        <w:t>家、其他场所30家。科室建档公共场所</w:t>
      </w:r>
      <w:r>
        <w:rPr>
          <w:rFonts w:hint="eastAsia" w:ascii="仿宋" w:hAnsi="仿宋" w:eastAsia="仿宋"/>
          <w:sz w:val="32"/>
          <w:szCs w:val="32"/>
          <w:lang w:val="en-US" w:eastAsia="zh-CN"/>
        </w:rPr>
        <w:t>495</w:t>
      </w:r>
      <w:r>
        <w:rPr>
          <w:rFonts w:hint="eastAsia" w:ascii="仿宋" w:hAnsi="仿宋" w:eastAsia="仿宋"/>
          <w:sz w:val="32"/>
          <w:szCs w:val="32"/>
        </w:rPr>
        <w:t>户，建档比率为9</w:t>
      </w:r>
      <w:r>
        <w:rPr>
          <w:rFonts w:hint="eastAsia" w:ascii="仿宋" w:hAnsi="仿宋" w:eastAsia="仿宋"/>
          <w:sz w:val="32"/>
          <w:szCs w:val="32"/>
          <w:lang w:val="en-US" w:eastAsia="zh-CN"/>
        </w:rPr>
        <w:t>4</w:t>
      </w:r>
      <w:r>
        <w:rPr>
          <w:rFonts w:hint="eastAsia" w:ascii="仿宋" w:hAnsi="仿宋" w:eastAsia="仿宋"/>
          <w:sz w:val="32"/>
          <w:szCs w:val="32"/>
        </w:rPr>
        <w:t>%。为依法加强行业卫生监督管理奠定了较为坚实的基础。至12月</w:t>
      </w:r>
      <w:r>
        <w:rPr>
          <w:rFonts w:hint="eastAsia" w:ascii="仿宋" w:hAnsi="仿宋" w:eastAsia="仿宋"/>
          <w:sz w:val="32"/>
          <w:szCs w:val="32"/>
          <w:lang w:val="en-US" w:eastAsia="zh-CN"/>
        </w:rPr>
        <w:t>30</w:t>
      </w:r>
      <w:r>
        <w:rPr>
          <w:rFonts w:hint="eastAsia" w:ascii="仿宋" w:hAnsi="仿宋" w:eastAsia="仿宋"/>
          <w:sz w:val="32"/>
          <w:szCs w:val="32"/>
        </w:rPr>
        <w:t>日，共监督公共场所经营单位1</w:t>
      </w:r>
      <w:r>
        <w:rPr>
          <w:rFonts w:hint="eastAsia" w:ascii="仿宋" w:hAnsi="仿宋" w:eastAsia="仿宋"/>
          <w:sz w:val="32"/>
          <w:szCs w:val="32"/>
          <w:lang w:val="en-US" w:eastAsia="zh-CN"/>
        </w:rPr>
        <w:t>650</w:t>
      </w:r>
      <w:r>
        <w:rPr>
          <w:rFonts w:hint="eastAsia" w:ascii="仿宋" w:hAnsi="仿宋" w:eastAsia="仿宋"/>
          <w:sz w:val="32"/>
          <w:szCs w:val="32"/>
        </w:rPr>
        <w:t>余家（次），累计出动卫生监督执法人员</w:t>
      </w:r>
      <w:r>
        <w:rPr>
          <w:rFonts w:hint="eastAsia" w:ascii="仿宋" w:hAnsi="仿宋" w:eastAsia="仿宋"/>
          <w:sz w:val="32"/>
          <w:szCs w:val="32"/>
          <w:lang w:val="en-US" w:eastAsia="zh-CN"/>
        </w:rPr>
        <w:t>6000</w:t>
      </w:r>
      <w:r>
        <w:rPr>
          <w:rFonts w:hint="eastAsia" w:ascii="仿宋" w:hAnsi="仿宋" w:eastAsia="仿宋"/>
          <w:sz w:val="32"/>
          <w:szCs w:val="32"/>
        </w:rPr>
        <w:t>0余人次，出动车辆2</w:t>
      </w:r>
      <w:r>
        <w:rPr>
          <w:rFonts w:hint="eastAsia" w:ascii="仿宋" w:hAnsi="仿宋" w:eastAsia="仿宋"/>
          <w:sz w:val="32"/>
          <w:szCs w:val="32"/>
          <w:lang w:val="en-US" w:eastAsia="zh-CN"/>
        </w:rPr>
        <w:t>1</w:t>
      </w:r>
      <w:r>
        <w:rPr>
          <w:rFonts w:hint="eastAsia" w:ascii="仿宋" w:hAnsi="仿宋" w:eastAsia="仿宋"/>
          <w:sz w:val="32"/>
          <w:szCs w:val="32"/>
        </w:rPr>
        <w:t>0余台（次），下达《卫生监督意见书》1</w:t>
      </w:r>
      <w:r>
        <w:rPr>
          <w:rFonts w:hint="eastAsia" w:ascii="仿宋" w:hAnsi="仿宋" w:eastAsia="仿宋"/>
          <w:sz w:val="32"/>
          <w:szCs w:val="32"/>
          <w:lang w:val="en-US" w:eastAsia="zh-CN"/>
        </w:rPr>
        <w:t>520</w:t>
      </w:r>
      <w:r>
        <w:rPr>
          <w:rFonts w:hint="eastAsia" w:ascii="仿宋" w:hAnsi="仿宋" w:eastAsia="仿宋"/>
          <w:sz w:val="32"/>
          <w:szCs w:val="32"/>
        </w:rPr>
        <w:t>余份，责令整改3</w:t>
      </w:r>
      <w:r>
        <w:rPr>
          <w:rFonts w:hint="eastAsia" w:ascii="仿宋" w:hAnsi="仿宋" w:eastAsia="仿宋"/>
          <w:sz w:val="32"/>
          <w:szCs w:val="32"/>
          <w:lang w:val="en-US" w:eastAsia="zh-CN"/>
        </w:rPr>
        <w:t>8</w:t>
      </w:r>
      <w:r>
        <w:rPr>
          <w:rFonts w:hint="eastAsia" w:ascii="仿宋" w:hAnsi="仿宋" w:eastAsia="仿宋"/>
          <w:sz w:val="32"/>
          <w:szCs w:val="32"/>
        </w:rPr>
        <w:t>0家，立案进行行政处罚</w:t>
      </w:r>
      <w:r>
        <w:rPr>
          <w:rFonts w:hint="eastAsia" w:ascii="仿宋" w:hAnsi="仿宋" w:eastAsia="仿宋"/>
          <w:sz w:val="32"/>
          <w:szCs w:val="32"/>
          <w:lang w:val="en-US" w:eastAsia="zh-CN"/>
        </w:rPr>
        <w:t>5</w:t>
      </w:r>
      <w:r>
        <w:rPr>
          <w:rFonts w:hint="eastAsia" w:ascii="仿宋" w:hAnsi="仿宋" w:eastAsia="仿宋"/>
          <w:sz w:val="32"/>
          <w:szCs w:val="32"/>
        </w:rPr>
        <w:t>家，罚没金额</w:t>
      </w:r>
      <w:r>
        <w:rPr>
          <w:rFonts w:hint="eastAsia" w:ascii="仿宋" w:hAnsi="仿宋" w:eastAsia="仿宋"/>
          <w:sz w:val="32"/>
          <w:szCs w:val="32"/>
          <w:lang w:val="en-US" w:eastAsia="zh-CN"/>
        </w:rPr>
        <w:t>2</w:t>
      </w:r>
      <w:r>
        <w:rPr>
          <w:rFonts w:hint="eastAsia" w:ascii="仿宋" w:hAnsi="仿宋" w:eastAsia="仿宋"/>
          <w:sz w:val="32"/>
          <w:szCs w:val="32"/>
        </w:rPr>
        <w:t>万余元。</w:t>
      </w:r>
    </w:p>
    <w:p w14:paraId="585C555E">
      <w:pPr>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六</w:t>
      </w:r>
      <w:r>
        <w:rPr>
          <w:rFonts w:hint="eastAsia" w:ascii="仿宋" w:hAnsi="仿宋" w:eastAsia="仿宋"/>
          <w:sz w:val="32"/>
          <w:szCs w:val="32"/>
        </w:rPr>
        <w:t>)为切实规范我市餐饮具集中消毒服务机构的生产经营，加强卫生安全监管，根据上级《关于开展餐饮具集中消毒服务单位专项整治工作的通知》要求，制定了工作方案，于202</w:t>
      </w:r>
      <w:r>
        <w:rPr>
          <w:rFonts w:hint="eastAsia" w:ascii="仿宋" w:hAnsi="仿宋" w:eastAsia="仿宋"/>
          <w:sz w:val="32"/>
          <w:szCs w:val="32"/>
          <w:lang w:val="en-US" w:eastAsia="zh-CN"/>
        </w:rPr>
        <w:t>4</w:t>
      </w:r>
      <w:r>
        <w:rPr>
          <w:rFonts w:hint="eastAsia" w:ascii="仿宋" w:hAnsi="仿宋" w:eastAsia="仿宋"/>
          <w:sz w:val="32"/>
          <w:szCs w:val="32"/>
        </w:rPr>
        <w:t>年9月对我市辖区内</w:t>
      </w:r>
      <w:r>
        <w:rPr>
          <w:rFonts w:hint="eastAsia" w:ascii="仿宋" w:hAnsi="仿宋" w:eastAsia="仿宋"/>
          <w:sz w:val="32"/>
          <w:szCs w:val="32"/>
          <w:lang w:val="en-US" w:eastAsia="zh-CN"/>
        </w:rPr>
        <w:t>5</w:t>
      </w:r>
      <w:r>
        <w:rPr>
          <w:rFonts w:hint="eastAsia" w:ascii="仿宋" w:hAnsi="仿宋" w:eastAsia="仿宋"/>
          <w:sz w:val="32"/>
          <w:szCs w:val="32"/>
        </w:rPr>
        <w:t>家餐饮具集中消毒服务机构进行了全面督查</w:t>
      </w:r>
      <w:r>
        <w:rPr>
          <w:rFonts w:hint="eastAsia" w:ascii="仿宋" w:hAnsi="仿宋" w:eastAsia="仿宋"/>
          <w:sz w:val="32"/>
          <w:szCs w:val="32"/>
          <w:lang w:eastAsia="zh-CN"/>
        </w:rPr>
        <w:t>。</w:t>
      </w:r>
      <w:r>
        <w:rPr>
          <w:rFonts w:hint="eastAsia" w:ascii="仿宋" w:hAnsi="仿宋" w:eastAsia="仿宋"/>
          <w:sz w:val="32"/>
          <w:szCs w:val="32"/>
        </w:rPr>
        <w:t>对在专项检查中发现的问题均下达了整改意见责令整改，并对</w:t>
      </w:r>
      <w:r>
        <w:rPr>
          <w:rFonts w:hint="eastAsia" w:ascii="仿宋" w:hAnsi="仿宋" w:eastAsia="仿宋"/>
          <w:sz w:val="32"/>
          <w:szCs w:val="32"/>
          <w:lang w:val="en-US" w:eastAsia="zh-CN"/>
        </w:rPr>
        <w:t>5</w:t>
      </w:r>
      <w:r>
        <w:rPr>
          <w:rFonts w:hint="eastAsia" w:ascii="仿宋" w:hAnsi="仿宋" w:eastAsia="仿宋"/>
          <w:sz w:val="32"/>
          <w:szCs w:val="32"/>
        </w:rPr>
        <w:t>家餐饮具集中消毒服务机构进行了消毒效果抽样检测，有力的规范了餐饮具集中消毒服务机构的的生产经营活动，提高了经营者依法生产的卫生安全意识，加强了对餐消行业违法行为的防范与监管能力。</w:t>
      </w:r>
    </w:p>
    <w:p w14:paraId="7CF9319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0"/>
          <w:szCs w:val="30"/>
          <w:lang w:eastAsia="zh-CN"/>
        </w:rPr>
        <w:t>（</w:t>
      </w:r>
      <w:r>
        <w:rPr>
          <w:rFonts w:hint="eastAsia" w:ascii="仿宋" w:hAnsi="仿宋" w:eastAsia="仿宋"/>
          <w:sz w:val="32"/>
          <w:szCs w:val="32"/>
          <w:lang w:val="en-US" w:eastAsia="zh-CN"/>
        </w:rPr>
        <w:t>七</w:t>
      </w:r>
      <w:r>
        <w:rPr>
          <w:rFonts w:hint="eastAsia" w:ascii="仿宋" w:hAnsi="仿宋" w:eastAsia="仿宋" w:cs="仿宋"/>
          <w:sz w:val="30"/>
          <w:szCs w:val="30"/>
          <w:lang w:eastAsia="zh-CN"/>
        </w:rPr>
        <w:t>）</w:t>
      </w:r>
      <w:r>
        <w:rPr>
          <w:rFonts w:hint="eastAsia" w:ascii="仿宋" w:hAnsi="仿宋" w:eastAsia="仿宋" w:cs="仿宋"/>
          <w:sz w:val="30"/>
          <w:szCs w:val="30"/>
        </w:rPr>
        <w:t>对全市中小学校、托幼机构的传染病防控、生活饮用水、教学环境等工作开展及日常管理情况进行监督检查，实现日常监督检查全覆盖。</w:t>
      </w:r>
      <w:r>
        <w:rPr>
          <w:rFonts w:hint="eastAsia" w:ascii="仿宋" w:hAnsi="仿宋" w:eastAsia="仿宋"/>
          <w:sz w:val="32"/>
          <w:szCs w:val="32"/>
        </w:rPr>
        <w:t>共</w:t>
      </w:r>
      <w:r>
        <w:rPr>
          <w:rFonts w:ascii="仿宋" w:hAnsi="仿宋" w:eastAsia="仿宋"/>
          <w:sz w:val="32"/>
          <w:szCs w:val="32"/>
        </w:rPr>
        <w:t>检查</w:t>
      </w:r>
      <w:r>
        <w:rPr>
          <w:rFonts w:hint="eastAsia" w:ascii="仿宋" w:hAnsi="仿宋" w:eastAsia="仿宋"/>
          <w:sz w:val="32"/>
          <w:szCs w:val="32"/>
          <w:lang w:eastAsia="zh-CN"/>
        </w:rPr>
        <w:t>全市</w:t>
      </w:r>
      <w:r>
        <w:rPr>
          <w:rFonts w:ascii="仿宋" w:hAnsi="仿宋" w:eastAsia="仿宋"/>
          <w:sz w:val="32"/>
          <w:szCs w:val="32"/>
        </w:rPr>
        <w:t>中小学校及</w:t>
      </w:r>
      <w:r>
        <w:rPr>
          <w:rFonts w:hint="eastAsia" w:ascii="仿宋" w:hAnsi="仿宋" w:eastAsia="仿宋"/>
          <w:sz w:val="32"/>
          <w:szCs w:val="32"/>
          <w:lang w:eastAsia="zh-CN"/>
        </w:rPr>
        <w:t>幼儿园</w:t>
      </w:r>
      <w:r>
        <w:rPr>
          <w:rFonts w:hint="eastAsia" w:ascii="仿宋" w:hAnsi="仿宋" w:eastAsia="仿宋"/>
          <w:sz w:val="32"/>
          <w:szCs w:val="32"/>
          <w:lang w:val="en-US" w:eastAsia="zh-CN"/>
        </w:rPr>
        <w:t>209所</w:t>
      </w:r>
      <w:r>
        <w:rPr>
          <w:rFonts w:hint="eastAsia" w:ascii="仿宋" w:hAnsi="仿宋" w:eastAsia="仿宋"/>
          <w:sz w:val="32"/>
          <w:szCs w:val="32"/>
          <w:lang w:eastAsia="zh-CN"/>
        </w:rPr>
        <w:t>、托育机构</w:t>
      </w:r>
      <w:r>
        <w:rPr>
          <w:rFonts w:hint="eastAsia" w:ascii="仿宋" w:hAnsi="仿宋" w:eastAsia="仿宋"/>
          <w:sz w:val="32"/>
          <w:szCs w:val="32"/>
          <w:lang w:val="en-US" w:eastAsia="zh-CN"/>
        </w:rPr>
        <w:t>5所、与市监局、教体局、公安局联合检查校外托管机构20所，</w:t>
      </w:r>
      <w:r>
        <w:rPr>
          <w:rFonts w:hint="eastAsia" w:ascii="仿宋" w:hAnsi="仿宋" w:eastAsia="仿宋" w:cs="仿宋"/>
          <w:sz w:val="30"/>
          <w:szCs w:val="30"/>
        </w:rPr>
        <w:t>根据现场检查存在的问题，及时跟主要负责人进行沟通，下达卫生监督意见书</w:t>
      </w:r>
      <w:r>
        <w:rPr>
          <w:rFonts w:hint="eastAsia" w:ascii="仿宋" w:hAnsi="仿宋" w:eastAsia="仿宋"/>
          <w:sz w:val="32"/>
          <w:szCs w:val="32"/>
          <w:lang w:val="en-US" w:eastAsia="zh-CN"/>
        </w:rPr>
        <w:t>306</w:t>
      </w:r>
      <w:r>
        <w:rPr>
          <w:rFonts w:ascii="仿宋" w:hAnsi="仿宋" w:eastAsia="仿宋"/>
          <w:sz w:val="32"/>
          <w:szCs w:val="32"/>
        </w:rPr>
        <w:t>份</w:t>
      </w:r>
      <w:r>
        <w:rPr>
          <w:rFonts w:hint="eastAsia" w:ascii="仿宋" w:hAnsi="仿宋" w:eastAsia="仿宋"/>
          <w:sz w:val="32"/>
          <w:szCs w:val="32"/>
          <w:lang w:eastAsia="zh-CN"/>
        </w:rPr>
        <w:t>，</w:t>
      </w:r>
      <w:r>
        <w:rPr>
          <w:rFonts w:hint="eastAsia" w:ascii="仿宋" w:hAnsi="仿宋" w:eastAsia="仿宋" w:cs="仿宋"/>
          <w:sz w:val="30"/>
          <w:szCs w:val="30"/>
          <w:lang w:eastAsia="zh-CN"/>
        </w:rPr>
        <w:t>责令限期改正</w:t>
      </w:r>
      <w:r>
        <w:rPr>
          <w:rFonts w:hint="eastAsia" w:ascii="仿宋" w:hAnsi="仿宋" w:eastAsia="仿宋" w:cs="仿宋"/>
          <w:sz w:val="30"/>
          <w:szCs w:val="30"/>
        </w:rPr>
        <w:t>。</w:t>
      </w:r>
      <w:r>
        <w:rPr>
          <w:rFonts w:hint="eastAsia" w:ascii="仿宋" w:hAnsi="仿宋" w:eastAsia="仿宋"/>
          <w:sz w:val="32"/>
          <w:szCs w:val="32"/>
          <w:lang w:eastAsia="zh-CN"/>
        </w:rPr>
        <w:t>查处学校及幼儿园违法案件</w:t>
      </w:r>
      <w:r>
        <w:rPr>
          <w:rFonts w:hint="eastAsia" w:ascii="仿宋" w:hAnsi="仿宋" w:eastAsia="仿宋"/>
          <w:sz w:val="32"/>
          <w:szCs w:val="32"/>
          <w:lang w:val="en-US" w:eastAsia="zh-CN"/>
        </w:rPr>
        <w:t>5起，其中</w:t>
      </w:r>
      <w:r>
        <w:rPr>
          <w:rFonts w:hint="eastAsia" w:ascii="仿宋" w:hAnsi="仿宋" w:eastAsia="仿宋"/>
          <w:sz w:val="32"/>
          <w:szCs w:val="32"/>
        </w:rPr>
        <w:t>警告</w:t>
      </w:r>
      <w:r>
        <w:rPr>
          <w:rFonts w:hint="eastAsia" w:ascii="仿宋" w:hAnsi="仿宋" w:eastAsia="仿宋"/>
          <w:sz w:val="32"/>
          <w:szCs w:val="32"/>
          <w:lang w:val="en-US" w:eastAsia="zh-CN"/>
        </w:rPr>
        <w:t>3</w:t>
      </w:r>
      <w:r>
        <w:rPr>
          <w:rFonts w:hint="eastAsia" w:ascii="仿宋" w:hAnsi="仿宋" w:eastAsia="仿宋"/>
          <w:sz w:val="32"/>
          <w:szCs w:val="32"/>
        </w:rPr>
        <w:t>起</w:t>
      </w:r>
      <w:r>
        <w:rPr>
          <w:rFonts w:hint="eastAsia" w:ascii="仿宋" w:hAnsi="仿宋" w:eastAsia="仿宋"/>
          <w:sz w:val="32"/>
          <w:szCs w:val="32"/>
          <w:lang w:eastAsia="zh-CN"/>
        </w:rPr>
        <w:t>、罚款</w:t>
      </w:r>
      <w:r>
        <w:rPr>
          <w:rFonts w:hint="eastAsia" w:ascii="仿宋" w:hAnsi="仿宋" w:eastAsia="仿宋"/>
          <w:sz w:val="32"/>
          <w:szCs w:val="32"/>
          <w:lang w:val="en-US" w:eastAsia="zh-CN"/>
        </w:rPr>
        <w:t>2起，共计2000元</w:t>
      </w:r>
      <w:r>
        <w:rPr>
          <w:rFonts w:hint="eastAsia" w:ascii="仿宋" w:hAnsi="仿宋" w:eastAsia="仿宋" w:cs="仿宋"/>
          <w:sz w:val="32"/>
          <w:szCs w:val="32"/>
          <w:lang w:eastAsia="zh-CN"/>
        </w:rPr>
        <w:t>。</w:t>
      </w:r>
    </w:p>
    <w:p w14:paraId="26C5A0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八</w:t>
      </w:r>
      <w:r>
        <w:rPr>
          <w:rFonts w:hint="eastAsia" w:ascii="仿宋" w:hAnsi="仿宋" w:eastAsia="仿宋" w:cs="仿宋"/>
          <w:sz w:val="30"/>
          <w:szCs w:val="30"/>
          <w:lang w:eastAsia="zh-CN"/>
        </w:rPr>
        <w:t>）</w:t>
      </w:r>
      <w:r>
        <w:rPr>
          <w:rFonts w:hint="eastAsia" w:ascii="仿宋" w:hAnsi="仿宋" w:eastAsia="仿宋" w:cs="仿宋"/>
          <w:sz w:val="30"/>
          <w:szCs w:val="30"/>
        </w:rPr>
        <w:t>对辖区内集中式供水单位进行了日常性卫生监督检查</w:t>
      </w:r>
      <w:r>
        <w:rPr>
          <w:rFonts w:hint="eastAsia" w:ascii="仿宋" w:hAnsi="仿宋" w:eastAsia="仿宋" w:cs="仿宋"/>
          <w:sz w:val="30"/>
          <w:szCs w:val="30"/>
          <w:lang w:eastAsia="zh-CN"/>
        </w:rPr>
        <w:t>，</w:t>
      </w:r>
      <w:r>
        <w:rPr>
          <w:rFonts w:hint="eastAsia" w:ascii="仿宋" w:hAnsi="仿宋" w:eastAsia="仿宋" w:cs="仿宋"/>
          <w:sz w:val="30"/>
          <w:szCs w:val="30"/>
        </w:rPr>
        <w:t>共检查集中式供水单位1</w:t>
      </w:r>
      <w:r>
        <w:rPr>
          <w:rFonts w:hint="eastAsia" w:ascii="仿宋" w:hAnsi="仿宋" w:eastAsia="仿宋" w:cs="仿宋"/>
          <w:sz w:val="30"/>
          <w:szCs w:val="30"/>
          <w:lang w:val="en-US" w:eastAsia="zh-CN"/>
        </w:rPr>
        <w:t>2</w:t>
      </w:r>
      <w:r>
        <w:rPr>
          <w:rFonts w:hint="eastAsia" w:ascii="仿宋" w:hAnsi="仿宋" w:eastAsia="仿宋" w:cs="仿宋"/>
          <w:sz w:val="30"/>
          <w:szCs w:val="30"/>
        </w:rPr>
        <w:t>家，其中</w:t>
      </w:r>
      <w:r>
        <w:rPr>
          <w:rFonts w:hint="eastAsia" w:ascii="仿宋" w:hAnsi="仿宋" w:eastAsia="仿宋" w:cs="仿宋"/>
          <w:sz w:val="30"/>
          <w:szCs w:val="30"/>
          <w:lang w:eastAsia="zh-CN"/>
        </w:rPr>
        <w:t>市政供水单位</w:t>
      </w:r>
      <w:r>
        <w:rPr>
          <w:rFonts w:hint="eastAsia" w:ascii="仿宋" w:hAnsi="仿宋" w:eastAsia="仿宋" w:cs="仿宋"/>
          <w:sz w:val="30"/>
          <w:szCs w:val="30"/>
          <w:lang w:val="en-US" w:eastAsia="zh-CN"/>
        </w:rPr>
        <w:t>1家，</w:t>
      </w:r>
      <w:r>
        <w:rPr>
          <w:rFonts w:hint="eastAsia" w:ascii="仿宋" w:hAnsi="仿宋" w:eastAsia="仿宋" w:cs="仿宋"/>
          <w:sz w:val="30"/>
          <w:szCs w:val="30"/>
        </w:rPr>
        <w:t>农村集中式供水单位1</w:t>
      </w:r>
      <w:r>
        <w:rPr>
          <w:rFonts w:hint="eastAsia" w:ascii="仿宋" w:hAnsi="仿宋" w:eastAsia="仿宋" w:cs="仿宋"/>
          <w:sz w:val="30"/>
          <w:szCs w:val="30"/>
          <w:lang w:val="en-US" w:eastAsia="zh-CN"/>
        </w:rPr>
        <w:t>1</w:t>
      </w:r>
      <w:r>
        <w:rPr>
          <w:rFonts w:hint="eastAsia" w:ascii="仿宋" w:hAnsi="仿宋" w:eastAsia="仿宋" w:cs="仿宋"/>
          <w:sz w:val="30"/>
          <w:szCs w:val="30"/>
        </w:rPr>
        <w:t>家</w:t>
      </w:r>
      <w:r>
        <w:rPr>
          <w:rFonts w:hint="eastAsia" w:ascii="仿宋" w:hAnsi="仿宋" w:eastAsia="仿宋" w:cs="仿宋"/>
          <w:sz w:val="30"/>
          <w:szCs w:val="30"/>
          <w:lang w:eastAsia="zh-CN"/>
        </w:rPr>
        <w:t>。针对各供水单位存在的问题，下达卫生监督意见书</w:t>
      </w:r>
      <w:r>
        <w:rPr>
          <w:rFonts w:hint="eastAsia" w:ascii="仿宋" w:hAnsi="仿宋" w:eastAsia="仿宋" w:cs="仿宋"/>
          <w:sz w:val="30"/>
          <w:szCs w:val="30"/>
          <w:lang w:val="en-US" w:eastAsia="zh-CN"/>
        </w:rPr>
        <w:t>24份，责令限期改正，对其中问题严重的3家单位给予行政处罚，共计罚款9000元。督促办理乡镇集中式供水卫生许可证1个。开展水质抽查工作，除国家双随机抽查4家单位外，还对1家集中式供水单位、3家二次供水单位、3家分质供水单位及6所幼儿园井水水质进行了抽查，检测结果均为合格；</w:t>
      </w:r>
      <w:r>
        <w:rPr>
          <w:rFonts w:hint="eastAsia" w:ascii="仿宋" w:hAnsi="仿宋" w:eastAsia="仿宋" w:cs="仿宋"/>
          <w:sz w:val="30"/>
          <w:szCs w:val="30"/>
        </w:rPr>
        <w:t>按照</w:t>
      </w:r>
      <w:r>
        <w:rPr>
          <w:rFonts w:hint="eastAsia" w:ascii="仿宋" w:hAnsi="仿宋" w:eastAsia="仿宋" w:cs="仿宋"/>
          <w:sz w:val="32"/>
          <w:szCs w:val="32"/>
        </w:rPr>
        <w:t>《</w:t>
      </w:r>
      <w:r>
        <w:rPr>
          <w:rFonts w:hint="eastAsia" w:ascii="仿宋" w:hAnsi="仿宋" w:eastAsia="仿宋" w:cs="仿宋"/>
          <w:sz w:val="32"/>
          <w:szCs w:val="32"/>
          <w:lang w:val="en-US" w:eastAsia="zh-CN"/>
        </w:rPr>
        <w:t>2024年</w:t>
      </w:r>
      <w:r>
        <w:rPr>
          <w:rFonts w:hint="eastAsia" w:ascii="仿宋" w:hAnsi="仿宋" w:eastAsia="仿宋" w:cs="仿宋"/>
          <w:sz w:val="32"/>
          <w:szCs w:val="32"/>
          <w:lang w:eastAsia="zh-CN"/>
        </w:rPr>
        <w:t>湖南省卫生健康随机监督抽查计划</w:t>
      </w:r>
      <w:r>
        <w:rPr>
          <w:rFonts w:hint="eastAsia" w:ascii="仿宋" w:hAnsi="仿宋" w:eastAsia="仿宋" w:cs="仿宋"/>
          <w:sz w:val="32"/>
          <w:szCs w:val="32"/>
        </w:rPr>
        <w:t>》(</w:t>
      </w:r>
      <w:r>
        <w:rPr>
          <w:rFonts w:hint="eastAsia" w:ascii="仿宋" w:hAnsi="仿宋" w:eastAsia="仿宋" w:cs="仿宋"/>
          <w:sz w:val="32"/>
          <w:szCs w:val="32"/>
          <w:lang w:eastAsia="zh-CN"/>
        </w:rPr>
        <w:t>湘疾控监督二处发</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2024</w:t>
      </w:r>
      <w:r>
        <w:rPr>
          <w:rFonts w:hint="eastAsia" w:ascii="宋体" w:hAnsi="宋体" w:eastAsia="宋体" w:cs="宋体"/>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号)精神，</w:t>
      </w:r>
      <w:r>
        <w:rPr>
          <w:rFonts w:hint="eastAsia" w:ascii="仿宋" w:hAnsi="仿宋" w:eastAsia="仿宋" w:cs="仿宋"/>
          <w:sz w:val="32"/>
          <w:szCs w:val="32"/>
          <w:lang w:eastAsia="zh-CN"/>
        </w:rPr>
        <w:t>完成学校卫生双随机监督抽查任务</w:t>
      </w:r>
      <w:r>
        <w:rPr>
          <w:rFonts w:hint="eastAsia" w:ascii="仿宋" w:hAnsi="仿宋" w:eastAsia="仿宋" w:cs="仿宋"/>
          <w:sz w:val="32"/>
          <w:szCs w:val="32"/>
          <w:lang w:val="en-US" w:eastAsia="zh-CN"/>
        </w:rPr>
        <w:t>11个，完成率100%，案件率27%；完成集中式供水单位双随机监督抽查任务4个，完成率100%，案件率25%。</w:t>
      </w:r>
    </w:p>
    <w:p w14:paraId="46FCEDE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九）全面开展作业场所职业病危害申报工作，摸清全市作业场所职业危害现状，掌握全市职业病在行业和地区分布情况，加强职业健康监督管理，监督管理覆盖率达到80%，依法立案，共对辖下监督对象下达《当场行政处罚决定书》五十余份。</w:t>
      </w:r>
    </w:p>
    <w:p w14:paraId="1181FD36">
      <w:pPr>
        <w:snapToGrid w:val="0"/>
        <w:spacing w:line="360" w:lineRule="auto"/>
        <w:ind w:firstLine="600" w:firstLineChars="200"/>
        <w:rPr>
          <w:rFonts w:hint="eastAsia" w:ascii="仿宋" w:hAnsi="仿宋" w:eastAsia="仿宋"/>
          <w:sz w:val="32"/>
          <w:szCs w:val="32"/>
        </w:rPr>
      </w:pPr>
      <w:r>
        <w:rPr>
          <w:rFonts w:hint="eastAsia" w:ascii="仿宋" w:hAnsi="仿宋" w:eastAsia="仿宋" w:cs="仿宋"/>
          <w:sz w:val="30"/>
          <w:szCs w:val="30"/>
          <w:lang w:val="en-US" w:eastAsia="zh-CN"/>
        </w:rPr>
        <w:t>（十）</w:t>
      </w:r>
      <w:r>
        <w:rPr>
          <w:rFonts w:hint="eastAsia" w:ascii="仿宋" w:hAnsi="仿宋" w:eastAsia="仿宋"/>
          <w:sz w:val="32"/>
          <w:szCs w:val="32"/>
        </w:rPr>
        <w:t>是根据国家和省卫生健康委有关要求，开展了国家卫生健康“双随机”监督抽查工作，截至202</w:t>
      </w:r>
      <w:r>
        <w:rPr>
          <w:rFonts w:hint="eastAsia" w:ascii="仿宋" w:hAnsi="仿宋" w:eastAsia="仿宋"/>
          <w:sz w:val="32"/>
          <w:szCs w:val="32"/>
          <w:lang w:val="en-US" w:eastAsia="zh-CN"/>
        </w:rPr>
        <w:t>4</w:t>
      </w:r>
      <w:r>
        <w:rPr>
          <w:rFonts w:hint="eastAsia" w:ascii="仿宋" w:hAnsi="仿宋" w:eastAsia="仿宋"/>
          <w:sz w:val="32"/>
          <w:szCs w:val="32"/>
        </w:rPr>
        <w:t>年11月24日任务总数</w:t>
      </w:r>
      <w:r>
        <w:rPr>
          <w:rFonts w:hint="eastAsia" w:ascii="仿宋" w:hAnsi="仿宋" w:eastAsia="仿宋"/>
          <w:sz w:val="32"/>
          <w:szCs w:val="32"/>
          <w:lang w:val="en-US" w:eastAsia="zh-CN"/>
        </w:rPr>
        <w:t>58</w:t>
      </w:r>
      <w:r>
        <w:rPr>
          <w:rFonts w:hint="eastAsia" w:ascii="仿宋" w:hAnsi="仿宋" w:eastAsia="仿宋"/>
          <w:sz w:val="32"/>
          <w:szCs w:val="32"/>
        </w:rPr>
        <w:t>家，任务完成</w:t>
      </w:r>
      <w:r>
        <w:rPr>
          <w:rFonts w:hint="eastAsia" w:ascii="仿宋" w:hAnsi="仿宋" w:eastAsia="仿宋"/>
          <w:sz w:val="32"/>
          <w:szCs w:val="32"/>
          <w:lang w:val="en-US" w:eastAsia="zh-CN"/>
        </w:rPr>
        <w:t>58</w:t>
      </w:r>
      <w:r>
        <w:rPr>
          <w:rFonts w:hint="eastAsia" w:ascii="仿宋" w:hAnsi="仿宋" w:eastAsia="仿宋"/>
          <w:sz w:val="32"/>
          <w:szCs w:val="32"/>
        </w:rPr>
        <w:t>家，完成率100%，案件1</w:t>
      </w:r>
      <w:r>
        <w:rPr>
          <w:rFonts w:hint="eastAsia" w:ascii="仿宋" w:hAnsi="仿宋" w:eastAsia="仿宋"/>
          <w:sz w:val="32"/>
          <w:szCs w:val="32"/>
          <w:lang w:val="en-US" w:eastAsia="zh-CN"/>
        </w:rPr>
        <w:t>5</w:t>
      </w:r>
      <w:r>
        <w:rPr>
          <w:rFonts w:hint="eastAsia" w:ascii="仿宋" w:hAnsi="仿宋" w:eastAsia="仿宋"/>
          <w:sz w:val="32"/>
          <w:szCs w:val="32"/>
        </w:rPr>
        <w:t>起，案件率18.6%，任务完结率100%；二是对接到的非法行医、美容店开展医疗美容等</w:t>
      </w:r>
      <w:r>
        <w:rPr>
          <w:rFonts w:hint="eastAsia" w:ascii="仿宋" w:hAnsi="仿宋" w:eastAsia="仿宋"/>
          <w:sz w:val="32"/>
          <w:szCs w:val="32"/>
          <w:lang w:val="en-US" w:eastAsia="zh-CN"/>
        </w:rPr>
        <w:t>11</w:t>
      </w:r>
      <w:r>
        <w:rPr>
          <w:rFonts w:hint="eastAsia" w:ascii="仿宋" w:hAnsi="仿宋" w:eastAsia="仿宋"/>
          <w:sz w:val="32"/>
          <w:szCs w:val="32"/>
        </w:rPr>
        <w:t>起投诉举报，均已处理并回复举报人，对问题严重的，予以立案查处；三是全年共计查办各类卫生违法案件</w:t>
      </w:r>
      <w:r>
        <w:rPr>
          <w:rFonts w:hint="eastAsia" w:ascii="仿宋" w:hAnsi="仿宋" w:eastAsia="仿宋"/>
          <w:sz w:val="32"/>
          <w:szCs w:val="32"/>
          <w:lang w:val="en-US" w:eastAsia="zh-CN"/>
        </w:rPr>
        <w:t>26</w:t>
      </w:r>
      <w:r>
        <w:rPr>
          <w:rFonts w:hint="eastAsia" w:ascii="仿宋" w:hAnsi="仿宋" w:eastAsia="仿宋"/>
          <w:sz w:val="32"/>
          <w:szCs w:val="32"/>
        </w:rPr>
        <w:t>起。</w:t>
      </w:r>
    </w:p>
    <w:p w14:paraId="0C5D2553">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09D6288">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卫计监督执法力度不够大，立案查处案件数量不够多。</w:t>
      </w:r>
    </w:p>
    <w:p w14:paraId="0AB5B6C7">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1E6D0A72">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改进措施：1、</w:t>
      </w:r>
      <w:r>
        <w:rPr>
          <w:rFonts w:hint="eastAsia" w:ascii="仿宋" w:hAnsi="仿宋" w:eastAsia="仿宋" w:cs="仿宋"/>
          <w:color w:val="000000"/>
          <w:spacing w:val="0"/>
          <w:kern w:val="0"/>
          <w:position w:val="0"/>
          <w:sz w:val="32"/>
          <w:szCs w:val="32"/>
          <w:shd w:val="clear" w:fill="auto"/>
        </w:rPr>
        <w:t>进一步加大监督执法人员培训力度，增强监督执法人员素质</w:t>
      </w:r>
      <w:r>
        <w:rPr>
          <w:rFonts w:hint="eastAsia" w:eastAsia="仿宋_GB2312"/>
          <w:kern w:val="0"/>
          <w:sz w:val="32"/>
          <w:szCs w:val="32"/>
          <w:lang w:eastAsia="zh-CN"/>
        </w:rPr>
        <w:t>；2、加大卫计监督执法力度。</w:t>
      </w:r>
    </w:p>
    <w:p w14:paraId="5E76FBF2">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064CBEAC">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eastAsia="zh-CN"/>
        </w:rPr>
        <w:t>以结果为导向，健全绩效评估与绩效评 价结果挂钩机制。我局将针对绩效评 价发现的问题，采取有力措施进行整 改，并将绩效评价结果作为各市州年度 绩效考核和下年度资金安排的依据，持续提高财政资金使用效益。本报告在我局门户网进行公示。</w:t>
      </w:r>
    </w:p>
    <w:p w14:paraId="403CB73C">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059D075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14:paraId="050537C2">
      <w:pPr>
        <w:spacing w:line="600" w:lineRule="exact"/>
        <w:ind w:firstLine="640" w:firstLineChars="200"/>
        <w:jc w:val="both"/>
        <w:rPr>
          <w:rFonts w:hint="eastAsia" w:eastAsia="仿宋_GB2312"/>
          <w:kern w:val="0"/>
          <w:sz w:val="32"/>
          <w:szCs w:val="32"/>
          <w:lang w:eastAsia="zh-CN"/>
        </w:rPr>
      </w:pPr>
    </w:p>
    <w:p w14:paraId="4AEB7C42">
      <w:pPr>
        <w:spacing w:line="600" w:lineRule="exact"/>
        <w:ind w:firstLine="640" w:firstLineChars="200"/>
        <w:jc w:val="both"/>
        <w:rPr>
          <w:rFonts w:hint="eastAsia" w:eastAsia="仿宋_GB2312"/>
          <w:kern w:val="0"/>
          <w:sz w:val="32"/>
          <w:szCs w:val="32"/>
          <w:lang w:eastAsia="zh-CN"/>
        </w:rPr>
      </w:pPr>
    </w:p>
    <w:p w14:paraId="5B7037F1">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58921AC0">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7C66D06C">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E990E03">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13C70564">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、政府性基金预算财政拨款支出情况表</w:t>
      </w:r>
    </w:p>
    <w:p w14:paraId="497AC6C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、国有资本经营预算财政拨款支出情况表</w:t>
      </w:r>
    </w:p>
    <w:p w14:paraId="1C187C25">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5A9BB894">
      <w:pPr>
        <w:spacing w:line="600" w:lineRule="exact"/>
        <w:ind w:firstLine="640" w:firstLineChars="200"/>
        <w:jc w:val="both"/>
        <w:rPr>
          <w:rFonts w:hint="eastAsia" w:eastAsia="仿宋_GB2312"/>
          <w:kern w:val="0"/>
          <w:sz w:val="32"/>
          <w:szCs w:val="32"/>
          <w:lang w:eastAsia="zh-CN"/>
        </w:rPr>
      </w:pPr>
    </w:p>
    <w:p w14:paraId="47422C3C">
      <w:pPr>
        <w:spacing w:line="600" w:lineRule="exact"/>
        <w:ind w:firstLine="640" w:firstLineChars="200"/>
        <w:jc w:val="both"/>
        <w:rPr>
          <w:rFonts w:hint="eastAsia" w:eastAsia="仿宋_GB2312"/>
          <w:kern w:val="0"/>
          <w:sz w:val="32"/>
          <w:szCs w:val="32"/>
          <w:lang w:eastAsia="zh-CN"/>
        </w:rPr>
      </w:pPr>
    </w:p>
    <w:p w14:paraId="7BE74203">
      <w:pPr>
        <w:spacing w:line="600" w:lineRule="exact"/>
        <w:ind w:firstLine="640" w:firstLineChars="200"/>
        <w:jc w:val="both"/>
        <w:rPr>
          <w:rFonts w:hint="eastAsia" w:eastAsia="仿宋_GB2312"/>
          <w:kern w:val="0"/>
          <w:sz w:val="32"/>
          <w:szCs w:val="32"/>
          <w:lang w:eastAsia="zh-CN"/>
        </w:rPr>
      </w:pPr>
    </w:p>
    <w:p w14:paraId="408C0E7F">
      <w:pPr>
        <w:spacing w:line="600" w:lineRule="exact"/>
        <w:ind w:firstLine="640" w:firstLineChars="200"/>
        <w:jc w:val="both"/>
        <w:rPr>
          <w:rFonts w:hint="eastAsia" w:eastAsia="仿宋_GB2312"/>
          <w:kern w:val="0"/>
          <w:sz w:val="32"/>
          <w:szCs w:val="32"/>
          <w:lang w:eastAsia="zh-CN"/>
        </w:rPr>
      </w:pPr>
    </w:p>
    <w:p w14:paraId="3321462E">
      <w:pPr>
        <w:spacing w:line="600" w:lineRule="exact"/>
        <w:ind w:firstLine="640" w:firstLineChars="200"/>
        <w:jc w:val="both"/>
        <w:rPr>
          <w:rFonts w:hint="eastAsia" w:eastAsia="仿宋_GB2312"/>
          <w:kern w:val="0"/>
          <w:sz w:val="32"/>
          <w:szCs w:val="32"/>
          <w:lang w:eastAsia="zh-CN"/>
        </w:rPr>
      </w:pPr>
    </w:p>
    <w:p w14:paraId="36CF0571">
      <w:pPr>
        <w:spacing w:line="600" w:lineRule="exact"/>
        <w:ind w:firstLine="640" w:firstLineChars="200"/>
        <w:jc w:val="both"/>
        <w:rPr>
          <w:rFonts w:hint="eastAsia" w:eastAsia="仿宋_GB2312"/>
          <w:kern w:val="0"/>
          <w:sz w:val="32"/>
          <w:szCs w:val="32"/>
          <w:lang w:eastAsia="zh-CN"/>
        </w:rPr>
      </w:pPr>
    </w:p>
    <w:p w14:paraId="76247A01">
      <w:pPr>
        <w:spacing w:line="600" w:lineRule="exact"/>
        <w:ind w:firstLine="640" w:firstLineChars="200"/>
        <w:jc w:val="both"/>
        <w:rPr>
          <w:rFonts w:hint="eastAsia" w:eastAsia="仿宋_GB2312"/>
          <w:kern w:val="0"/>
          <w:sz w:val="32"/>
          <w:szCs w:val="32"/>
          <w:lang w:eastAsia="zh-CN"/>
        </w:rPr>
      </w:pPr>
    </w:p>
    <w:p w14:paraId="1CDDF5DA">
      <w:pPr>
        <w:spacing w:line="600" w:lineRule="exact"/>
        <w:ind w:firstLine="640" w:firstLineChars="200"/>
        <w:jc w:val="both"/>
        <w:rPr>
          <w:rFonts w:hint="eastAsia" w:eastAsia="仿宋_GB2312"/>
          <w:kern w:val="0"/>
          <w:sz w:val="32"/>
          <w:szCs w:val="32"/>
          <w:lang w:eastAsia="zh-CN"/>
        </w:rPr>
      </w:pPr>
    </w:p>
    <w:p w14:paraId="3D945F77">
      <w:pPr>
        <w:spacing w:line="600" w:lineRule="exact"/>
        <w:ind w:firstLine="640" w:firstLineChars="200"/>
        <w:jc w:val="both"/>
        <w:rPr>
          <w:rFonts w:hint="eastAsia" w:eastAsia="仿宋_GB2312"/>
          <w:kern w:val="0"/>
          <w:sz w:val="32"/>
          <w:szCs w:val="32"/>
          <w:lang w:eastAsia="zh-CN"/>
        </w:rPr>
      </w:pPr>
    </w:p>
    <w:p w14:paraId="60E035B2">
      <w:pPr>
        <w:spacing w:line="600" w:lineRule="exact"/>
        <w:ind w:firstLine="640" w:firstLineChars="200"/>
        <w:jc w:val="both"/>
        <w:rPr>
          <w:rFonts w:hint="eastAsia" w:eastAsia="仿宋_GB2312"/>
          <w:kern w:val="0"/>
          <w:sz w:val="32"/>
          <w:szCs w:val="32"/>
          <w:lang w:eastAsia="zh-CN"/>
        </w:rPr>
      </w:pPr>
    </w:p>
    <w:p w14:paraId="4975403D">
      <w:pPr>
        <w:spacing w:line="600" w:lineRule="exact"/>
        <w:ind w:firstLine="640" w:firstLineChars="200"/>
        <w:jc w:val="both"/>
        <w:rPr>
          <w:rFonts w:hint="eastAsia" w:eastAsia="仿宋_GB2312"/>
          <w:kern w:val="0"/>
          <w:sz w:val="32"/>
          <w:szCs w:val="32"/>
          <w:lang w:eastAsia="zh-CN"/>
        </w:rPr>
      </w:pPr>
    </w:p>
    <w:p w14:paraId="59F5C526">
      <w:pPr>
        <w:spacing w:line="267" w:lineRule="auto"/>
        <w:jc w:val="both"/>
        <w:rPr>
          <w:rFonts w:hint="eastAsia" w:ascii="宋体" w:hAnsi="宋体" w:eastAsia="宋体" w:cs="宋体"/>
          <w:bCs/>
          <w:spacing w:val="-4"/>
          <w:kern w:val="0"/>
          <w:sz w:val="28"/>
          <w:szCs w:val="28"/>
          <w:lang w:eastAsia="zh-CN"/>
        </w:rPr>
      </w:pPr>
    </w:p>
    <w:p w14:paraId="22AFE9F3">
      <w:pPr>
        <w:spacing w:line="267" w:lineRule="auto"/>
        <w:ind w:firstLine="552"/>
        <w:jc w:val="both"/>
        <w:rPr>
          <w:rFonts w:hint="eastAsia" w:ascii="宋体" w:hAnsi="宋体" w:eastAsia="宋体" w:cs="宋体"/>
          <w:bCs/>
          <w:spacing w:val="-4"/>
          <w:kern w:val="0"/>
          <w:sz w:val="28"/>
          <w:szCs w:val="28"/>
          <w:lang w:eastAsia="zh-CN"/>
        </w:rPr>
      </w:pPr>
    </w:p>
    <w:p w14:paraId="798425F6">
      <w:pPr>
        <w:spacing w:line="267" w:lineRule="auto"/>
        <w:ind w:firstLine="552"/>
        <w:jc w:val="both"/>
        <w:rPr>
          <w:rFonts w:hint="eastAsia" w:ascii="宋体" w:hAnsi="宋体" w:eastAsia="宋体" w:cs="宋体"/>
          <w:bCs/>
          <w:spacing w:val="-4"/>
          <w:kern w:val="0"/>
          <w:sz w:val="28"/>
          <w:szCs w:val="28"/>
          <w:lang w:eastAsia="zh-CN"/>
        </w:rPr>
      </w:pPr>
    </w:p>
    <w:p w14:paraId="049E73A7">
      <w:pPr>
        <w:spacing w:line="267" w:lineRule="auto"/>
        <w:ind w:firstLine="552"/>
        <w:jc w:val="both"/>
        <w:rPr>
          <w:rFonts w:hint="eastAsia" w:ascii="宋体" w:hAnsi="宋体" w:eastAsia="宋体" w:cs="宋体"/>
          <w:bCs/>
          <w:spacing w:val="-4"/>
          <w:kern w:val="0"/>
          <w:sz w:val="28"/>
          <w:szCs w:val="28"/>
          <w:lang w:eastAsia="zh-CN"/>
        </w:rPr>
      </w:pPr>
    </w:p>
    <w:p w14:paraId="078AEAB4">
      <w:pPr>
        <w:spacing w:line="267" w:lineRule="auto"/>
        <w:ind w:firstLine="552"/>
        <w:jc w:val="both"/>
        <w:rPr>
          <w:rFonts w:hint="eastAsia" w:ascii="宋体" w:hAnsi="宋体" w:eastAsia="宋体" w:cs="宋体"/>
          <w:bCs/>
          <w:spacing w:val="-4"/>
          <w:kern w:val="0"/>
          <w:sz w:val="28"/>
          <w:szCs w:val="28"/>
          <w:lang w:eastAsia="zh-CN"/>
        </w:rPr>
      </w:pPr>
    </w:p>
    <w:p w14:paraId="3B3102C2">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A89D2EC">
      <w:pPr>
        <w:keepNext w:val="0"/>
        <w:keepLines w:val="0"/>
        <w:pageBreakBefore w:val="0"/>
        <w:widowControl/>
        <w:kinsoku w:val="0"/>
        <w:wordWrap/>
        <w:overflowPunct/>
        <w:topLinePunct w:val="0"/>
        <w:autoSpaceDE w:val="0"/>
        <w:autoSpaceDN w:val="0"/>
        <w:bidi w:val="0"/>
        <w:adjustRightInd w:val="0"/>
        <w:snapToGrid w:val="0"/>
        <w:spacing w:before="201" w:line="600" w:lineRule="exact"/>
        <w:jc w:val="both"/>
        <w:textAlignment w:val="baseline"/>
        <w:rPr>
          <w:rFonts w:ascii="黑体" w:hAnsi="黑体" w:eastAsia="黑体" w:cs="黑体"/>
          <w:w w:val="90"/>
          <w:sz w:val="42"/>
          <w:szCs w:val="42"/>
        </w:rPr>
      </w:pPr>
      <w:r>
        <w:rPr>
          <w:rFonts w:ascii="Times New Roman" w:hAnsi="Times New Roman" w:eastAsia="Times New Roman" w:cs="Times New Roman"/>
          <w:spacing w:val="15"/>
          <w:w w:val="90"/>
          <w:position w:val="10"/>
          <w:sz w:val="42"/>
          <w:szCs w:val="42"/>
        </w:rPr>
        <w:t>202</w:t>
      </w:r>
      <w:r>
        <w:rPr>
          <w:rFonts w:hint="eastAsia" w:ascii="Times New Roman" w:hAnsi="Times New Roman" w:eastAsia="宋体" w:cs="Times New Roman"/>
          <w:spacing w:val="15"/>
          <w:w w:val="90"/>
          <w:position w:val="10"/>
          <w:sz w:val="42"/>
          <w:szCs w:val="42"/>
          <w:lang w:val="en-US" w:eastAsia="zh-CN"/>
        </w:rPr>
        <w:t>4</w:t>
      </w:r>
      <w:r>
        <w:rPr>
          <w:rFonts w:ascii="黑体" w:hAnsi="黑体" w:eastAsia="黑体" w:cs="黑体"/>
          <w:spacing w:val="15"/>
          <w:w w:val="90"/>
          <w:position w:val="10"/>
          <w:sz w:val="42"/>
          <w:szCs w:val="42"/>
        </w:rPr>
        <w:t>年度</w:t>
      </w:r>
      <w:r>
        <w:rPr>
          <w:rFonts w:hint="eastAsia" w:ascii="黑体" w:hAnsi="黑体" w:eastAsia="黑体" w:cs="黑体"/>
          <w:spacing w:val="15"/>
          <w:w w:val="90"/>
          <w:position w:val="10"/>
          <w:sz w:val="42"/>
          <w:szCs w:val="42"/>
        </w:rPr>
        <w:t>汨罗市卫生计生综合监督执法局</w:t>
      </w:r>
      <w:r>
        <w:rPr>
          <w:rFonts w:ascii="黑体" w:hAnsi="黑体" w:eastAsia="黑体" w:cs="黑体"/>
          <w:spacing w:val="15"/>
          <w:w w:val="90"/>
          <w:position w:val="10"/>
          <w:sz w:val="42"/>
          <w:szCs w:val="42"/>
        </w:rPr>
        <w:t>项目支出</w:t>
      </w:r>
    </w:p>
    <w:p w14:paraId="48E8CB27">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60FB931">
      <w:pPr>
        <w:spacing w:line="246" w:lineRule="auto"/>
        <w:rPr>
          <w:rFonts w:ascii="Arial"/>
          <w:sz w:val="21"/>
        </w:rPr>
      </w:pPr>
    </w:p>
    <w:p w14:paraId="11ADFB04">
      <w:pPr>
        <w:spacing w:line="246" w:lineRule="auto"/>
        <w:rPr>
          <w:rFonts w:ascii="Arial"/>
          <w:sz w:val="21"/>
        </w:rPr>
      </w:pPr>
    </w:p>
    <w:p w14:paraId="2BAB74DD">
      <w:pPr>
        <w:spacing w:line="246" w:lineRule="auto"/>
        <w:rPr>
          <w:rFonts w:ascii="Arial"/>
          <w:sz w:val="21"/>
        </w:rPr>
      </w:pPr>
    </w:p>
    <w:p w14:paraId="58955408">
      <w:pPr>
        <w:spacing w:line="246" w:lineRule="auto"/>
        <w:rPr>
          <w:rFonts w:ascii="Arial"/>
          <w:sz w:val="21"/>
        </w:rPr>
      </w:pPr>
    </w:p>
    <w:p w14:paraId="39044B7D">
      <w:pPr>
        <w:spacing w:line="246" w:lineRule="auto"/>
        <w:rPr>
          <w:rFonts w:ascii="Arial"/>
          <w:sz w:val="21"/>
        </w:rPr>
      </w:pPr>
    </w:p>
    <w:p w14:paraId="62B39286">
      <w:pPr>
        <w:spacing w:line="246" w:lineRule="auto"/>
        <w:rPr>
          <w:rFonts w:ascii="Arial"/>
          <w:sz w:val="21"/>
        </w:rPr>
      </w:pPr>
    </w:p>
    <w:p w14:paraId="22E4CDED">
      <w:pPr>
        <w:spacing w:line="246" w:lineRule="auto"/>
        <w:rPr>
          <w:rFonts w:ascii="Arial"/>
          <w:sz w:val="21"/>
        </w:rPr>
      </w:pPr>
    </w:p>
    <w:p w14:paraId="3AC50A43">
      <w:pPr>
        <w:spacing w:line="246" w:lineRule="auto"/>
        <w:rPr>
          <w:rFonts w:ascii="Arial"/>
          <w:sz w:val="21"/>
        </w:rPr>
      </w:pPr>
    </w:p>
    <w:p w14:paraId="026407DB">
      <w:pPr>
        <w:spacing w:line="246" w:lineRule="auto"/>
        <w:rPr>
          <w:rFonts w:ascii="Arial"/>
          <w:sz w:val="21"/>
        </w:rPr>
      </w:pPr>
    </w:p>
    <w:p w14:paraId="2B4C7328">
      <w:pPr>
        <w:spacing w:line="246" w:lineRule="auto"/>
        <w:rPr>
          <w:rFonts w:ascii="Arial"/>
          <w:sz w:val="21"/>
        </w:rPr>
      </w:pPr>
    </w:p>
    <w:p w14:paraId="01433A47">
      <w:pPr>
        <w:spacing w:line="246" w:lineRule="auto"/>
        <w:rPr>
          <w:rFonts w:ascii="Arial"/>
          <w:sz w:val="21"/>
        </w:rPr>
      </w:pPr>
    </w:p>
    <w:p w14:paraId="6D0ECED4">
      <w:pPr>
        <w:spacing w:line="246" w:lineRule="auto"/>
        <w:rPr>
          <w:rFonts w:ascii="Arial"/>
          <w:sz w:val="21"/>
        </w:rPr>
      </w:pPr>
    </w:p>
    <w:p w14:paraId="584C23F8">
      <w:pPr>
        <w:spacing w:line="246" w:lineRule="auto"/>
        <w:rPr>
          <w:rFonts w:ascii="Arial"/>
          <w:sz w:val="21"/>
        </w:rPr>
      </w:pPr>
    </w:p>
    <w:p w14:paraId="52FCF591">
      <w:pPr>
        <w:spacing w:line="246" w:lineRule="auto"/>
        <w:rPr>
          <w:rFonts w:ascii="Arial"/>
          <w:sz w:val="21"/>
        </w:rPr>
      </w:pPr>
    </w:p>
    <w:p w14:paraId="45978695">
      <w:pPr>
        <w:spacing w:line="246" w:lineRule="auto"/>
        <w:rPr>
          <w:rFonts w:ascii="Arial"/>
          <w:sz w:val="21"/>
        </w:rPr>
      </w:pPr>
    </w:p>
    <w:p w14:paraId="38CD0AA3">
      <w:pPr>
        <w:spacing w:line="246" w:lineRule="auto"/>
        <w:rPr>
          <w:rFonts w:ascii="Arial"/>
          <w:sz w:val="21"/>
        </w:rPr>
      </w:pPr>
    </w:p>
    <w:p w14:paraId="365E072F">
      <w:pPr>
        <w:spacing w:line="246" w:lineRule="auto"/>
        <w:rPr>
          <w:rFonts w:ascii="Arial"/>
          <w:sz w:val="21"/>
        </w:rPr>
      </w:pPr>
    </w:p>
    <w:p w14:paraId="35F04078">
      <w:pPr>
        <w:spacing w:line="247" w:lineRule="auto"/>
        <w:rPr>
          <w:rFonts w:ascii="Arial"/>
          <w:sz w:val="21"/>
        </w:rPr>
      </w:pPr>
    </w:p>
    <w:p w14:paraId="6BF69125">
      <w:pPr>
        <w:spacing w:line="247" w:lineRule="auto"/>
        <w:rPr>
          <w:rFonts w:ascii="Arial"/>
          <w:sz w:val="21"/>
        </w:rPr>
      </w:pPr>
    </w:p>
    <w:p w14:paraId="476167F0">
      <w:pPr>
        <w:spacing w:line="247" w:lineRule="auto"/>
        <w:rPr>
          <w:rFonts w:ascii="Arial"/>
          <w:sz w:val="21"/>
        </w:rPr>
      </w:pPr>
    </w:p>
    <w:p w14:paraId="2E5BCB54">
      <w:pPr>
        <w:spacing w:line="247" w:lineRule="auto"/>
        <w:rPr>
          <w:rFonts w:ascii="Arial"/>
          <w:sz w:val="21"/>
        </w:rPr>
      </w:pPr>
    </w:p>
    <w:p w14:paraId="110FEB83">
      <w:pPr>
        <w:spacing w:line="247" w:lineRule="auto"/>
        <w:rPr>
          <w:rFonts w:ascii="Arial"/>
          <w:sz w:val="21"/>
        </w:rPr>
      </w:pPr>
    </w:p>
    <w:p w14:paraId="7F5E71CE">
      <w:pPr>
        <w:spacing w:line="247" w:lineRule="auto"/>
        <w:rPr>
          <w:rFonts w:ascii="Arial"/>
          <w:sz w:val="21"/>
        </w:rPr>
      </w:pPr>
    </w:p>
    <w:p w14:paraId="607FD8DF">
      <w:pPr>
        <w:spacing w:line="247" w:lineRule="auto"/>
        <w:rPr>
          <w:rFonts w:ascii="Arial"/>
          <w:sz w:val="21"/>
        </w:rPr>
      </w:pPr>
    </w:p>
    <w:p w14:paraId="2B774E0B">
      <w:pPr>
        <w:spacing w:line="247" w:lineRule="auto"/>
        <w:rPr>
          <w:rFonts w:ascii="Arial"/>
          <w:sz w:val="21"/>
        </w:rPr>
      </w:pPr>
    </w:p>
    <w:p w14:paraId="654C348F">
      <w:pPr>
        <w:spacing w:line="247" w:lineRule="auto"/>
        <w:rPr>
          <w:rFonts w:ascii="Arial"/>
          <w:sz w:val="21"/>
        </w:rPr>
      </w:pPr>
    </w:p>
    <w:p w14:paraId="68395A81">
      <w:pPr>
        <w:spacing w:line="247" w:lineRule="auto"/>
        <w:rPr>
          <w:rFonts w:ascii="Arial"/>
          <w:sz w:val="21"/>
        </w:rPr>
      </w:pPr>
    </w:p>
    <w:p w14:paraId="763CD5B8">
      <w:pPr>
        <w:spacing w:line="247" w:lineRule="auto"/>
        <w:rPr>
          <w:rFonts w:ascii="Arial"/>
          <w:sz w:val="21"/>
        </w:rPr>
      </w:pPr>
    </w:p>
    <w:p w14:paraId="6BF10B05">
      <w:pPr>
        <w:pStyle w:val="2"/>
        <w:spacing w:before="89" w:line="221" w:lineRule="auto"/>
        <w:jc w:val="center"/>
        <w:rPr>
          <w:sz w:val="27"/>
          <w:szCs w:val="27"/>
        </w:rPr>
      </w:pPr>
      <w:r>
        <w:rPr>
          <w:spacing w:val="-22"/>
          <w:sz w:val="27"/>
          <w:szCs w:val="27"/>
        </w:rPr>
        <w:t>部 门</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rPr>
        <w:t xml:space="preserve">汨罗市卫生计生综合监督执法局 </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48DC6B00">
      <w:pPr>
        <w:pStyle w:val="2"/>
        <w:spacing w:before="289" w:line="610" w:lineRule="exact"/>
        <w:jc w:val="center"/>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 xml:space="preserve">22 </w:t>
      </w:r>
      <w:r>
        <w:rPr>
          <w:spacing w:val="-13"/>
          <w:position w:val="26"/>
          <w:sz w:val="27"/>
          <w:szCs w:val="27"/>
        </w:rPr>
        <w:t>日</w:t>
      </w:r>
    </w:p>
    <w:p w14:paraId="117BECB2">
      <w:pPr>
        <w:pStyle w:val="2"/>
        <w:spacing w:before="1" w:line="223" w:lineRule="auto"/>
        <w:jc w:val="center"/>
        <w:rPr>
          <w:sz w:val="24"/>
          <w:szCs w:val="24"/>
        </w:rPr>
      </w:pPr>
      <w:r>
        <w:rPr>
          <w:spacing w:val="7"/>
          <w:sz w:val="24"/>
          <w:szCs w:val="24"/>
        </w:rPr>
        <w:t>(此面为封面)</w:t>
      </w:r>
    </w:p>
    <w:p w14:paraId="090444B3">
      <w:pPr>
        <w:spacing w:line="223" w:lineRule="auto"/>
        <w:rPr>
          <w:sz w:val="24"/>
          <w:szCs w:val="24"/>
        </w:rPr>
        <w:sectPr>
          <w:footerReference r:id="rId7" w:type="default"/>
          <w:pgSz w:w="11900" w:h="16820"/>
          <w:pgMar w:top="1429" w:right="1782" w:bottom="1158" w:left="1450" w:header="0" w:footer="850" w:gutter="0"/>
          <w:cols w:space="720" w:num="1"/>
        </w:sectPr>
      </w:pPr>
    </w:p>
    <w:p w14:paraId="1D6B61B3">
      <w:pPr>
        <w:keepNext w:val="0"/>
        <w:keepLines w:val="0"/>
        <w:pageBreakBefore w:val="0"/>
        <w:widowControl/>
        <w:kinsoku w:val="0"/>
        <w:wordWrap/>
        <w:overflowPunct/>
        <w:topLinePunct w:val="0"/>
        <w:autoSpaceDE w:val="0"/>
        <w:autoSpaceDN w:val="0"/>
        <w:bidi w:val="0"/>
        <w:adjustRightInd w:val="0"/>
        <w:snapToGrid w:val="0"/>
        <w:spacing w:before="137" w:line="221" w:lineRule="auto"/>
        <w:ind w:left="0"/>
        <w:jc w:val="center"/>
        <w:textAlignment w:val="baseline"/>
        <w:rPr>
          <w:rFonts w:ascii="黑体" w:hAnsi="黑体" w:eastAsia="黑体" w:cs="黑体"/>
          <w:sz w:val="42"/>
          <w:szCs w:val="42"/>
        </w:rPr>
      </w:pPr>
      <w:r>
        <w:rPr>
          <w:rFonts w:ascii="黑体" w:hAnsi="黑体" w:eastAsia="黑体" w:cs="黑体"/>
          <w:b/>
          <w:bCs/>
          <w:spacing w:val="6"/>
          <w:sz w:val="42"/>
          <w:szCs w:val="42"/>
        </w:rPr>
        <w:t>项目支出绩效评价报告</w:t>
      </w:r>
    </w:p>
    <w:p w14:paraId="133026B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F8A4A4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550946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我局202</w:t>
      </w:r>
      <w:r>
        <w:rPr>
          <w:rFonts w:hint="eastAsia" w:eastAsia="仿宋_GB2312"/>
          <w:kern w:val="0"/>
          <w:sz w:val="32"/>
          <w:szCs w:val="32"/>
          <w:lang w:val="en-US" w:eastAsia="zh-CN"/>
        </w:rPr>
        <w:t>4</w:t>
      </w:r>
      <w:r>
        <w:rPr>
          <w:rFonts w:hint="eastAsia" w:eastAsia="仿宋_GB2312"/>
          <w:kern w:val="0"/>
          <w:sz w:val="32"/>
          <w:szCs w:val="32"/>
          <w:lang w:eastAsia="zh-CN"/>
        </w:rPr>
        <w:t>年收到卫计执法专项经费</w:t>
      </w:r>
      <w:r>
        <w:rPr>
          <w:rFonts w:hint="eastAsia" w:eastAsia="仿宋_GB2312"/>
          <w:kern w:val="0"/>
          <w:sz w:val="32"/>
          <w:szCs w:val="32"/>
          <w:lang w:val="en-US" w:eastAsia="zh-CN"/>
        </w:rPr>
        <w:t>20.00</w:t>
      </w:r>
      <w:r>
        <w:rPr>
          <w:rFonts w:hint="eastAsia" w:eastAsia="仿宋_GB2312"/>
          <w:kern w:val="0"/>
          <w:sz w:val="32"/>
          <w:szCs w:val="32"/>
          <w:lang w:eastAsia="zh-CN"/>
        </w:rPr>
        <w:t>万元。此项经费主要用于以下几项工作：</w:t>
      </w:r>
    </w:p>
    <w:p w14:paraId="261527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1、严厉打击非法行医，规范医疗服务秩序。 </w:t>
      </w:r>
    </w:p>
    <w:p w14:paraId="6D43A2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2、以创建文明卫生城市为契机，强化公共场所和餐饮具集中消毒服务监督。  </w:t>
      </w:r>
    </w:p>
    <w:p w14:paraId="20A5A6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3、狠抓饮用水和学校卫生，确保群众和师生健康。</w:t>
      </w:r>
    </w:p>
    <w:p w14:paraId="5D3FA2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4、加大职业病防治监督力度。</w:t>
      </w:r>
    </w:p>
    <w:p w14:paraId="6938761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55AFF3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卫计执法专项经费，均实行独立核算，专款专用，无截留、挤占和挪用。项目资金由财务股对此项目资金进行具体管理，确保资金安全、合规、有效使用。</w:t>
      </w:r>
    </w:p>
    <w:p w14:paraId="6EC330A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6FD510C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完成率100%。</w:t>
      </w:r>
    </w:p>
    <w:p w14:paraId="61F97E6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709668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en-US"/>
        </w:rPr>
        <w:t>项目组织实施情况：卫计执法专项经费，1、严厉打击非法行医，规范医疗服务秩序。一是开展打击非法行医行动，组织人员对全市黑诊所、牙科进行了一次清理整顿，共查处无证行医11家，取缔11家，立案9起。二是对全市各级各类医疗机构开展了一次全面的日常监督检查，开展抗（抑）菌消毒产品专项检查</w:t>
      </w:r>
      <w:r>
        <w:rPr>
          <w:rFonts w:hint="eastAsia" w:eastAsia="仿宋_GB2312"/>
          <w:kern w:val="0"/>
          <w:sz w:val="32"/>
          <w:szCs w:val="32"/>
          <w:lang w:val="en-US" w:eastAsia="zh-CN"/>
        </w:rPr>
        <w:t>。</w:t>
      </w:r>
      <w:r>
        <w:rPr>
          <w:rFonts w:hint="eastAsia" w:eastAsia="仿宋_GB2312"/>
          <w:kern w:val="0"/>
          <w:sz w:val="32"/>
          <w:szCs w:val="32"/>
          <w:lang w:val="en-US" w:eastAsia="en-US"/>
        </w:rPr>
        <w:t>共检查零售药店9家、销售公司1家，对存在违法违规行为的2家药房和1家销售公司进行了行政处罚。2、我市公共场所经营单位未发生卫生安全事故，各类公共场所公共用品用具消毒保洁，空调通风系统清洗等卫生操作规范，管理有序，依法从业意识明显增强，卫生状况大幅度提升，从业人员健康合格证明和卫生知识培训合格持证率97%以上。202</w:t>
      </w:r>
      <w:r>
        <w:rPr>
          <w:rFonts w:hint="eastAsia" w:eastAsia="仿宋_GB2312"/>
          <w:kern w:val="0"/>
          <w:sz w:val="32"/>
          <w:szCs w:val="32"/>
          <w:lang w:val="en-US" w:eastAsia="zh-CN"/>
        </w:rPr>
        <w:t>4</w:t>
      </w:r>
      <w:r>
        <w:rPr>
          <w:rFonts w:hint="eastAsia" w:eastAsia="仿宋_GB2312"/>
          <w:kern w:val="0"/>
          <w:sz w:val="32"/>
          <w:szCs w:val="32"/>
          <w:lang w:val="en-US" w:eastAsia="en-US"/>
        </w:rPr>
        <w:t>年全年共检查各类公共场所553家，其中宾馆旅店业223家、美容美发场所212家、娱乐场所KTV13家、洗浴足浴30家、超市21家、影院5家、游泳场（馆）5家、候车候诊室6家、餐饮具集中消毒8家、其他场所30家。科室建档公共场所515户，建档比率为93%。为依法加强行业卫生监督管理奠定了较为坚实的基础。3、对辖区内集中式供水单位进行了日常性卫生监督检查</w:t>
      </w:r>
      <w:r>
        <w:rPr>
          <w:rFonts w:hint="eastAsia" w:eastAsia="仿宋_GB2312"/>
          <w:kern w:val="0"/>
          <w:sz w:val="32"/>
          <w:szCs w:val="32"/>
          <w:lang w:val="en-US" w:eastAsia="zh-CN"/>
        </w:rPr>
        <w:t>，</w:t>
      </w:r>
      <w:r>
        <w:rPr>
          <w:rFonts w:hint="eastAsia" w:eastAsia="仿宋_GB2312"/>
          <w:kern w:val="0"/>
          <w:sz w:val="32"/>
          <w:szCs w:val="32"/>
          <w:lang w:val="en-US" w:eastAsia="en-US"/>
        </w:rPr>
        <w:t>水质检测情况等，共检查各类集中式供水单位21家，规模集中式供水单位</w:t>
      </w:r>
      <w:r>
        <w:rPr>
          <w:rFonts w:hint="eastAsia" w:eastAsia="仿宋_GB2312"/>
          <w:kern w:val="0"/>
          <w:sz w:val="32"/>
          <w:szCs w:val="32"/>
          <w:lang w:val="en-US" w:eastAsia="zh-CN"/>
        </w:rPr>
        <w:t>21</w:t>
      </w:r>
      <w:r>
        <w:rPr>
          <w:rFonts w:hint="eastAsia" w:eastAsia="仿宋_GB2312"/>
          <w:kern w:val="0"/>
          <w:sz w:val="32"/>
          <w:szCs w:val="32"/>
          <w:lang w:val="en-US" w:eastAsia="en-US"/>
        </w:rPr>
        <w:t>家，其中农村集中式供水单位</w:t>
      </w:r>
      <w:r>
        <w:rPr>
          <w:rFonts w:hint="eastAsia" w:eastAsia="仿宋_GB2312"/>
          <w:kern w:val="0"/>
          <w:sz w:val="32"/>
          <w:szCs w:val="32"/>
          <w:lang w:val="en-US" w:eastAsia="zh-CN"/>
        </w:rPr>
        <w:t>12</w:t>
      </w:r>
      <w:r>
        <w:rPr>
          <w:rFonts w:hint="eastAsia" w:eastAsia="仿宋_GB2312"/>
          <w:kern w:val="0"/>
          <w:sz w:val="32"/>
          <w:szCs w:val="32"/>
          <w:lang w:val="en-US" w:eastAsia="en-US"/>
        </w:rPr>
        <w:t>家，全市集中供水单位共</w:t>
      </w:r>
      <w:r>
        <w:rPr>
          <w:rFonts w:hint="eastAsia" w:eastAsia="仿宋_GB2312"/>
          <w:kern w:val="0"/>
          <w:sz w:val="32"/>
          <w:szCs w:val="32"/>
          <w:lang w:val="en-US" w:eastAsia="zh-CN"/>
        </w:rPr>
        <w:t>13</w:t>
      </w:r>
      <w:r>
        <w:rPr>
          <w:rFonts w:hint="eastAsia" w:eastAsia="仿宋_GB2312"/>
          <w:kern w:val="0"/>
          <w:sz w:val="32"/>
          <w:szCs w:val="32"/>
          <w:lang w:val="en-US" w:eastAsia="en-US"/>
        </w:rPr>
        <w:t>家持有生活饮用水卫生许可证，持证率77%；农村饮用水安全工程的小型供水单位（100吨以下）</w:t>
      </w:r>
      <w:r>
        <w:rPr>
          <w:rFonts w:hint="eastAsia" w:eastAsia="仿宋_GB2312"/>
          <w:kern w:val="0"/>
          <w:sz w:val="32"/>
          <w:szCs w:val="32"/>
          <w:lang w:val="en-US" w:eastAsia="zh-CN"/>
        </w:rPr>
        <w:t>12</w:t>
      </w:r>
      <w:r>
        <w:rPr>
          <w:rFonts w:hint="eastAsia" w:eastAsia="仿宋_GB2312"/>
          <w:kern w:val="0"/>
          <w:sz w:val="32"/>
          <w:szCs w:val="32"/>
          <w:lang w:val="en-US" w:eastAsia="en-US"/>
        </w:rPr>
        <w:t>家，检查的主要内容为：供水单位是否持有有效卫生许可证；直接从事管、供水人员是否持有有效健康证；水源防护措施是否得当；水处理工艺是否符合卫生规范和要求；水质检测情况等；生活饮用水集中供水单位集中供水单位卫生许可证新发、续证9家。立案查处1件，己结案1件，罚款3000元。全年学校卫生共下达卫生监督意见书280余份，对教学环境和传染病防控不力的单位适用简易程序共立案查处4件，已结案4件，罚款2000元。4、对铜铝、环保砖厂、木工、石材、碳素、家具等行业306家职业危害项目用人单位开展职业健康卫生监督检查，制定职业病防治工作方案，开展职业病防控相关制度的建立及日常防控工作的执行落实情况开展监督执法检查。对高新产业园（循环园、飞地园）、川山坪镇、白水镇等乡镇日常监督全覆盖。对400家机构进行卫生监督检查，并提出相关整改意见文书400份。按要求及时在省系统平台进行相关信息录入（己录入信息系统83家，开展维护建档工作（新增关闭），本底建档125家）</w:t>
      </w:r>
      <w:r>
        <w:rPr>
          <w:rFonts w:hint="eastAsia" w:eastAsia="仿宋_GB2312"/>
          <w:kern w:val="0"/>
          <w:sz w:val="32"/>
          <w:szCs w:val="32"/>
          <w:lang w:val="en-US" w:eastAsia="zh-CN"/>
        </w:rPr>
        <w:t>，</w:t>
      </w:r>
      <w:r>
        <w:rPr>
          <w:rFonts w:hint="eastAsia" w:eastAsia="仿宋_GB2312"/>
          <w:kern w:val="0"/>
          <w:sz w:val="32"/>
          <w:szCs w:val="32"/>
          <w:lang w:val="en-US" w:eastAsia="en-US"/>
        </w:rPr>
        <w:t>共结案7起（警告）。规范了我市用人单位职业卫生的监督管理，消除或减轻职业危害因素，推动用人单位做好职业病防治工作，有效预防、控制和消除职业病危害因素，切实保障了职工健康权益； 5、根据国家和省卫生健康委有关要求，开展了国家卫生健康“双随机”监督抽查工作，完成86家，完成率100%，案件16起，案件率18.6%，任务完结率100%；二是对接到的非法行医、美容店开展医疗美容等8起投诉举报，均已处理并回复举报人，对问题严重的，予以立案查处；三是全年共计查办各类卫生违法案件36起。</w:t>
      </w:r>
    </w:p>
    <w:p w14:paraId="7219DD6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280D88F0">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en-US"/>
        </w:rPr>
      </w:pPr>
      <w:r>
        <w:rPr>
          <w:rFonts w:hint="eastAsia" w:eastAsia="仿宋_GB2312"/>
          <w:kern w:val="0"/>
          <w:sz w:val="32"/>
          <w:szCs w:val="32"/>
          <w:lang w:val="en-US" w:eastAsia="en-US"/>
        </w:rPr>
        <w:t>我局高度重视卫计执法专项经费，制定了相应的管理办法及实施方案。按专项经费使用要求，严格管理，保障了专项经费的合规使用。</w:t>
      </w:r>
    </w:p>
    <w:p w14:paraId="393E964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3F668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0CE7F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财政安排卫计执法经费用于保障单位各项日常综合监督工作开支，做好资金测算工作，下达资金。</w:t>
      </w:r>
    </w:p>
    <w:p w14:paraId="1E983A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71C7068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项目实际到位资金</w:t>
      </w:r>
      <w:r>
        <w:rPr>
          <w:rFonts w:hint="eastAsia" w:eastAsia="仿宋_GB2312"/>
          <w:kern w:val="0"/>
          <w:sz w:val="32"/>
          <w:szCs w:val="32"/>
          <w:lang w:val="en-US" w:eastAsia="zh-CN"/>
        </w:rPr>
        <w:t>20.00</w:t>
      </w:r>
      <w:r>
        <w:rPr>
          <w:rFonts w:hint="eastAsia" w:eastAsia="仿宋_GB2312"/>
          <w:kern w:val="0"/>
          <w:sz w:val="32"/>
          <w:szCs w:val="32"/>
          <w:lang w:eastAsia="zh-CN"/>
        </w:rPr>
        <w:t>万元，实际支出资金</w:t>
      </w:r>
      <w:r>
        <w:rPr>
          <w:rFonts w:hint="eastAsia" w:eastAsia="仿宋_GB2312"/>
          <w:kern w:val="0"/>
          <w:sz w:val="32"/>
          <w:szCs w:val="32"/>
          <w:lang w:val="en-US" w:eastAsia="zh-CN"/>
        </w:rPr>
        <w:t>19.56</w:t>
      </w:r>
      <w:r>
        <w:rPr>
          <w:rFonts w:hint="eastAsia" w:eastAsia="仿宋_GB2312"/>
          <w:kern w:val="0"/>
          <w:sz w:val="32"/>
          <w:szCs w:val="32"/>
          <w:lang w:eastAsia="zh-CN"/>
        </w:rPr>
        <w:t>万元，预算执行率达到</w:t>
      </w:r>
      <w:r>
        <w:rPr>
          <w:rFonts w:hint="eastAsia" w:eastAsia="仿宋_GB2312"/>
          <w:kern w:val="0"/>
          <w:sz w:val="32"/>
          <w:szCs w:val="32"/>
          <w:lang w:val="en-US" w:eastAsia="zh-CN"/>
        </w:rPr>
        <w:t>97.80</w:t>
      </w:r>
      <w:r>
        <w:rPr>
          <w:rFonts w:hint="eastAsia" w:eastAsia="仿宋_GB2312"/>
          <w:kern w:val="0"/>
          <w:sz w:val="32"/>
          <w:szCs w:val="32"/>
          <w:lang w:eastAsia="zh-CN"/>
        </w:rPr>
        <w:t>%。资金拨付手续完整，资金支出符合预算批复的用途。财政审批流程严格按资金办法执行，资金支付管理真实、合法、完整，该项目资金绩效目标已完成。</w:t>
      </w:r>
    </w:p>
    <w:p w14:paraId="22A6D2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1552C8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项目支出产出指标分值30分，包括数量指标、质量指标、时效指标三个二级指标，本项目评价得分30分。</w:t>
      </w:r>
    </w:p>
    <w:p w14:paraId="15618F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sz w:val="32"/>
          <w:szCs w:val="32"/>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年我局对全市5</w:t>
      </w:r>
      <w:r>
        <w:rPr>
          <w:rFonts w:hint="eastAsia" w:eastAsia="仿宋_GB2312"/>
          <w:kern w:val="0"/>
          <w:sz w:val="32"/>
          <w:szCs w:val="32"/>
          <w:lang w:val="en-US" w:eastAsia="zh-CN"/>
        </w:rPr>
        <w:t>50</w:t>
      </w:r>
      <w:r>
        <w:rPr>
          <w:rFonts w:hint="eastAsia" w:eastAsia="仿宋_GB2312"/>
          <w:kern w:val="0"/>
          <w:sz w:val="32"/>
          <w:szCs w:val="32"/>
          <w:lang w:eastAsia="zh-CN"/>
        </w:rPr>
        <w:t>家医疗机构进行了卫生监督检查指导；</w:t>
      </w:r>
      <w:r>
        <w:rPr>
          <w:rFonts w:hint="eastAsia" w:ascii="仿宋" w:hAnsi="仿宋" w:eastAsia="仿宋"/>
          <w:sz w:val="32"/>
          <w:szCs w:val="32"/>
        </w:rPr>
        <w:t>自今年</w:t>
      </w:r>
      <w:r>
        <w:rPr>
          <w:rFonts w:hint="eastAsia" w:ascii="仿宋" w:hAnsi="仿宋" w:eastAsia="仿宋"/>
          <w:sz w:val="32"/>
          <w:szCs w:val="32"/>
          <w:lang w:val="en-US" w:eastAsia="zh-CN"/>
        </w:rPr>
        <w:t>3</w:t>
      </w:r>
      <w:r>
        <w:rPr>
          <w:rFonts w:hint="eastAsia" w:ascii="仿宋" w:hAnsi="仿宋" w:eastAsia="仿宋"/>
          <w:sz w:val="32"/>
          <w:szCs w:val="32"/>
        </w:rPr>
        <w:t>月份底开始对管辖范围内的133个行政村卫生室，进行了全面的日常监督检查</w:t>
      </w:r>
      <w:r>
        <w:rPr>
          <w:rFonts w:hint="eastAsia" w:ascii="仿宋" w:hAnsi="仿宋" w:eastAsia="仿宋"/>
          <w:sz w:val="32"/>
          <w:szCs w:val="32"/>
          <w:lang w:eastAsia="zh-CN"/>
        </w:rPr>
        <w:t>，</w:t>
      </w:r>
      <w:r>
        <w:rPr>
          <w:rFonts w:hint="eastAsia" w:ascii="仿宋" w:hAnsi="仿宋" w:eastAsia="仿宋"/>
          <w:sz w:val="32"/>
          <w:szCs w:val="32"/>
        </w:rPr>
        <w:t>对医疗机构中出现的聘用非卫生技术人员、超出诊疗登记范围执业</w:t>
      </w:r>
      <w:r>
        <w:rPr>
          <w:rFonts w:hint="eastAsia" w:ascii="仿宋" w:hAnsi="仿宋" w:eastAsia="仿宋"/>
          <w:sz w:val="32"/>
          <w:szCs w:val="32"/>
          <w:lang w:eastAsia="zh-CN"/>
        </w:rPr>
        <w:t>，不落实医疗质量管理制度</w:t>
      </w:r>
      <w:r>
        <w:rPr>
          <w:rFonts w:hint="eastAsia" w:ascii="仿宋" w:hAnsi="仿宋" w:eastAsia="仿宋"/>
          <w:sz w:val="32"/>
          <w:szCs w:val="32"/>
        </w:rPr>
        <w:t>等违规行为进行查处，共立案查处1</w:t>
      </w:r>
      <w:r>
        <w:rPr>
          <w:rFonts w:hint="eastAsia" w:ascii="仿宋" w:hAnsi="仿宋" w:eastAsia="仿宋"/>
          <w:sz w:val="32"/>
          <w:szCs w:val="32"/>
          <w:lang w:val="en-US" w:eastAsia="zh-CN"/>
        </w:rPr>
        <w:t>1</w:t>
      </w:r>
      <w:r>
        <w:rPr>
          <w:rFonts w:hint="eastAsia" w:ascii="仿宋" w:hAnsi="仿宋" w:eastAsia="仿宋"/>
          <w:sz w:val="32"/>
          <w:szCs w:val="32"/>
        </w:rPr>
        <w:t>个医疗机构，下达了</w:t>
      </w:r>
      <w:r>
        <w:rPr>
          <w:rFonts w:hint="eastAsia" w:ascii="仿宋" w:hAnsi="仿宋" w:eastAsia="仿宋"/>
          <w:sz w:val="32"/>
          <w:szCs w:val="32"/>
          <w:lang w:val="en-US" w:eastAsia="zh-CN"/>
        </w:rPr>
        <w:t>卫生监督意见书36</w:t>
      </w:r>
      <w:r>
        <w:rPr>
          <w:rFonts w:hint="eastAsia" w:ascii="仿宋" w:hAnsi="仿宋" w:eastAsia="仿宋"/>
          <w:sz w:val="32"/>
          <w:szCs w:val="32"/>
        </w:rPr>
        <w:t>0余份</w:t>
      </w:r>
      <w:r>
        <w:rPr>
          <w:rFonts w:hint="eastAsia" w:ascii="仿宋" w:hAnsi="仿宋" w:eastAsia="仿宋"/>
          <w:sz w:val="32"/>
          <w:szCs w:val="32"/>
          <w:lang w:eastAsia="zh-CN"/>
        </w:rPr>
        <w:t>。</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年全年共检查各类公共场所5</w:t>
      </w:r>
      <w:r>
        <w:rPr>
          <w:rFonts w:hint="eastAsia" w:ascii="仿宋" w:hAnsi="仿宋" w:eastAsia="仿宋"/>
          <w:sz w:val="32"/>
          <w:szCs w:val="32"/>
          <w:lang w:val="en-US" w:eastAsia="zh-CN"/>
        </w:rPr>
        <w:t>25</w:t>
      </w:r>
      <w:r>
        <w:rPr>
          <w:rFonts w:hint="eastAsia" w:ascii="仿宋" w:hAnsi="仿宋" w:eastAsia="仿宋"/>
          <w:sz w:val="32"/>
          <w:szCs w:val="32"/>
        </w:rPr>
        <w:t>家，其中宾馆旅店业22</w:t>
      </w:r>
      <w:r>
        <w:rPr>
          <w:rFonts w:hint="eastAsia" w:ascii="仿宋" w:hAnsi="仿宋" w:eastAsia="仿宋"/>
          <w:sz w:val="32"/>
          <w:szCs w:val="32"/>
          <w:lang w:val="en-US" w:eastAsia="zh-CN"/>
        </w:rPr>
        <w:t>5</w:t>
      </w:r>
      <w:r>
        <w:rPr>
          <w:rFonts w:hint="eastAsia" w:ascii="仿宋" w:hAnsi="仿宋" w:eastAsia="仿宋"/>
          <w:sz w:val="32"/>
          <w:szCs w:val="32"/>
        </w:rPr>
        <w:t>家、美容美发场所</w:t>
      </w:r>
      <w:r>
        <w:rPr>
          <w:rFonts w:hint="eastAsia" w:ascii="仿宋" w:hAnsi="仿宋" w:eastAsia="仿宋"/>
          <w:sz w:val="32"/>
          <w:szCs w:val="32"/>
          <w:lang w:val="en-US" w:eastAsia="zh-CN"/>
        </w:rPr>
        <w:t>199</w:t>
      </w:r>
      <w:r>
        <w:rPr>
          <w:rFonts w:hint="eastAsia" w:ascii="仿宋" w:hAnsi="仿宋" w:eastAsia="仿宋"/>
          <w:sz w:val="32"/>
          <w:szCs w:val="32"/>
        </w:rPr>
        <w:t>家、娱乐场所KTV1</w:t>
      </w:r>
      <w:r>
        <w:rPr>
          <w:rFonts w:hint="eastAsia" w:ascii="仿宋" w:hAnsi="仿宋" w:eastAsia="仿宋"/>
          <w:sz w:val="32"/>
          <w:szCs w:val="32"/>
          <w:lang w:val="en-US" w:eastAsia="zh-CN"/>
        </w:rPr>
        <w:t>1</w:t>
      </w:r>
      <w:r>
        <w:rPr>
          <w:rFonts w:hint="eastAsia" w:ascii="仿宋" w:hAnsi="仿宋" w:eastAsia="仿宋"/>
          <w:sz w:val="32"/>
          <w:szCs w:val="32"/>
        </w:rPr>
        <w:t>家、洗浴足浴</w:t>
      </w:r>
      <w:r>
        <w:rPr>
          <w:rFonts w:hint="eastAsia" w:ascii="仿宋" w:hAnsi="仿宋" w:eastAsia="仿宋"/>
          <w:sz w:val="32"/>
          <w:szCs w:val="32"/>
          <w:lang w:val="en-US" w:eastAsia="zh-CN"/>
        </w:rPr>
        <w:t>20</w:t>
      </w:r>
      <w:r>
        <w:rPr>
          <w:rFonts w:hint="eastAsia" w:ascii="仿宋" w:hAnsi="仿宋" w:eastAsia="仿宋"/>
          <w:sz w:val="32"/>
          <w:szCs w:val="32"/>
        </w:rPr>
        <w:t>家、超市</w:t>
      </w:r>
      <w:r>
        <w:rPr>
          <w:rFonts w:hint="eastAsia" w:ascii="仿宋" w:hAnsi="仿宋" w:eastAsia="仿宋"/>
          <w:sz w:val="32"/>
          <w:szCs w:val="32"/>
          <w:lang w:val="en-US" w:eastAsia="zh-CN"/>
        </w:rPr>
        <w:t>18</w:t>
      </w:r>
      <w:r>
        <w:rPr>
          <w:rFonts w:hint="eastAsia" w:ascii="仿宋" w:hAnsi="仿宋" w:eastAsia="仿宋"/>
          <w:sz w:val="32"/>
          <w:szCs w:val="32"/>
        </w:rPr>
        <w:t>家、影院</w:t>
      </w:r>
      <w:r>
        <w:rPr>
          <w:rFonts w:hint="eastAsia" w:ascii="仿宋" w:hAnsi="仿宋" w:eastAsia="仿宋"/>
          <w:sz w:val="32"/>
          <w:szCs w:val="32"/>
          <w:lang w:val="en-US" w:eastAsia="zh-CN"/>
        </w:rPr>
        <w:t>4</w:t>
      </w:r>
      <w:r>
        <w:rPr>
          <w:rFonts w:hint="eastAsia" w:ascii="仿宋" w:hAnsi="仿宋" w:eastAsia="仿宋"/>
          <w:sz w:val="32"/>
          <w:szCs w:val="32"/>
        </w:rPr>
        <w:t>家、游泳场（馆）5家、候车候诊室6家、餐饮具集中消毒</w:t>
      </w:r>
      <w:r>
        <w:rPr>
          <w:rFonts w:hint="eastAsia" w:ascii="仿宋" w:hAnsi="仿宋" w:eastAsia="仿宋"/>
          <w:sz w:val="32"/>
          <w:szCs w:val="32"/>
          <w:lang w:val="en-US" w:eastAsia="zh-CN"/>
        </w:rPr>
        <w:t>5</w:t>
      </w:r>
      <w:r>
        <w:rPr>
          <w:rFonts w:hint="eastAsia" w:ascii="仿宋" w:hAnsi="仿宋" w:eastAsia="仿宋"/>
          <w:sz w:val="32"/>
          <w:szCs w:val="32"/>
        </w:rPr>
        <w:t>家、其他场所30家。科室建档公共场所</w:t>
      </w:r>
      <w:r>
        <w:rPr>
          <w:rFonts w:hint="eastAsia" w:ascii="仿宋" w:hAnsi="仿宋" w:eastAsia="仿宋"/>
          <w:sz w:val="32"/>
          <w:szCs w:val="32"/>
          <w:lang w:val="en-US" w:eastAsia="zh-CN"/>
        </w:rPr>
        <w:t>495</w:t>
      </w:r>
      <w:r>
        <w:rPr>
          <w:rFonts w:hint="eastAsia" w:ascii="仿宋" w:hAnsi="仿宋" w:eastAsia="仿宋"/>
          <w:sz w:val="32"/>
          <w:szCs w:val="32"/>
        </w:rPr>
        <w:t>户，建档比率为9</w:t>
      </w:r>
      <w:r>
        <w:rPr>
          <w:rFonts w:hint="eastAsia" w:ascii="仿宋" w:hAnsi="仿宋" w:eastAsia="仿宋"/>
          <w:sz w:val="32"/>
          <w:szCs w:val="32"/>
          <w:lang w:val="en-US" w:eastAsia="zh-CN"/>
        </w:rPr>
        <w:t>4</w:t>
      </w:r>
      <w:r>
        <w:rPr>
          <w:rFonts w:hint="eastAsia" w:ascii="仿宋" w:hAnsi="仿宋" w:eastAsia="仿宋"/>
          <w:sz w:val="32"/>
          <w:szCs w:val="32"/>
        </w:rPr>
        <w:t>%。共监督公共场所经营单位1</w:t>
      </w:r>
      <w:r>
        <w:rPr>
          <w:rFonts w:hint="eastAsia" w:ascii="仿宋" w:hAnsi="仿宋" w:eastAsia="仿宋"/>
          <w:sz w:val="32"/>
          <w:szCs w:val="32"/>
          <w:lang w:val="en-US" w:eastAsia="zh-CN"/>
        </w:rPr>
        <w:t>650</w:t>
      </w:r>
      <w:r>
        <w:rPr>
          <w:rFonts w:hint="eastAsia" w:ascii="仿宋" w:hAnsi="仿宋" w:eastAsia="仿宋"/>
          <w:sz w:val="32"/>
          <w:szCs w:val="32"/>
        </w:rPr>
        <w:t>余家（次），累计出动卫生监督执法人员</w:t>
      </w:r>
      <w:r>
        <w:rPr>
          <w:rFonts w:hint="eastAsia" w:ascii="仿宋" w:hAnsi="仿宋" w:eastAsia="仿宋"/>
          <w:sz w:val="32"/>
          <w:szCs w:val="32"/>
          <w:lang w:val="en-US" w:eastAsia="zh-CN"/>
        </w:rPr>
        <w:t>6000</w:t>
      </w:r>
      <w:r>
        <w:rPr>
          <w:rFonts w:hint="eastAsia" w:ascii="仿宋" w:hAnsi="仿宋" w:eastAsia="仿宋"/>
          <w:sz w:val="32"/>
          <w:szCs w:val="32"/>
        </w:rPr>
        <w:t>0余人次，出动车辆2</w:t>
      </w:r>
      <w:r>
        <w:rPr>
          <w:rFonts w:hint="eastAsia" w:ascii="仿宋" w:hAnsi="仿宋" w:eastAsia="仿宋"/>
          <w:sz w:val="32"/>
          <w:szCs w:val="32"/>
          <w:lang w:val="en-US" w:eastAsia="zh-CN"/>
        </w:rPr>
        <w:t>1</w:t>
      </w:r>
      <w:r>
        <w:rPr>
          <w:rFonts w:hint="eastAsia" w:ascii="仿宋" w:hAnsi="仿宋" w:eastAsia="仿宋"/>
          <w:sz w:val="32"/>
          <w:szCs w:val="32"/>
        </w:rPr>
        <w:t>0余台（次），下达《卫生监督意见书》1</w:t>
      </w:r>
      <w:r>
        <w:rPr>
          <w:rFonts w:hint="eastAsia" w:ascii="仿宋" w:hAnsi="仿宋" w:eastAsia="仿宋"/>
          <w:sz w:val="32"/>
          <w:szCs w:val="32"/>
          <w:lang w:val="en-US" w:eastAsia="zh-CN"/>
        </w:rPr>
        <w:t>520</w:t>
      </w:r>
      <w:r>
        <w:rPr>
          <w:rFonts w:hint="eastAsia" w:ascii="仿宋" w:hAnsi="仿宋" w:eastAsia="仿宋"/>
          <w:sz w:val="32"/>
          <w:szCs w:val="32"/>
        </w:rPr>
        <w:t>余份，责令整改3</w:t>
      </w:r>
      <w:r>
        <w:rPr>
          <w:rFonts w:hint="eastAsia" w:ascii="仿宋" w:hAnsi="仿宋" w:eastAsia="仿宋"/>
          <w:sz w:val="32"/>
          <w:szCs w:val="32"/>
          <w:lang w:val="en-US" w:eastAsia="zh-CN"/>
        </w:rPr>
        <w:t>8</w:t>
      </w:r>
      <w:r>
        <w:rPr>
          <w:rFonts w:hint="eastAsia" w:ascii="仿宋" w:hAnsi="仿宋" w:eastAsia="仿宋"/>
          <w:sz w:val="32"/>
          <w:szCs w:val="32"/>
        </w:rPr>
        <w:t>0家，立案进行行政处罚</w:t>
      </w:r>
      <w:r>
        <w:rPr>
          <w:rFonts w:hint="eastAsia" w:ascii="仿宋" w:hAnsi="仿宋" w:eastAsia="仿宋"/>
          <w:sz w:val="32"/>
          <w:szCs w:val="32"/>
          <w:lang w:val="en-US" w:eastAsia="zh-CN"/>
        </w:rPr>
        <w:t>5</w:t>
      </w:r>
      <w:r>
        <w:rPr>
          <w:rFonts w:hint="eastAsia" w:ascii="仿宋" w:hAnsi="仿宋" w:eastAsia="仿宋"/>
          <w:sz w:val="32"/>
          <w:szCs w:val="32"/>
        </w:rPr>
        <w:t>家，罚没金额</w:t>
      </w:r>
      <w:r>
        <w:rPr>
          <w:rFonts w:hint="eastAsia" w:ascii="仿宋" w:hAnsi="仿宋" w:eastAsia="仿宋"/>
          <w:sz w:val="32"/>
          <w:szCs w:val="32"/>
          <w:lang w:val="en-US" w:eastAsia="zh-CN"/>
        </w:rPr>
        <w:t>2</w:t>
      </w:r>
      <w:r>
        <w:rPr>
          <w:rFonts w:hint="eastAsia" w:ascii="仿宋" w:hAnsi="仿宋" w:eastAsia="仿宋"/>
          <w:sz w:val="32"/>
          <w:szCs w:val="32"/>
        </w:rPr>
        <w:t>万余元。</w:t>
      </w:r>
      <w:r>
        <w:rPr>
          <w:rFonts w:hint="eastAsia" w:ascii="仿宋" w:hAnsi="仿宋" w:eastAsia="仿宋" w:cs="仿宋"/>
          <w:sz w:val="30"/>
          <w:szCs w:val="30"/>
          <w:lang w:val="en-US" w:eastAsia="zh-CN"/>
        </w:rPr>
        <w:t>开展水质抽查工作，除国家双随机抽查4家单位外，还对1家集中式供水单位、3家二次供水单位、3家分质供水单位及6所幼儿园井水水质进行了抽查，</w:t>
      </w:r>
      <w:r>
        <w:rPr>
          <w:rFonts w:hint="eastAsia" w:ascii="仿宋" w:hAnsi="仿宋" w:eastAsia="仿宋" w:cs="仿宋"/>
          <w:sz w:val="32"/>
          <w:szCs w:val="32"/>
          <w:lang w:eastAsia="zh-CN"/>
        </w:rPr>
        <w:t>完成学校卫生双随机监督抽查任务</w:t>
      </w:r>
      <w:r>
        <w:rPr>
          <w:rFonts w:hint="eastAsia" w:ascii="仿宋" w:hAnsi="仿宋" w:eastAsia="仿宋" w:cs="仿宋"/>
          <w:sz w:val="32"/>
          <w:szCs w:val="32"/>
          <w:lang w:val="en-US" w:eastAsia="zh-CN"/>
        </w:rPr>
        <w:t>11个，完成率100%，案件率27%；完成集中式供水单位双随机监督抽查任务4个，完成率100%，案件率25%；</w:t>
      </w:r>
      <w:r>
        <w:rPr>
          <w:rFonts w:hint="eastAsia" w:ascii="仿宋" w:hAnsi="仿宋" w:eastAsia="仿宋"/>
          <w:sz w:val="32"/>
          <w:szCs w:val="32"/>
        </w:rPr>
        <w:t>开展了国家卫生健康“双随机”监督抽查工作，截至202</w:t>
      </w:r>
      <w:r>
        <w:rPr>
          <w:rFonts w:hint="eastAsia" w:ascii="仿宋" w:hAnsi="仿宋" w:eastAsia="仿宋"/>
          <w:sz w:val="32"/>
          <w:szCs w:val="32"/>
          <w:lang w:val="en-US" w:eastAsia="zh-CN"/>
        </w:rPr>
        <w:t>4</w:t>
      </w:r>
      <w:r>
        <w:rPr>
          <w:rFonts w:hint="eastAsia" w:ascii="仿宋" w:hAnsi="仿宋" w:eastAsia="仿宋"/>
          <w:sz w:val="32"/>
          <w:szCs w:val="32"/>
        </w:rPr>
        <w:t>年11月24日任务总数</w:t>
      </w:r>
      <w:r>
        <w:rPr>
          <w:rFonts w:hint="eastAsia" w:ascii="仿宋" w:hAnsi="仿宋" w:eastAsia="仿宋"/>
          <w:sz w:val="32"/>
          <w:szCs w:val="32"/>
          <w:lang w:val="en-US" w:eastAsia="zh-CN"/>
        </w:rPr>
        <w:t>58</w:t>
      </w:r>
      <w:r>
        <w:rPr>
          <w:rFonts w:hint="eastAsia" w:ascii="仿宋" w:hAnsi="仿宋" w:eastAsia="仿宋"/>
          <w:sz w:val="32"/>
          <w:szCs w:val="32"/>
        </w:rPr>
        <w:t>家，任务完成</w:t>
      </w:r>
      <w:r>
        <w:rPr>
          <w:rFonts w:hint="eastAsia" w:ascii="仿宋" w:hAnsi="仿宋" w:eastAsia="仿宋"/>
          <w:sz w:val="32"/>
          <w:szCs w:val="32"/>
          <w:lang w:val="en-US" w:eastAsia="zh-CN"/>
        </w:rPr>
        <w:t>58</w:t>
      </w:r>
      <w:r>
        <w:rPr>
          <w:rFonts w:hint="eastAsia" w:ascii="仿宋" w:hAnsi="仿宋" w:eastAsia="仿宋"/>
          <w:sz w:val="32"/>
          <w:szCs w:val="32"/>
        </w:rPr>
        <w:t>家，完成率100%，案件1</w:t>
      </w:r>
      <w:r>
        <w:rPr>
          <w:rFonts w:hint="eastAsia" w:ascii="仿宋" w:hAnsi="仿宋" w:eastAsia="仿宋"/>
          <w:sz w:val="32"/>
          <w:szCs w:val="32"/>
          <w:lang w:val="en-US" w:eastAsia="zh-CN"/>
        </w:rPr>
        <w:t>5</w:t>
      </w:r>
      <w:r>
        <w:rPr>
          <w:rFonts w:hint="eastAsia" w:ascii="仿宋" w:hAnsi="仿宋" w:eastAsia="仿宋"/>
          <w:sz w:val="32"/>
          <w:szCs w:val="32"/>
        </w:rPr>
        <w:t>起，案件率18.6%，任务完结率100%；</w:t>
      </w:r>
      <w:bookmarkStart w:id="0" w:name="_GoBack"/>
      <w:bookmarkEnd w:id="0"/>
    </w:p>
    <w:p w14:paraId="7CABB8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60B100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专项资金效益评价指标分值30分，包括经济效益、社会效益、生态效益、可持续影响、四个二级指标。本项目评价得分29.5分。</w:t>
      </w:r>
    </w:p>
    <w:p w14:paraId="453052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 (1)经济效益：主要从减轻群众负担进行分析，该项指标分值7.5分，得分7分。</w:t>
      </w:r>
    </w:p>
    <w:p w14:paraId="34FDDB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(2)社会效益：该项指标分值7.5分，得分7.5分，主要从优化卫计监督执法工作的三级指标进行分析，较好地改善了居民生活和地区形象，充分发挥了财政资金效益。</w:t>
      </w:r>
    </w:p>
    <w:p w14:paraId="513A3F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(3)生态效益：该项指标分值7.5分，得分7.5分。主要从环境效益进行分析，较好的保护了生态环境，充分的发挥了财政资金效益。</w:t>
      </w:r>
    </w:p>
    <w:p w14:paraId="5354F7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(4)可持续影响：该项指标分值7.5分，得分7分。主要从项目可持续性进行分析，较好的落实了项目可持续发展，保障了全市人民安全健康生活环境。</w:t>
      </w:r>
    </w:p>
    <w:p w14:paraId="62951A8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满意度指标完成情况：该项指标分值10分，得分9.5分。主要从服务对象进行了满意度测评，满意度均达到了95%以上，到达了预设的目标。</w:t>
      </w:r>
    </w:p>
    <w:p w14:paraId="5409F5A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5D41BC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主要经验及做法：加大了职业健康卫生监督检查，推动了职业危害项目，督促用人单位做好职业病防治工作，有效预防、控制和消除职业病危害因素，保障了职工健康权益。</w:t>
      </w:r>
    </w:p>
    <w:p w14:paraId="555AA0E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存在的问题及原因分析：</w:t>
      </w:r>
    </w:p>
    <w:p w14:paraId="4C9A322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（1）卫生监督人员素质有待进一步提高。目前，我局人员结构不合理，一是年龄严重老化，40岁以上人员居多。二是卫生专业技术人员短缺。</w:t>
      </w:r>
    </w:p>
    <w:p w14:paraId="50C18E3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（2）卫生监督执法经费严重不足，监测设备比较陈旧，很大程度上影响了卫生监督工作的效率和质量。</w:t>
      </w:r>
    </w:p>
    <w:p w14:paraId="0C72B77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792C2A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1、进一步加强对乡镇（街道）卫计监督所的指导、培训，委托乡镇（街道）开展卫计执法工作。</w:t>
      </w:r>
    </w:p>
    <w:p w14:paraId="3B757A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2、继续加大打击非法行医、打击两非、传染病防治监督、生活饮用水等高危行业的监管和执法力度，维护全区群众健康安全。</w:t>
      </w:r>
    </w:p>
    <w:p w14:paraId="2BF47474">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3、我单位承担的工作任务较多又责任重大，而资金严重缺少，各项专业人员缺乏。建议上级考虑加大专项投入，出台人才配备培养的相关政策。</w:t>
      </w:r>
    </w:p>
    <w:p w14:paraId="1D7C4DA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30A4B56A">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2777D7C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B5B1F">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270E">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78B0954"/>
    <w:rsid w:val="19D32FBC"/>
    <w:rsid w:val="1D0301CD"/>
    <w:rsid w:val="1E6A4395"/>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CDB294B"/>
    <w:rsid w:val="5E3C4FFE"/>
    <w:rsid w:val="5FB623A7"/>
    <w:rsid w:val="676B613F"/>
    <w:rsid w:val="69544BCF"/>
    <w:rsid w:val="6BB1387F"/>
    <w:rsid w:val="6D075A1F"/>
    <w:rsid w:val="6E3851B0"/>
    <w:rsid w:val="76E539FB"/>
    <w:rsid w:val="77D66C45"/>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4306</Words>
  <Characters>4845</Characters>
  <TotalTime>0</TotalTime>
  <ScaleCrop>false</ScaleCrop>
  <LinksUpToDate>false</LinksUpToDate>
  <CharactersWithSpaces>4896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刘雪婷</cp:lastModifiedBy>
  <cp:lastPrinted>2024-05-21T14:05:00Z</cp:lastPrinted>
  <dcterms:modified xsi:type="dcterms:W3CDTF">2025-09-23T02:49:19Z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2052-12.1.0.20784</vt:lpwstr>
  </property>
  <property fmtid="{D5CDD505-2E9C-101B-9397-08002B2CF9AE}" pid="6" name="ICV">
    <vt:lpwstr>A1E9AC54BF58440288AD196632C2A254_12</vt:lpwstr>
  </property>
  <property fmtid="{D5CDD505-2E9C-101B-9397-08002B2CF9AE}" pid="7" name="KSOTemplateDocerSaveRecord">
    <vt:lpwstr>eyJoZGlkIjoiZDFlOTg2MmRlN2VjZjU1NDJkMTM3ZTM3OTg2ZjkzZjciLCJ1c2VySWQiOiIxNjgwNzExMzg2In0=</vt:lpwstr>
  </property>
</Properties>
</file>