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056B26D">
            <w:pPr>
              <w:tabs>
                <w:tab w:val="left" w:pos="1007"/>
              </w:tabs>
              <w:spacing w:line="240" w:lineRule="auto"/>
              <w:ind w:firstLine="1050" w:firstLineChars="5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47B16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6F2846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6514E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DFA64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474BB6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1BD749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9420B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16158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D0A1ED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A74074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02D38B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2992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6A401C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E496EB6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C696E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F7D72B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F75C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14.96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50E075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16.6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357305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20.76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BB02F1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7A3549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E21FE8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FD745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0.5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67174B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0E4F9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AD180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363E7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54A5FD0D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汨罗市水库管理所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122.69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122.39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109.98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122.69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109.98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BF4A54B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1保障古培镇、汩罗镇、归义镇的农田灌溉用水。</w:t>
            </w:r>
          </w:p>
          <w:p w14:paraId="46899049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2保障水库、堤坝安全、水库大坝、堤防、水闸、溢洪道等养护、除杂。</w:t>
            </w:r>
          </w:p>
          <w:p w14:paraId="12B2D3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3渠道清淤、除杂、维修建设等。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全年完成渠道清淤工作7000余米，除杂工作近万米，渠道维修衬砌共4处，合计450米。整修闸门3次，负责28座水库的维修养护工作及三个乡镇的2.4万亩农田灌溉。单位各项工作正常开展，得到上级部门一致肯定。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渠道维修衬砌4处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400米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400米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450米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中小型水库维修养护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28座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渠道清淤除杂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5000米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8000米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服务灌溉农田面积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2.4万亩</w:t>
            </w:r>
          </w:p>
        </w:tc>
        <w:tc>
          <w:tcPr>
            <w:tcW w:w="1269" w:type="dxa"/>
            <w:shd w:val="clear" w:color="auto" w:fill="auto"/>
            <w:vAlign w:val="bottom"/>
          </w:tcPr>
          <w:p w14:paraId="4F080A08">
            <w:pPr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项目验收合格率（%)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任务完成合格率(%)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bottom"/>
          </w:tcPr>
          <w:p w14:paraId="32611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工程完成进度（%）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bottom"/>
          </w:tcPr>
          <w:p w14:paraId="50A34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项目资金完成率（%)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促进地方农业发展（%）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保障了农业生产大局稳定率（%）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促进地方农业发展（%）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保障了农业生产大局稳定率（%）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改善水库及周边环境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改善水库及周边环境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明显改善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促进地方生态文明建设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促进地方生态文明建设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明显提高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地方群众满意度（%）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降低成本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降低成本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合规合法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保障了农业生产大局稳定率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改善水库及周边环境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改善水库及周边环境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明显提高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101CF3E9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汨罗市汨罗水库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Times New Roman" w:hAnsi="Times New Roman" w:eastAsia="宋体" w:cs="Times New Roman"/>
          <w:sz w:val="40"/>
          <w:szCs w:val="40"/>
          <w:lang w:eastAsia="zh-CN"/>
        </w:rPr>
        <w:t>汨罗市汨罗水库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4A543369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１、为农村用水提供服务，负责古培、汨罗镇、城郊乡等乡镇的农田灌溉;</w:t>
      </w:r>
    </w:p>
    <w:p w14:paraId="79D60AAC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２、河道保洁，水库维修养护，防洪保安;</w:t>
      </w:r>
    </w:p>
    <w:p w14:paraId="1E28BCEC">
      <w:pPr>
        <w:pStyle w:val="9"/>
        <w:spacing w:line="600" w:lineRule="exact"/>
        <w:ind w:firstLine="643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３、完成水利局和市人民政府交办的其他任务。    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6630EDE6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本支出：是指为保障部门机构正常运转、完成日常工作任务而发生的各项支出，包括用于基本工资、津贴补贴等人员经费以及办公费、印刷费、水电费、差旅费等日常公用经费。本单位2024年决算数基本支出109.98万元，其中人员经费支出89.22万元，公用支出20.76万元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2D4B3FE9">
      <w:pPr>
        <w:pStyle w:val="9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项目支出：是指部门为完成特定行政工作任务或事业发展目标而发生的支出，包括有关业务工作经费、运行维护经费等。2024年本单位无项目支出。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A5E6C46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我单位无政府性基金预算支出。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5F2BE35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我单位无国有资本经营预算支出。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C3B6953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我单位无社会保险基金预算支出。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7435DC61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今年以来，我局认真深入落实习近平总书记“节水优先、空间均衡、系统治理、两手发力”治水思路和关于治水重要论述精神，全面贯彻落实中央、省、市各级水利工作会议决策部署，全面统筹、加强调度，压实责任、加大投入，克服极端天气和国内经济运行压力加大的不利影响，出台一系列统揽经济发展大盘的政策措施，全力推动全市水利项目稳步发展。本部门整体支出和专项支出管理得到了有效提升，并取得了较好的成效，自我评价分数为95分。</w:t>
      </w:r>
    </w:p>
    <w:p w14:paraId="52008453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我单位工作开展情况及主要事业成效：</w:t>
      </w:r>
    </w:p>
    <w:p w14:paraId="0D890B53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1、强化措施，全力保障了防汛抗灾工作，</w:t>
      </w:r>
    </w:p>
    <w:p w14:paraId="146F1A95">
      <w:pPr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全年无水库在设计暴雨洪水内溃坝，有效保障了1座中型水库防汛监管；无堤垸在保证洪水内溃堤，无重大工程事件无重大水污染事件。</w:t>
      </w:r>
    </w:p>
    <w:p w14:paraId="79010364">
      <w:pPr>
        <w:spacing w:line="600" w:lineRule="exact"/>
        <w:ind w:firstLine="562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2、是强化管理，全力确保项目建设工作</w:t>
      </w:r>
    </w:p>
    <w:p w14:paraId="731A9396">
      <w:pPr>
        <w:spacing w:line="600" w:lineRule="exact"/>
        <w:ind w:firstLine="562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全年推进河湖面貌根本好转，加强水土保持、水资源管理保护执法队伍的建设。认真践行节水优先，空间均衡，系统治理，两手发力，持续加大河湖管护和治理力度，推进河湖面貌根本好转，守护好一江碧水，建设更高品质生态文化活力汨罗，保障汨罗水库的管理运行及维护，解决周边乡镇安全用水，保证农田灌溉，确保我市安全度汛。</w:t>
      </w:r>
    </w:p>
    <w:p w14:paraId="4D33A17F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存在的问题及原因分析</w:t>
      </w:r>
    </w:p>
    <w:p w14:paraId="7694F547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部门整体支出相比专项支出而言，社会效益较好，经济效益不明显。业务工作分项需更加清晰，不能很好的对比支出与成果，投入与产出效果，很难针对性的发现问题，分析问题，提出解决方案。</w:t>
      </w:r>
    </w:p>
    <w:p w14:paraId="1D9664DE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1、年初预算整体制包含本级预算，上级预算资金无法预知，年初预算与年终决算数据差距较大。</w:t>
      </w:r>
    </w:p>
    <w:p w14:paraId="24823031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2、部门整体支出相比专项支出而言，社会效益好，经济效益不明显。</w:t>
      </w:r>
    </w:p>
    <w:p w14:paraId="7D198D88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3、业务工作分项不清晰，不能很好的对比支出与成果，投入与产出效果，很难针对性的发现问题，分析问题，提出解决方案。</w:t>
      </w:r>
    </w:p>
    <w:p w14:paraId="27C70ACE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4、某些项目受地方干扰及政策影响较大，导致进度较慢。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09E908A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 w14:paraId="3503957C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执行资金预算化管理，积极推进部门整体支出、项目支出绩效管理。财务股负责组织、协调各部门预算绩效管理；各部门组织编制部门预算和绩效目标，对项目绩效目标完成情况进行总结分析，撰写绩效报告送财务股；根据绩效评价结果改进预算绩效管理，通过资金预算编制、调整、执行、控制、绩效评价，增强政府资金投入、产出效能，提高财政资金使用效益。</w:t>
      </w:r>
    </w:p>
    <w:p w14:paraId="0B69CF88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3、成立了单位内部控制领导小组，由一把手直接领导。建立了单位层面的内控运行制约机制。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4664E02D">
      <w:pPr>
        <w:spacing w:line="600" w:lineRule="exact"/>
        <w:ind w:firstLine="56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部门整体支出绩效自评结果按照上级要求统一公开到相关网站。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0F81439F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B58AD"/>
    <w:multiLevelType w:val="singleLevel"/>
    <w:tmpl w:val="9F6B58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4269C3"/>
    <w:multiLevelType w:val="singleLevel"/>
    <w:tmpl w:val="C54269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040E4EB"/>
    <w:multiLevelType w:val="singleLevel"/>
    <w:tmpl w:val="D040E4E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9E3B31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3120632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738</Words>
  <Characters>845</Characters>
  <TotalTime>1</TotalTime>
  <ScaleCrop>false</ScaleCrop>
  <LinksUpToDate>false</LinksUpToDate>
  <CharactersWithSpaces>892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游思</cp:lastModifiedBy>
  <cp:lastPrinted>2024-05-21T14:05:00Z</cp:lastPrinted>
  <dcterms:modified xsi:type="dcterms:W3CDTF">2025-09-25T01:40:09Z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2052-12.1.0.19302</vt:lpwstr>
  </property>
  <property fmtid="{D5CDD505-2E9C-101B-9397-08002B2CF9AE}" pid="6" name="ICV">
    <vt:lpwstr>676A9FAF8AC24E5E9471DB817B9E2095_13</vt:lpwstr>
  </property>
  <property fmtid="{D5CDD505-2E9C-101B-9397-08002B2CF9AE}" pid="7" name="KSOTemplateDocerSaveRecord">
    <vt:lpwstr>eyJoZGlkIjoiY2FkMzI4YzY5ZTE2NDkzOWU4OGFjYWJmMTBiOTdkZGQiLCJ1c2VySWQiOiIxNjcwMjEyMDA4In0=</vt:lpwstr>
  </property>
</Properties>
</file>