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tabs>
                <w:tab w:val="left" w:pos="1007"/>
              </w:tabs>
              <w:spacing w:line="240" w:lineRule="auto"/>
              <w:ind w:firstLine="420"/>
              <w:jc w:val="left"/>
              <w:rPr>
                <w:rFonts w:hint="default" w:ascii="仿宋_GB2312" w:eastAsia="仿宋_GB2312"/>
                <w:kern w:val="0"/>
                <w:lang w:val="en-US" w:eastAsia="zh-CN"/>
              </w:rPr>
            </w:pPr>
            <w:r>
              <w:rPr>
                <w:rFonts w:hint="eastAsia" w:ascii="仿宋_GB2312" w:eastAsia="仿宋_GB2312"/>
                <w:kern w:val="0"/>
                <w:lang w:eastAsia="zh-CN"/>
              </w:rPr>
              <w:tab/>
            </w:r>
            <w:r>
              <w:rPr>
                <w:rFonts w:hint="eastAsia" w:ascii="仿宋_GB2312" w:eastAsia="仿宋_GB2312"/>
                <w:kern w:val="0"/>
                <w:lang w:val="en-US" w:eastAsia="zh-CN"/>
              </w:rPr>
              <w:t>18</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1983" w:type="dxa"/>
            <w:gridSpan w:val="2"/>
            <w:vAlign w:val="center"/>
          </w:tcPr>
          <w:p w14:paraId="06F2846E">
            <w:pPr>
              <w:spacing w:line="240" w:lineRule="auto"/>
              <w:ind w:firstLine="420"/>
              <w:jc w:val="center"/>
              <w:rPr>
                <w:rFonts w:ascii="仿宋_GB2312" w:eastAsia="仿宋_GB2312"/>
                <w:kern w:val="0"/>
              </w:rPr>
            </w:pP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C1EF02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0.78</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0.52</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2BB3E60E">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shd w:val="clear" w:color="auto" w:fill="auto"/>
            <w:vAlign w:val="center"/>
          </w:tcPr>
          <w:p w14:paraId="31BDC46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color="auto" w:fill="auto"/>
            <w:vAlign w:val="center"/>
          </w:tcPr>
          <w:p w14:paraId="6581D34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shd w:val="clear" w:color="auto" w:fill="auto"/>
            <w:vAlign w:val="center"/>
          </w:tcPr>
          <w:p w14:paraId="6F82C84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0.78</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0.52</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14:paraId="6B7C6FF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4178.3</w:t>
            </w: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3689.71</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shd w:val="clear" w:color="auto" w:fill="auto"/>
            <w:vAlign w:val="center"/>
          </w:tcPr>
          <w:p w14:paraId="5C6C607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shd w:val="clear" w:color="auto" w:fill="auto"/>
            <w:vAlign w:val="center"/>
          </w:tcPr>
          <w:p w14:paraId="7757DF50">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82AEA10">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56.67</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31.15</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70.1</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3.75</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2.16</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5.69</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2.54</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5.04</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1.38</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1.88</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1.72</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101.39</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129.8</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109.48</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7D4A3C83">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汨罗市库区移民服务中心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231.99</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231.99</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4140.28</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ascii="仿宋_GB2312" w:eastAsia="仿宋_GB2312"/>
                <w:kern w:val="0"/>
              </w:rPr>
            </w:pPr>
          </w:p>
        </w:tc>
        <w:tc>
          <w:tcPr>
            <w:tcW w:w="1423" w:type="dxa"/>
            <w:vAlign w:val="center"/>
          </w:tcPr>
          <w:p w14:paraId="4BE68CE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231.99</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450.57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3689.71</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3D3368E3">
            <w:pPr>
              <w:spacing w:line="240" w:lineRule="auto"/>
              <w:ind w:firstLine="420"/>
              <w:jc w:val="center"/>
              <w:rPr>
                <w:rFonts w:hint="eastAsia" w:ascii="仿宋_GB2312" w:eastAsia="仿宋_GB2312"/>
                <w:kern w:val="0"/>
              </w:rPr>
            </w:pPr>
            <w:r>
              <w:rPr>
                <w:rFonts w:hint="eastAsia" w:ascii="仿宋_GB2312" w:eastAsia="仿宋_GB2312"/>
                <w:kern w:val="0"/>
              </w:rPr>
              <w:t>1、保证了机关正常运转</w:t>
            </w:r>
          </w:p>
          <w:p w14:paraId="5790B9D7">
            <w:pPr>
              <w:spacing w:line="240" w:lineRule="auto"/>
              <w:ind w:firstLine="420"/>
              <w:jc w:val="center"/>
              <w:rPr>
                <w:rFonts w:hint="eastAsia" w:ascii="仿宋_GB2312" w:eastAsia="仿宋_GB2312"/>
                <w:kern w:val="0"/>
              </w:rPr>
            </w:pPr>
            <w:r>
              <w:rPr>
                <w:rFonts w:hint="eastAsia" w:ascii="仿宋_GB2312" w:eastAsia="仿宋_GB2312"/>
                <w:kern w:val="0"/>
              </w:rPr>
              <w:t>2、保证移民项目的顺利实施</w:t>
            </w:r>
          </w:p>
          <w:p w14:paraId="5D6EFDD9">
            <w:pPr>
              <w:spacing w:line="240" w:lineRule="auto"/>
              <w:ind w:firstLine="420"/>
              <w:jc w:val="center"/>
              <w:rPr>
                <w:rFonts w:hint="eastAsia" w:ascii="仿宋_GB2312" w:eastAsia="仿宋_GB2312"/>
                <w:kern w:val="0"/>
              </w:rPr>
            </w:pPr>
            <w:r>
              <w:rPr>
                <w:rFonts w:hint="eastAsia" w:ascii="仿宋_GB2312" w:eastAsia="仿宋_GB2312"/>
                <w:kern w:val="0"/>
              </w:rPr>
              <w:t>3、保证了移民群体大局稳定</w:t>
            </w:r>
          </w:p>
          <w:p w14:paraId="5D0B0335">
            <w:pPr>
              <w:spacing w:line="240" w:lineRule="auto"/>
              <w:ind w:firstLine="420"/>
              <w:jc w:val="center"/>
              <w:rPr>
                <w:rFonts w:hint="eastAsia" w:ascii="仿宋_GB2312" w:eastAsia="仿宋_GB2312"/>
                <w:kern w:val="0"/>
              </w:rPr>
            </w:pPr>
            <w:r>
              <w:rPr>
                <w:rFonts w:hint="eastAsia" w:ascii="仿宋_GB2312" w:eastAsia="仿宋_GB2312"/>
                <w:kern w:val="0"/>
              </w:rPr>
              <w:t>4、保证了移民群体生产生活条件得到了较大提升，解决了移民生产生活实际困难</w:t>
            </w:r>
          </w:p>
          <w:p w14:paraId="30F84402">
            <w:pPr>
              <w:spacing w:line="240" w:lineRule="auto"/>
              <w:ind w:firstLine="420"/>
              <w:jc w:val="center"/>
              <w:rPr>
                <w:rFonts w:ascii="仿宋_GB2312" w:eastAsia="仿宋_GB2312"/>
                <w:kern w:val="0"/>
              </w:rPr>
            </w:pPr>
            <w:r>
              <w:rPr>
                <w:rFonts w:hint="eastAsia" w:ascii="仿宋_GB2312" w:eastAsia="仿宋_GB2312"/>
                <w:kern w:val="0"/>
              </w:rPr>
              <w:t>5、提升了移民满意度</w:t>
            </w:r>
          </w:p>
        </w:tc>
        <w:tc>
          <w:tcPr>
            <w:tcW w:w="4260" w:type="dxa"/>
            <w:gridSpan w:val="4"/>
            <w:vAlign w:val="center"/>
          </w:tcPr>
          <w:p w14:paraId="5486FF4C">
            <w:pPr>
              <w:spacing w:line="240" w:lineRule="auto"/>
              <w:ind w:firstLine="420"/>
              <w:jc w:val="center"/>
              <w:rPr>
                <w:rFonts w:hint="eastAsia" w:ascii="仿宋_GB2312" w:eastAsia="仿宋_GB2312"/>
                <w:kern w:val="0"/>
              </w:rPr>
            </w:pPr>
            <w:r>
              <w:rPr>
                <w:rFonts w:hint="eastAsia" w:ascii="仿宋_GB2312" w:eastAsia="仿宋_GB2312"/>
                <w:kern w:val="0"/>
              </w:rPr>
              <w:t>1、保证了机关正常运转</w:t>
            </w:r>
          </w:p>
          <w:p w14:paraId="46E6051E">
            <w:pPr>
              <w:spacing w:line="240" w:lineRule="auto"/>
              <w:ind w:firstLine="420"/>
              <w:jc w:val="center"/>
              <w:rPr>
                <w:rFonts w:hint="eastAsia" w:ascii="仿宋_GB2312" w:eastAsia="仿宋_GB2312"/>
                <w:kern w:val="0"/>
              </w:rPr>
            </w:pPr>
            <w:r>
              <w:rPr>
                <w:rFonts w:hint="eastAsia" w:ascii="仿宋_GB2312" w:eastAsia="仿宋_GB2312"/>
                <w:kern w:val="0"/>
              </w:rPr>
              <w:t>2、保证移民项目的顺利实施</w:t>
            </w:r>
          </w:p>
          <w:p w14:paraId="4A0BAF7D">
            <w:pPr>
              <w:spacing w:line="240" w:lineRule="auto"/>
              <w:ind w:firstLine="420"/>
              <w:jc w:val="center"/>
              <w:rPr>
                <w:rFonts w:hint="eastAsia" w:ascii="仿宋_GB2312" w:eastAsia="仿宋_GB2312"/>
                <w:kern w:val="0"/>
              </w:rPr>
            </w:pPr>
            <w:r>
              <w:rPr>
                <w:rFonts w:hint="eastAsia" w:ascii="仿宋_GB2312" w:eastAsia="仿宋_GB2312"/>
                <w:kern w:val="0"/>
              </w:rPr>
              <w:t>3、保证了移民群体大局稳定</w:t>
            </w:r>
          </w:p>
          <w:p w14:paraId="13B6F955">
            <w:pPr>
              <w:spacing w:line="240" w:lineRule="auto"/>
              <w:ind w:firstLine="420"/>
              <w:jc w:val="center"/>
              <w:rPr>
                <w:rFonts w:hint="eastAsia" w:ascii="仿宋_GB2312" w:eastAsia="仿宋_GB2312"/>
                <w:kern w:val="0"/>
              </w:rPr>
            </w:pPr>
            <w:r>
              <w:rPr>
                <w:rFonts w:hint="eastAsia" w:ascii="仿宋_GB2312" w:eastAsia="仿宋_GB2312"/>
                <w:kern w:val="0"/>
              </w:rPr>
              <w:t>4、保证了移民群体生产生活条件得到了较大提升，解决了移民生产生活实际困难</w:t>
            </w:r>
          </w:p>
          <w:p w14:paraId="5B46BCB6">
            <w:pPr>
              <w:spacing w:line="240" w:lineRule="auto"/>
              <w:ind w:firstLine="420"/>
              <w:jc w:val="center"/>
              <w:rPr>
                <w:rFonts w:ascii="仿宋_GB2312" w:eastAsia="仿宋_GB2312"/>
                <w:kern w:val="0"/>
              </w:rPr>
            </w:pPr>
            <w:r>
              <w:rPr>
                <w:rFonts w:hint="eastAsia" w:ascii="仿宋_GB2312" w:eastAsia="仿宋_GB2312"/>
                <w:kern w:val="0"/>
              </w:rPr>
              <w:t>5、提升了移民满意度</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移民美丽家园项目（个）</w:t>
            </w:r>
          </w:p>
        </w:tc>
        <w:tc>
          <w:tcPr>
            <w:tcW w:w="1298" w:type="dxa"/>
            <w:shd w:val="clear" w:color="auto" w:fill="auto"/>
            <w:vAlign w:val="center"/>
          </w:tcPr>
          <w:p w14:paraId="2A37482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103</w:t>
            </w:r>
          </w:p>
        </w:tc>
        <w:tc>
          <w:tcPr>
            <w:tcW w:w="1269" w:type="dxa"/>
            <w:shd w:val="clear" w:color="auto" w:fill="auto"/>
            <w:vAlign w:val="center"/>
          </w:tcPr>
          <w:p w14:paraId="708D788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103</w:t>
            </w:r>
          </w:p>
        </w:tc>
        <w:tc>
          <w:tcPr>
            <w:tcW w:w="699" w:type="dxa"/>
            <w:shd w:val="clear" w:color="auto" w:fill="auto"/>
            <w:vAlign w:val="center"/>
          </w:tcPr>
          <w:p w14:paraId="567F5E5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2717B7C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后扶受益移民人口</w:t>
            </w:r>
          </w:p>
        </w:tc>
        <w:tc>
          <w:tcPr>
            <w:tcW w:w="1298" w:type="dxa"/>
            <w:shd w:val="clear" w:color="auto" w:fill="auto"/>
            <w:vAlign w:val="center"/>
          </w:tcPr>
          <w:p w14:paraId="15CE1D7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9678人</w:t>
            </w:r>
          </w:p>
        </w:tc>
        <w:tc>
          <w:tcPr>
            <w:tcW w:w="1269" w:type="dxa"/>
            <w:shd w:val="clear" w:color="auto" w:fill="auto"/>
            <w:vAlign w:val="center"/>
          </w:tcPr>
          <w:p w14:paraId="346D111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9678人</w:t>
            </w:r>
          </w:p>
        </w:tc>
        <w:tc>
          <w:tcPr>
            <w:tcW w:w="699" w:type="dxa"/>
            <w:shd w:val="clear" w:color="auto" w:fill="auto"/>
            <w:vAlign w:val="center"/>
          </w:tcPr>
          <w:p w14:paraId="4812C5E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4266548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移民后扶项目验收合格率</w:t>
            </w:r>
          </w:p>
        </w:tc>
        <w:tc>
          <w:tcPr>
            <w:tcW w:w="1298" w:type="dxa"/>
            <w:shd w:val="clear" w:color="auto" w:fill="auto"/>
            <w:vAlign w:val="center"/>
          </w:tcPr>
          <w:p w14:paraId="1A5ADA3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269" w:type="dxa"/>
            <w:shd w:val="clear" w:color="auto" w:fill="auto"/>
            <w:vAlign w:val="center"/>
          </w:tcPr>
          <w:p w14:paraId="54075F0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shd w:val="clear" w:color="auto" w:fill="auto"/>
            <w:vAlign w:val="center"/>
          </w:tcPr>
          <w:p w14:paraId="5580FC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0982B1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shd w:val="clear" w:color="auto" w:fill="auto"/>
            <w:vAlign w:val="center"/>
          </w:tcPr>
          <w:p w14:paraId="3BA53E08">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直补资金发放及时率</w:t>
            </w:r>
          </w:p>
        </w:tc>
        <w:tc>
          <w:tcPr>
            <w:tcW w:w="1298" w:type="dxa"/>
            <w:shd w:val="clear" w:color="auto" w:fill="auto"/>
            <w:vAlign w:val="center"/>
          </w:tcPr>
          <w:p w14:paraId="33DF5A2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269" w:type="dxa"/>
            <w:shd w:val="clear" w:color="auto" w:fill="auto"/>
            <w:vAlign w:val="center"/>
          </w:tcPr>
          <w:p w14:paraId="4F080A0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shd w:val="clear" w:color="auto" w:fill="auto"/>
            <w:vAlign w:val="center"/>
          </w:tcPr>
          <w:p w14:paraId="155F4AED">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2A22618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完工项目验收率</w:t>
            </w:r>
          </w:p>
        </w:tc>
        <w:tc>
          <w:tcPr>
            <w:tcW w:w="1298" w:type="dxa"/>
            <w:shd w:val="clear" w:color="auto" w:fill="auto"/>
            <w:vAlign w:val="center"/>
          </w:tcPr>
          <w:p w14:paraId="479FA5D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269" w:type="dxa"/>
            <w:shd w:val="clear" w:color="auto" w:fill="auto"/>
            <w:vAlign w:val="center"/>
          </w:tcPr>
          <w:p w14:paraId="5C1B340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shd w:val="clear" w:color="auto" w:fill="auto"/>
            <w:vAlign w:val="center"/>
          </w:tcPr>
          <w:p w14:paraId="4C56B99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5DA3483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shd w:val="clear" w:color="auto" w:fill="auto"/>
            <w:vAlign w:val="center"/>
          </w:tcPr>
          <w:p w14:paraId="14EC514E">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项目完工率</w:t>
            </w:r>
          </w:p>
        </w:tc>
        <w:tc>
          <w:tcPr>
            <w:tcW w:w="1298" w:type="dxa"/>
            <w:shd w:val="clear" w:color="auto" w:fill="auto"/>
            <w:vAlign w:val="center"/>
          </w:tcPr>
          <w:p w14:paraId="7A000B20">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269" w:type="dxa"/>
            <w:shd w:val="clear" w:color="auto" w:fill="auto"/>
            <w:vAlign w:val="center"/>
          </w:tcPr>
          <w:p w14:paraId="494C6CF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91%</w:t>
            </w:r>
          </w:p>
        </w:tc>
        <w:tc>
          <w:tcPr>
            <w:tcW w:w="699" w:type="dxa"/>
            <w:shd w:val="clear" w:color="auto" w:fill="auto"/>
            <w:vAlign w:val="center"/>
          </w:tcPr>
          <w:p w14:paraId="37EBC37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0E73072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w:t>
            </w: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帮助移民增收</w:t>
            </w:r>
          </w:p>
        </w:tc>
        <w:tc>
          <w:tcPr>
            <w:tcW w:w="1298" w:type="dxa"/>
            <w:shd w:val="clear" w:color="auto" w:fill="auto"/>
            <w:vAlign w:val="center"/>
          </w:tcPr>
          <w:p w14:paraId="078289F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1900元</w:t>
            </w:r>
          </w:p>
        </w:tc>
        <w:tc>
          <w:tcPr>
            <w:tcW w:w="1269" w:type="dxa"/>
            <w:shd w:val="clear" w:color="auto" w:fill="auto"/>
            <w:vAlign w:val="center"/>
          </w:tcPr>
          <w:p w14:paraId="7A453B8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1900元</w:t>
            </w:r>
          </w:p>
        </w:tc>
        <w:tc>
          <w:tcPr>
            <w:tcW w:w="699" w:type="dxa"/>
            <w:shd w:val="clear" w:color="auto" w:fill="auto"/>
            <w:vAlign w:val="center"/>
          </w:tcPr>
          <w:p w14:paraId="415A3F6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2AC58B9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shd w:val="clear" w:color="auto" w:fill="auto"/>
            <w:vAlign w:val="center"/>
          </w:tcPr>
          <w:p w14:paraId="50A34D2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4DB100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40D8D42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12404D4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6DE220A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保障移民大局稳定</w:t>
            </w:r>
          </w:p>
        </w:tc>
        <w:tc>
          <w:tcPr>
            <w:tcW w:w="1298" w:type="dxa"/>
            <w:shd w:val="clear" w:color="auto" w:fill="auto"/>
            <w:vAlign w:val="center"/>
          </w:tcPr>
          <w:p w14:paraId="6E8C487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稳定</w:t>
            </w:r>
          </w:p>
        </w:tc>
        <w:tc>
          <w:tcPr>
            <w:tcW w:w="1269" w:type="dxa"/>
            <w:shd w:val="clear" w:color="auto" w:fill="auto"/>
            <w:vAlign w:val="center"/>
          </w:tcPr>
          <w:p w14:paraId="4886005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稳定</w:t>
            </w:r>
          </w:p>
        </w:tc>
        <w:tc>
          <w:tcPr>
            <w:tcW w:w="699" w:type="dxa"/>
            <w:shd w:val="clear" w:color="auto" w:fill="auto"/>
            <w:vAlign w:val="center"/>
          </w:tcPr>
          <w:p w14:paraId="75FAE41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330990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shd w:val="clear" w:color="auto" w:fill="auto"/>
            <w:vAlign w:val="center"/>
          </w:tcPr>
          <w:p w14:paraId="710DCE7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610F1A2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4AC0299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6C66ED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14AC289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对当地生态环境产生积极影响（是</w:t>
            </w:r>
            <w:r>
              <w:rPr>
                <w:rFonts w:hint="eastAsia" w:ascii="仿宋_GB2312" w:eastAsia="仿宋_GB2312"/>
                <w:kern w:val="0"/>
                <w:lang w:val="en-US" w:eastAsia="zh-CN"/>
              </w:rPr>
              <w:t>/否</w:t>
            </w:r>
            <w:r>
              <w:rPr>
                <w:rFonts w:hint="eastAsia" w:ascii="仿宋_GB2312" w:eastAsia="仿宋_GB2312"/>
                <w:kern w:val="0"/>
                <w:lang w:eastAsia="zh-CN"/>
              </w:rPr>
              <w:t>）</w:t>
            </w:r>
          </w:p>
        </w:tc>
        <w:tc>
          <w:tcPr>
            <w:tcW w:w="1298" w:type="dxa"/>
            <w:shd w:val="clear" w:color="auto" w:fill="auto"/>
            <w:vAlign w:val="center"/>
          </w:tcPr>
          <w:p w14:paraId="45B96CB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是</w:t>
            </w:r>
          </w:p>
        </w:tc>
        <w:tc>
          <w:tcPr>
            <w:tcW w:w="1269" w:type="dxa"/>
            <w:shd w:val="clear" w:color="auto" w:fill="auto"/>
            <w:vAlign w:val="center"/>
          </w:tcPr>
          <w:p w14:paraId="35C3564D">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是</w:t>
            </w:r>
          </w:p>
        </w:tc>
        <w:tc>
          <w:tcPr>
            <w:tcW w:w="699" w:type="dxa"/>
            <w:shd w:val="clear" w:color="auto" w:fill="auto"/>
            <w:vAlign w:val="center"/>
          </w:tcPr>
          <w:p w14:paraId="6A82224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73C931F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shd w:val="clear" w:color="auto" w:fill="auto"/>
            <w:vAlign w:val="center"/>
          </w:tcPr>
          <w:p w14:paraId="4F0190D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1F4912D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53DC032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664813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44C2501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对移民收入增长促进作用（是</w:t>
            </w:r>
            <w:r>
              <w:rPr>
                <w:rFonts w:hint="eastAsia" w:ascii="仿宋_GB2312" w:eastAsia="仿宋_GB2312"/>
                <w:kern w:val="0"/>
                <w:lang w:val="en-US" w:eastAsia="zh-CN"/>
              </w:rPr>
              <w:t>/否</w:t>
            </w:r>
            <w:r>
              <w:rPr>
                <w:rFonts w:hint="eastAsia" w:ascii="仿宋_GB2312" w:eastAsia="仿宋_GB2312"/>
                <w:kern w:val="0"/>
                <w:lang w:eastAsia="zh-CN"/>
              </w:rPr>
              <w:t>）</w:t>
            </w:r>
          </w:p>
        </w:tc>
        <w:tc>
          <w:tcPr>
            <w:tcW w:w="1298" w:type="dxa"/>
            <w:shd w:val="clear" w:color="auto" w:fill="auto"/>
            <w:vAlign w:val="center"/>
          </w:tcPr>
          <w:p w14:paraId="055B34ED">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是</w:t>
            </w:r>
          </w:p>
        </w:tc>
        <w:tc>
          <w:tcPr>
            <w:tcW w:w="1269" w:type="dxa"/>
            <w:shd w:val="clear" w:color="auto" w:fill="auto"/>
            <w:vAlign w:val="center"/>
          </w:tcPr>
          <w:p w14:paraId="46B4146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是</w:t>
            </w:r>
          </w:p>
        </w:tc>
        <w:tc>
          <w:tcPr>
            <w:tcW w:w="699" w:type="dxa"/>
            <w:shd w:val="clear" w:color="auto" w:fill="auto"/>
            <w:vAlign w:val="center"/>
          </w:tcPr>
          <w:p w14:paraId="447C4D9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71C7C72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shd w:val="clear" w:color="auto" w:fill="auto"/>
            <w:vAlign w:val="center"/>
          </w:tcPr>
          <w:p w14:paraId="66B92778">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BB249F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54B7E67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CB64A1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006A7188">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移民安置区居民满意度</w:t>
            </w:r>
          </w:p>
        </w:tc>
        <w:tc>
          <w:tcPr>
            <w:tcW w:w="1298" w:type="dxa"/>
            <w:shd w:val="clear" w:color="auto" w:fill="auto"/>
            <w:vAlign w:val="center"/>
          </w:tcPr>
          <w:p w14:paraId="6ABEB3E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default" w:ascii="Arial" w:hAnsi="Arial" w:eastAsia="仿宋_GB2312" w:cs="Arial"/>
                <w:kern w:val="0"/>
                <w:lang w:val="en-US" w:eastAsia="zh-CN"/>
              </w:rPr>
              <w:t>≥</w:t>
            </w:r>
            <w:r>
              <w:rPr>
                <w:rFonts w:hint="eastAsia" w:ascii="仿宋_GB2312" w:eastAsia="仿宋_GB2312"/>
                <w:kern w:val="0"/>
                <w:lang w:val="en-US" w:eastAsia="zh-CN"/>
              </w:rPr>
              <w:t>96%</w:t>
            </w:r>
          </w:p>
        </w:tc>
        <w:tc>
          <w:tcPr>
            <w:tcW w:w="1269" w:type="dxa"/>
            <w:shd w:val="clear" w:color="auto" w:fill="auto"/>
            <w:vAlign w:val="center"/>
          </w:tcPr>
          <w:p w14:paraId="31B5B32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96%</w:t>
            </w:r>
          </w:p>
        </w:tc>
        <w:tc>
          <w:tcPr>
            <w:tcW w:w="699" w:type="dxa"/>
            <w:shd w:val="clear" w:color="auto" w:fill="auto"/>
            <w:vAlign w:val="center"/>
          </w:tcPr>
          <w:p w14:paraId="41D3F37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19FFC8C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shd w:val="clear" w:color="auto" w:fill="auto"/>
            <w:vAlign w:val="center"/>
          </w:tcPr>
          <w:p w14:paraId="767D8AA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D1571F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14AA98D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45F3183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3D62FDE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shd w:val="clear" w:color="auto" w:fill="auto"/>
            <w:vAlign w:val="center"/>
          </w:tcPr>
          <w:p w14:paraId="353ED42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3D4C98A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2FC22B0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29711080">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7760B7D8">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项目支出控制在预算范围内的项目比例</w:t>
            </w:r>
          </w:p>
        </w:tc>
        <w:tc>
          <w:tcPr>
            <w:tcW w:w="1298" w:type="dxa"/>
            <w:shd w:val="clear" w:color="auto" w:fill="auto"/>
            <w:vAlign w:val="center"/>
          </w:tcPr>
          <w:p w14:paraId="15ECA8D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269" w:type="dxa"/>
            <w:shd w:val="clear" w:color="auto" w:fill="auto"/>
            <w:vAlign w:val="center"/>
          </w:tcPr>
          <w:p w14:paraId="3C32824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shd w:val="clear" w:color="auto" w:fill="auto"/>
            <w:vAlign w:val="center"/>
          </w:tcPr>
          <w:p w14:paraId="42BD2B9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786F430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保证移民群体生产生活条件，解决了移民生产生活实际困难</w:t>
            </w:r>
          </w:p>
        </w:tc>
        <w:tc>
          <w:tcPr>
            <w:tcW w:w="1298" w:type="dxa"/>
            <w:shd w:val="clear" w:color="auto" w:fill="auto"/>
            <w:vAlign w:val="center"/>
          </w:tcPr>
          <w:p w14:paraId="09361E4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较大提升</w:t>
            </w:r>
          </w:p>
        </w:tc>
        <w:tc>
          <w:tcPr>
            <w:tcW w:w="1269" w:type="dxa"/>
            <w:shd w:val="clear" w:color="auto" w:fill="auto"/>
            <w:vAlign w:val="center"/>
          </w:tcPr>
          <w:p w14:paraId="32DCD30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较大提升</w:t>
            </w:r>
          </w:p>
        </w:tc>
        <w:tc>
          <w:tcPr>
            <w:tcW w:w="699" w:type="dxa"/>
            <w:shd w:val="clear" w:color="auto" w:fill="auto"/>
            <w:vAlign w:val="center"/>
          </w:tcPr>
          <w:p w14:paraId="765229A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4012A71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对生态环境无负面影响</w:t>
            </w:r>
          </w:p>
        </w:tc>
        <w:tc>
          <w:tcPr>
            <w:tcW w:w="1298" w:type="dxa"/>
            <w:shd w:val="clear" w:color="auto" w:fill="auto"/>
            <w:vAlign w:val="center"/>
          </w:tcPr>
          <w:p w14:paraId="789CDCB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shd w:val="clear" w:color="auto" w:fill="auto"/>
            <w:vAlign w:val="center"/>
          </w:tcPr>
          <w:p w14:paraId="4E354EE6">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shd w:val="clear" w:color="auto" w:fill="auto"/>
            <w:vAlign w:val="center"/>
          </w:tcPr>
          <w:p w14:paraId="6C36DE6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6B31F2A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41F98ECB">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汨罗市库区移民服务中心</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bookmarkStart w:id="0" w:name="_GoBack"/>
      <w:bookmarkEnd w:id="0"/>
      <w:r>
        <w:rPr>
          <w:rFonts w:ascii="黑体" w:hAnsi="黑体" w:eastAsia="黑体" w:cs="黑体"/>
          <w:spacing w:val="16"/>
          <w:sz w:val="40"/>
          <w:szCs w:val="40"/>
        </w:rPr>
        <w:t>年度</w:t>
      </w:r>
      <w:r>
        <w:rPr>
          <w:rFonts w:hint="eastAsia" w:ascii="黑体" w:hAnsi="黑体" w:eastAsia="黑体" w:cs="黑体"/>
          <w:spacing w:val="16"/>
          <w:sz w:val="40"/>
          <w:szCs w:val="40"/>
          <w:lang w:val="en-US" w:eastAsia="zh-CN"/>
        </w:rPr>
        <w:t>汨罗市库区移民事务中心</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、部门（单位）基本情况</w:t>
      </w:r>
    </w:p>
    <w:p w14:paraId="7F3A1B79">
      <w:pPr>
        <w:widowControl w:val="0"/>
        <w:kinsoku/>
        <w:autoSpaceDE/>
        <w:autoSpaceDN/>
        <w:adjustRightInd/>
        <w:snapToGrid/>
        <w:spacing w:line="500" w:lineRule="exact"/>
        <w:ind w:firstLine="640" w:firstLineChars="200"/>
        <w:jc w:val="both"/>
        <w:textAlignment w:val="auto"/>
        <w:rPr>
          <w:rFonts w:hint="eastAsia" w:ascii="方正黑体_GBK" w:eastAsia="方正黑体_GBK"/>
          <w:kern w:val="0"/>
          <w:sz w:val="32"/>
          <w:szCs w:val="32"/>
          <w:highlight w:val="none"/>
          <w:lang w:eastAsia="zh-CN"/>
        </w:rPr>
      </w:pPr>
      <w:r>
        <w:rPr>
          <w:rFonts w:hint="eastAsia" w:ascii="Times New Roman" w:hAnsi="Times New Roman" w:eastAsia="仿宋_GB2312" w:cs="Arial"/>
          <w:snapToGrid w:val="0"/>
          <w:color w:val="000000"/>
          <w:kern w:val="0"/>
          <w:sz w:val="32"/>
          <w:szCs w:val="32"/>
          <w:lang w:val="en-US" w:eastAsia="zh-CN" w:bidi="ar-SA"/>
        </w:rPr>
        <w:t>汨罗市库区移民事务中心2019年成立，现有在编人员38人，2024年水政监察大队机构撤销人员并入移民服务中心，是市水利局所属财政全额拨款公益一类事业单位。主要职能职责是： 维护移民群体稳定，移民项目的编制、申报、监督实施、组织验收，移民实用技能培训，移民直补资金的发放等。</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9"/>
        <w:spacing w:line="600" w:lineRule="exact"/>
        <w:ind w:firstLine="643"/>
        <w:jc w:val="both"/>
        <w:rPr>
          <w:rFonts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2A9719D3">
      <w:pPr>
        <w:pStyle w:val="9"/>
        <w:spacing w:line="600" w:lineRule="exact"/>
        <w:ind w:firstLine="643"/>
        <w:jc w:val="both"/>
        <w:rPr>
          <w:rFonts w:hint="eastAsia" w:ascii="Times New Roman" w:hAnsi="Times New Roman" w:eastAsia="楷体_GB2312"/>
          <w:b/>
          <w:kern w:val="0"/>
          <w:sz w:val="32"/>
          <w:szCs w:val="32"/>
          <w:highlight w:val="none"/>
          <w:lang w:eastAsia="zh-CN"/>
        </w:rPr>
      </w:pPr>
      <w:r>
        <w:rPr>
          <w:rFonts w:hint="eastAsia" w:ascii="Times New Roman" w:hAnsi="Times New Roman" w:eastAsia="仿宋_GB2312"/>
          <w:kern w:val="0"/>
          <w:sz w:val="32"/>
          <w:szCs w:val="32"/>
          <w:lang w:eastAsia="zh-CN"/>
        </w:rPr>
        <w:t>基本支出情况：</w:t>
      </w:r>
      <w:r>
        <w:rPr>
          <w:rFonts w:hint="eastAsia" w:ascii="Times New Roman" w:hAnsi="Times New Roman" w:eastAsia="仿宋_GB2312" w:cs="Arial"/>
          <w:snapToGrid w:val="0"/>
          <w:color w:val="000000"/>
          <w:kern w:val="0"/>
          <w:sz w:val="32"/>
          <w:szCs w:val="32"/>
          <w:lang w:val="en-US" w:eastAsia="zh-CN" w:bidi="ar-SA"/>
        </w:rPr>
        <w:t>基本支出是指为保障部门机构正常运转、完成日常工作任务而发生的各项支出，包括用于基本工资、津贴补贴等人员经费以及办公费、印刷费、水电费、差旅费等日常公用经费。本单位2024年决算数基本支出450.57万元，其中人员经费支出380.47万元，公用支出70.1万元。</w:t>
      </w:r>
    </w:p>
    <w:p w14:paraId="00657FCB">
      <w:pPr>
        <w:pStyle w:val="9"/>
        <w:spacing w:line="600" w:lineRule="exact"/>
        <w:ind w:firstLine="643"/>
        <w:jc w:val="both"/>
        <w:rPr>
          <w:rFonts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（二）</w:t>
      </w:r>
      <w:r>
        <w:rPr>
          <w:rFonts w:hint="eastAsia" w:ascii="Times New Roman" w:hAnsi="Times New Roman" w:eastAsia="仿宋_GB2312"/>
          <w:kern w:val="0"/>
          <w:sz w:val="32"/>
          <w:szCs w:val="32"/>
          <w:highlight w:val="none"/>
          <w:lang w:eastAsia="zh-CN"/>
        </w:rPr>
        <w:t>项目支出情况</w:t>
      </w:r>
    </w:p>
    <w:p w14:paraId="3BDD7906">
      <w:pPr>
        <w:widowControl w:val="0"/>
        <w:numPr>
          <w:ilvl w:val="0"/>
          <w:numId w:val="0"/>
        </w:numPr>
        <w:kinsoku w:val="0"/>
        <w:autoSpaceDE w:val="0"/>
        <w:autoSpaceDN w:val="0"/>
        <w:adjustRightInd w:val="0"/>
        <w:snapToGrid w:val="0"/>
        <w:spacing w:line="600" w:lineRule="exact"/>
        <w:ind w:firstLine="640" w:firstLineChars="200"/>
        <w:jc w:val="both"/>
        <w:textAlignment w:val="baseline"/>
        <w:rPr>
          <w:rFonts w:hint="eastAsia" w:ascii="方正黑体_GBK" w:eastAsia="方正黑体_GBK"/>
          <w:kern w:val="0"/>
          <w:sz w:val="32"/>
          <w:szCs w:val="32"/>
          <w:highlight w:val="none"/>
          <w:lang w:eastAsia="zh-CN"/>
        </w:rPr>
      </w:pPr>
      <w:r>
        <w:rPr>
          <w:rFonts w:hint="eastAsia" w:ascii="Times New Roman" w:hAnsi="Times New Roman" w:eastAsia="仿宋_GB2312"/>
          <w:kern w:val="0"/>
          <w:sz w:val="32"/>
          <w:szCs w:val="32"/>
          <w:lang w:eastAsia="zh-CN"/>
        </w:rPr>
        <w:t>项目支出</w:t>
      </w:r>
      <w:r>
        <w:rPr>
          <w:rFonts w:hint="eastAsia" w:ascii="Times New Roman" w:hAnsi="Times New Roman" w:eastAsia="仿宋_GB2312" w:cs="Arial"/>
          <w:snapToGrid w:val="0"/>
          <w:color w:val="000000"/>
          <w:kern w:val="0"/>
          <w:sz w:val="32"/>
          <w:szCs w:val="32"/>
          <w:lang w:val="en-US" w:eastAsia="zh-CN" w:bidi="ar-SA"/>
        </w:rPr>
        <w:t>是指部门为完成特定行政工作任务或事业发展目标而发生的支出，包括有关业务工作经费、运行维护经费等。2024年本单位项目支出决算数为3689.71万元，项目都为上级资金国家重大水利工程建设基金（三峡后续工作），大中型水库移民后期扶持资金，移民直补金。</w:t>
      </w:r>
    </w:p>
    <w:p w14:paraId="57B82B0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16ABB63A">
      <w:pPr>
        <w:widowControl w:val="0"/>
        <w:kinsoku w:val="0"/>
        <w:autoSpaceDE w:val="0"/>
        <w:autoSpaceDN w:val="0"/>
        <w:adjustRightInd w:val="0"/>
        <w:snapToGrid w:val="0"/>
        <w:spacing w:line="600" w:lineRule="exact"/>
        <w:ind w:firstLine="640" w:firstLineChars="200"/>
        <w:jc w:val="both"/>
        <w:textAlignment w:val="baseline"/>
        <w:rPr>
          <w:rFonts w:hint="eastAsia" w:ascii="方正黑体_GBK" w:eastAsia="方正黑体_GBK"/>
          <w:kern w:val="0"/>
          <w:sz w:val="32"/>
          <w:szCs w:val="32"/>
          <w:lang w:eastAsia="zh-CN"/>
        </w:rPr>
      </w:pPr>
      <w:r>
        <w:rPr>
          <w:rFonts w:hint="eastAsia" w:ascii="Times New Roman" w:hAnsi="Times New Roman" w:eastAsia="仿宋_GB2312" w:cs="Arial"/>
          <w:snapToGrid w:val="0"/>
          <w:color w:val="000000"/>
          <w:kern w:val="0"/>
          <w:sz w:val="32"/>
          <w:szCs w:val="32"/>
          <w:lang w:val="en-US" w:eastAsia="zh-CN" w:bidi="ar-SA"/>
        </w:rPr>
        <w:t>无政府性基金预算支出。</w:t>
      </w:r>
    </w:p>
    <w:p w14:paraId="66027901">
      <w:pPr>
        <w:numPr>
          <w:ilvl w:val="0"/>
          <w:numId w:val="1"/>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3E0D118C">
      <w:pPr>
        <w:widowControl w:val="0"/>
        <w:kinsoku w:val="0"/>
        <w:autoSpaceDE w:val="0"/>
        <w:autoSpaceDN w:val="0"/>
        <w:adjustRightInd w:val="0"/>
        <w:snapToGrid w:val="0"/>
        <w:spacing w:line="600" w:lineRule="exact"/>
        <w:ind w:firstLine="640" w:firstLineChars="200"/>
        <w:jc w:val="both"/>
        <w:textAlignment w:val="baseline"/>
        <w:rPr>
          <w:rFonts w:hint="default" w:ascii="方正黑体_GBK" w:eastAsia="方正黑体_GBK"/>
          <w:kern w:val="0"/>
          <w:sz w:val="32"/>
          <w:szCs w:val="32"/>
          <w:lang w:val="en-US" w:eastAsia="zh-CN"/>
        </w:rPr>
      </w:pPr>
      <w:r>
        <w:rPr>
          <w:rFonts w:hint="eastAsia" w:ascii="Times New Roman" w:hAnsi="Times New Roman" w:eastAsia="仿宋_GB2312" w:cs="Arial"/>
          <w:snapToGrid w:val="0"/>
          <w:color w:val="000000"/>
          <w:kern w:val="0"/>
          <w:sz w:val="32"/>
          <w:szCs w:val="32"/>
          <w:lang w:val="en-US" w:eastAsia="zh-CN" w:bidi="ar-SA"/>
        </w:rPr>
        <w:t>无国有资本经营预算支出。</w:t>
      </w:r>
    </w:p>
    <w:p w14:paraId="0A26FB18">
      <w:pPr>
        <w:numPr>
          <w:ilvl w:val="0"/>
          <w:numId w:val="1"/>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5519FD4C">
      <w:pPr>
        <w:widowControl w:val="0"/>
        <w:kinsoku w:val="0"/>
        <w:autoSpaceDE w:val="0"/>
        <w:autoSpaceDN w:val="0"/>
        <w:adjustRightInd w:val="0"/>
        <w:snapToGrid w:val="0"/>
        <w:spacing w:line="600" w:lineRule="exact"/>
        <w:ind w:firstLine="640" w:firstLineChars="200"/>
        <w:jc w:val="both"/>
        <w:textAlignment w:val="baseline"/>
        <w:rPr>
          <w:rFonts w:hint="default" w:ascii="方正黑体_GBK" w:eastAsia="方正黑体_GBK"/>
          <w:kern w:val="0"/>
          <w:sz w:val="32"/>
          <w:szCs w:val="32"/>
          <w:lang w:val="en-US" w:eastAsia="zh-CN"/>
        </w:rPr>
      </w:pPr>
      <w:r>
        <w:rPr>
          <w:rFonts w:hint="eastAsia" w:ascii="方正黑体_GBK" w:eastAsia="方正黑体_GBK"/>
          <w:kern w:val="0"/>
          <w:sz w:val="32"/>
          <w:szCs w:val="32"/>
          <w:lang w:val="en-US" w:eastAsia="zh-CN"/>
        </w:rPr>
        <w:t xml:space="preserve"> </w:t>
      </w:r>
      <w:r>
        <w:rPr>
          <w:rFonts w:hint="eastAsia" w:ascii="Times New Roman" w:hAnsi="Times New Roman" w:eastAsia="仿宋_GB2312" w:cs="Arial"/>
          <w:snapToGrid w:val="0"/>
          <w:color w:val="000000"/>
          <w:kern w:val="0"/>
          <w:sz w:val="32"/>
          <w:szCs w:val="32"/>
          <w:lang w:val="en-US" w:eastAsia="zh-CN" w:bidi="ar-SA"/>
        </w:rPr>
        <w:t>无社会保险基金预算支出。</w:t>
      </w:r>
    </w:p>
    <w:p w14:paraId="487258E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0B001065">
      <w:pPr>
        <w:widowControl/>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eastAsia="zh-CN"/>
        </w:rPr>
      </w:pPr>
      <w:r>
        <w:rPr>
          <w:rFonts w:hint="eastAsia" w:ascii="Arial" w:hAnsi="Arial" w:eastAsia="仿宋_GB2312" w:cs="Arial"/>
          <w:snapToGrid w:val="0"/>
          <w:color w:val="000000"/>
          <w:kern w:val="0"/>
          <w:sz w:val="32"/>
          <w:szCs w:val="32"/>
          <w:lang w:eastAsia="zh-CN"/>
        </w:rPr>
        <w:t>产出指标完成情况</w:t>
      </w:r>
    </w:p>
    <w:p w14:paraId="53779085">
      <w:pPr>
        <w:widowControl w:val="0"/>
        <w:kinsoku/>
        <w:autoSpaceDE/>
        <w:autoSpaceDN/>
        <w:adjustRightInd/>
        <w:snapToGrid/>
        <w:spacing w:line="240" w:lineRule="auto"/>
        <w:ind w:firstLine="640" w:firstLineChars="200"/>
        <w:jc w:val="both"/>
        <w:textAlignment w:val="auto"/>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rPr>
        <w:t>数量指标，移民美丽家园项目</w:t>
      </w:r>
      <w:r>
        <w:rPr>
          <w:rFonts w:hint="eastAsia" w:eastAsia="仿宋_GB2312" w:cs="Arial"/>
          <w:snapToGrid w:val="0"/>
          <w:color w:val="000000"/>
          <w:kern w:val="0"/>
          <w:sz w:val="32"/>
          <w:szCs w:val="32"/>
          <w:lang w:val="en-US" w:eastAsia="zh-CN"/>
        </w:rPr>
        <w:t>102个，</w:t>
      </w:r>
      <w:r>
        <w:rPr>
          <w:rFonts w:hint="eastAsia" w:ascii="Arial" w:hAnsi="Arial" w:eastAsia="仿宋_GB2312" w:cs="Arial"/>
          <w:snapToGrid w:val="0"/>
          <w:color w:val="000000"/>
          <w:kern w:val="0"/>
          <w:sz w:val="32"/>
          <w:szCs w:val="32"/>
          <w:lang w:val="en-US" w:eastAsia="zh-CN"/>
        </w:rPr>
        <w:t>后扶受益移民人口</w:t>
      </w:r>
      <w:r>
        <w:rPr>
          <w:rFonts w:hint="eastAsia" w:eastAsia="仿宋_GB2312" w:cs="Arial"/>
          <w:snapToGrid w:val="0"/>
          <w:color w:val="000000"/>
          <w:kern w:val="0"/>
          <w:sz w:val="32"/>
          <w:szCs w:val="32"/>
          <w:lang w:val="en-US" w:eastAsia="zh-CN"/>
        </w:rPr>
        <w:t>，9678人</w:t>
      </w:r>
      <w:r>
        <w:rPr>
          <w:rFonts w:hint="eastAsia" w:ascii="Arial" w:hAnsi="Arial" w:eastAsia="仿宋_GB2312" w:cs="Arial"/>
          <w:snapToGrid w:val="0"/>
          <w:color w:val="000000"/>
          <w:kern w:val="0"/>
          <w:sz w:val="32"/>
          <w:szCs w:val="32"/>
          <w:lang w:val="en-US" w:eastAsia="zh-CN"/>
        </w:rPr>
        <w:t>。</w:t>
      </w:r>
    </w:p>
    <w:p w14:paraId="3FF6BB73">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rPr>
        <w:t>质量指标，移民后扶项目验收合格率达到100%</w:t>
      </w:r>
      <w:r>
        <w:rPr>
          <w:rFonts w:hint="eastAsia" w:eastAsia="仿宋_GB2312" w:cs="Arial"/>
          <w:snapToGrid w:val="0"/>
          <w:color w:val="000000"/>
          <w:kern w:val="0"/>
          <w:sz w:val="32"/>
          <w:szCs w:val="32"/>
          <w:lang w:val="en-US" w:eastAsia="zh-CN"/>
        </w:rPr>
        <w:t>，直补资金发放及时率100%</w:t>
      </w:r>
      <w:r>
        <w:rPr>
          <w:rFonts w:hint="eastAsia" w:ascii="Arial" w:hAnsi="Arial" w:eastAsia="仿宋_GB2312" w:cs="Arial"/>
          <w:snapToGrid w:val="0"/>
          <w:color w:val="000000"/>
          <w:kern w:val="0"/>
          <w:sz w:val="32"/>
          <w:szCs w:val="32"/>
          <w:lang w:val="en-US" w:eastAsia="zh-CN"/>
        </w:rPr>
        <w:t>。</w:t>
      </w:r>
    </w:p>
    <w:p w14:paraId="158C0333">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rPr>
        <w:t>时效指标，绩效时效覆盖全年范围，年内完成各项任务</w:t>
      </w:r>
      <w:r>
        <w:rPr>
          <w:rFonts w:hint="eastAsia" w:eastAsia="仿宋_GB2312" w:cs="Arial"/>
          <w:snapToGrid w:val="0"/>
          <w:color w:val="000000"/>
          <w:kern w:val="0"/>
          <w:sz w:val="32"/>
          <w:szCs w:val="32"/>
          <w:lang w:val="en-US" w:eastAsia="zh-CN"/>
        </w:rPr>
        <w:t>，移民工程项目完工验收率达100%，项目完工率91%</w:t>
      </w:r>
      <w:r>
        <w:rPr>
          <w:rFonts w:hint="eastAsia" w:ascii="Arial" w:hAnsi="Arial" w:eastAsia="仿宋_GB2312" w:cs="Arial"/>
          <w:snapToGrid w:val="0"/>
          <w:color w:val="000000"/>
          <w:kern w:val="0"/>
          <w:sz w:val="32"/>
          <w:szCs w:val="32"/>
          <w:lang w:val="en-US" w:eastAsia="zh-CN"/>
        </w:rPr>
        <w:t>。</w:t>
      </w:r>
    </w:p>
    <w:p w14:paraId="305EEDA4">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效益指标完成情况</w:t>
      </w:r>
    </w:p>
    <w:p w14:paraId="1234BEB7">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 xml:space="preserve">    1、 经济效益：</w:t>
      </w:r>
      <w:r>
        <w:rPr>
          <w:rFonts w:hint="eastAsia" w:eastAsia="仿宋_GB2312" w:cs="Arial"/>
          <w:snapToGrid w:val="0"/>
          <w:color w:val="000000"/>
          <w:kern w:val="0"/>
          <w:sz w:val="32"/>
          <w:szCs w:val="32"/>
          <w:lang w:val="en-US" w:eastAsia="zh-CN"/>
        </w:rPr>
        <w:t>帮助移民增收每人每年1900元</w:t>
      </w:r>
      <w:r>
        <w:rPr>
          <w:rFonts w:hint="eastAsia" w:ascii="Arial" w:hAnsi="Arial" w:eastAsia="仿宋_GB2312" w:cs="Arial"/>
          <w:snapToGrid w:val="0"/>
          <w:color w:val="000000"/>
          <w:kern w:val="0"/>
          <w:sz w:val="32"/>
          <w:szCs w:val="32"/>
          <w:lang w:val="en-US" w:eastAsia="zh-CN"/>
        </w:rPr>
        <w:t>。</w:t>
      </w:r>
    </w:p>
    <w:p w14:paraId="16182CDF">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 xml:space="preserve">    2、社会效益：</w:t>
      </w:r>
      <w:r>
        <w:rPr>
          <w:rFonts w:hint="eastAsia" w:eastAsia="仿宋_GB2312" w:cs="Arial"/>
          <w:snapToGrid w:val="0"/>
          <w:color w:val="000000"/>
          <w:kern w:val="0"/>
          <w:sz w:val="32"/>
          <w:szCs w:val="32"/>
          <w:lang w:val="en-US" w:eastAsia="zh-CN"/>
        </w:rPr>
        <w:t>保障移民大局稳定无重大信访问题，保持稳定</w:t>
      </w:r>
      <w:r>
        <w:rPr>
          <w:rFonts w:hint="eastAsia" w:ascii="Arial" w:hAnsi="Arial" w:eastAsia="仿宋_GB2312" w:cs="Arial"/>
          <w:snapToGrid w:val="0"/>
          <w:color w:val="000000"/>
          <w:kern w:val="0"/>
          <w:sz w:val="32"/>
          <w:szCs w:val="32"/>
          <w:lang w:val="en-US" w:eastAsia="zh-CN"/>
        </w:rPr>
        <w:t>。</w:t>
      </w:r>
    </w:p>
    <w:p w14:paraId="1A323A54">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 xml:space="preserve">    3、 生态效益：对当地生态环境产生积极影响（是/否），是。</w:t>
      </w:r>
    </w:p>
    <w:p w14:paraId="2679A9CD">
      <w:pPr>
        <w:widowControl/>
        <w:numPr>
          <w:ilvl w:val="0"/>
          <w:numId w:val="0"/>
        </w:numPr>
        <w:kinsoku w:val="0"/>
        <w:autoSpaceDE w:val="0"/>
        <w:autoSpaceDN w:val="0"/>
        <w:adjustRightInd w:val="0"/>
        <w:snapToGrid w:val="0"/>
        <w:spacing w:line="600" w:lineRule="exact"/>
        <w:ind w:firstLine="320" w:firstLineChars="1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4、可持续影响指标：对移民收入增长促进作用（是/否）</w:t>
      </w:r>
      <w:r>
        <w:rPr>
          <w:rFonts w:hint="eastAsia" w:eastAsia="仿宋_GB2312" w:cs="Arial"/>
          <w:snapToGrid w:val="0"/>
          <w:color w:val="000000"/>
          <w:kern w:val="0"/>
          <w:sz w:val="32"/>
          <w:szCs w:val="32"/>
          <w:lang w:val="en-US" w:eastAsia="zh-CN"/>
        </w:rPr>
        <w:t>，是</w:t>
      </w:r>
      <w:r>
        <w:rPr>
          <w:rFonts w:hint="eastAsia" w:ascii="Arial" w:hAnsi="Arial" w:eastAsia="仿宋_GB2312" w:cs="Arial"/>
          <w:snapToGrid w:val="0"/>
          <w:color w:val="000000"/>
          <w:kern w:val="0"/>
          <w:sz w:val="32"/>
          <w:szCs w:val="32"/>
          <w:lang w:val="en-US" w:eastAsia="zh-CN"/>
        </w:rPr>
        <w:t>。</w:t>
      </w:r>
    </w:p>
    <w:p w14:paraId="7A856445">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满意度指标完成情况</w:t>
      </w:r>
    </w:p>
    <w:p w14:paraId="69AE53D8">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服务对象满意度指标：移民安置区居民满意度96%。</w:t>
      </w:r>
    </w:p>
    <w:p w14:paraId="1B248757">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成本指标完成情况</w:t>
      </w:r>
    </w:p>
    <w:p w14:paraId="7979A13A">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经济成本指标：项目支出控制在预算范围内的项目比例100%。</w:t>
      </w:r>
    </w:p>
    <w:p w14:paraId="41F7A2BA">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社会成本指标：保证移民群体生产生活条件，解决了移民生产生活实际困难</w:t>
      </w:r>
      <w:r>
        <w:rPr>
          <w:rFonts w:hint="eastAsia" w:eastAsia="仿宋_GB2312" w:cs="Arial"/>
          <w:snapToGrid w:val="0"/>
          <w:color w:val="000000"/>
          <w:kern w:val="0"/>
          <w:sz w:val="32"/>
          <w:szCs w:val="32"/>
          <w:lang w:val="en-US" w:eastAsia="zh-CN"/>
        </w:rPr>
        <w:t>，较大提升</w:t>
      </w:r>
      <w:r>
        <w:rPr>
          <w:rFonts w:hint="eastAsia" w:ascii="Arial" w:hAnsi="Arial" w:eastAsia="仿宋_GB2312" w:cs="Arial"/>
          <w:snapToGrid w:val="0"/>
          <w:color w:val="000000"/>
          <w:kern w:val="0"/>
          <w:sz w:val="32"/>
          <w:szCs w:val="32"/>
          <w:lang w:val="en-US" w:eastAsia="zh-CN"/>
        </w:rPr>
        <w:t>。</w:t>
      </w:r>
    </w:p>
    <w:p w14:paraId="2A9675D4">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生态环境成本指标：对生态环境无负面影响。</w:t>
      </w:r>
    </w:p>
    <w:p w14:paraId="3EFF44A8">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本单位严格按照年初制定的各项指标，较好的完成了本年的绩效任务，绩效自评9</w:t>
      </w:r>
      <w:r>
        <w:rPr>
          <w:rFonts w:hint="eastAsia" w:eastAsia="仿宋_GB2312" w:cs="Arial"/>
          <w:snapToGrid w:val="0"/>
          <w:color w:val="000000"/>
          <w:kern w:val="0"/>
          <w:sz w:val="32"/>
          <w:szCs w:val="32"/>
          <w:lang w:val="en-US" w:eastAsia="zh-CN"/>
        </w:rPr>
        <w:t>6</w:t>
      </w:r>
      <w:r>
        <w:rPr>
          <w:rFonts w:hint="eastAsia" w:ascii="Arial" w:hAnsi="Arial" w:eastAsia="仿宋_GB2312" w:cs="Arial"/>
          <w:snapToGrid w:val="0"/>
          <w:color w:val="000000"/>
          <w:kern w:val="0"/>
          <w:sz w:val="32"/>
          <w:szCs w:val="32"/>
          <w:lang w:val="en-US" w:eastAsia="zh-CN"/>
        </w:rPr>
        <w:t>分。移民直补资金发放到位率100%，后扶项目完工率和资金拨付率达91%以上。建设重点移民村2个，移民培训及补助49</w:t>
      </w:r>
      <w:r>
        <w:rPr>
          <w:rFonts w:hint="eastAsia" w:eastAsia="仿宋_GB2312" w:cs="Arial"/>
          <w:snapToGrid w:val="0"/>
          <w:color w:val="000000"/>
          <w:kern w:val="0"/>
          <w:sz w:val="32"/>
          <w:szCs w:val="32"/>
          <w:lang w:val="en-US" w:eastAsia="zh-CN"/>
        </w:rPr>
        <w:t>0</w:t>
      </w:r>
      <w:r>
        <w:rPr>
          <w:rFonts w:hint="eastAsia" w:ascii="Arial" w:hAnsi="Arial" w:eastAsia="仿宋_GB2312" w:cs="Arial"/>
          <w:snapToGrid w:val="0"/>
          <w:color w:val="000000"/>
          <w:kern w:val="0"/>
          <w:sz w:val="32"/>
          <w:szCs w:val="32"/>
          <w:lang w:val="en-US" w:eastAsia="zh-CN"/>
        </w:rPr>
        <w:t>人次，加强了移民安置区的基础设施建设，改善了生产生活条件，促进乡村振兴，保证了我市移民大局稳定，单位各项工作正常运行。</w:t>
      </w:r>
    </w:p>
    <w:p w14:paraId="50298147">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1FE644AE">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1、项目完工率无法达到100%，由于项目前期工作涉及多部门，审批手续繁琐，国家对一些特定程序的法定时间有明确规定，在时间紧任务重的情况下，在部分环节的协调上存在不顺畅的情况，工作开展难度较大，影响到项目前期工作的进展，影响整个工程进度。2、专项资金拨付的时间与项目实施的进度存在时间差异，专项已启动，但上级资金不能拨付到位</w:t>
      </w:r>
      <w:r>
        <w:rPr>
          <w:rFonts w:hint="eastAsia" w:eastAsia="仿宋_GB2312" w:cs="Arial"/>
          <w:snapToGrid w:val="0"/>
          <w:color w:val="000000"/>
          <w:kern w:val="0"/>
          <w:sz w:val="32"/>
          <w:szCs w:val="32"/>
          <w:lang w:val="en-US" w:eastAsia="zh-CN"/>
        </w:rPr>
        <w:t>，主要由于上级资金指标下达后本级需要走程序签字，指标到后系统内指标可能未下达导致指标无法上无法做支付</w:t>
      </w:r>
      <w:r>
        <w:rPr>
          <w:rFonts w:hint="eastAsia" w:ascii="Arial" w:hAnsi="Arial" w:eastAsia="仿宋_GB2312" w:cs="Arial"/>
          <w:snapToGrid w:val="0"/>
          <w:color w:val="000000"/>
          <w:kern w:val="0"/>
          <w:sz w:val="32"/>
          <w:szCs w:val="32"/>
          <w:lang w:val="en-US" w:eastAsia="zh-CN"/>
        </w:rPr>
        <w:t>。</w:t>
      </w:r>
    </w:p>
    <w:p w14:paraId="58CFC0B6">
      <w:pPr>
        <w:numPr>
          <w:ilvl w:val="0"/>
          <w:numId w:val="2"/>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34E3355C">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我</w:t>
      </w:r>
      <w:r>
        <w:rPr>
          <w:rFonts w:hint="eastAsia" w:eastAsia="仿宋_GB2312" w:cs="Arial"/>
          <w:snapToGrid w:val="0"/>
          <w:color w:val="000000"/>
          <w:kern w:val="0"/>
          <w:sz w:val="32"/>
          <w:szCs w:val="32"/>
          <w:lang w:val="en-US" w:eastAsia="zh-CN"/>
        </w:rPr>
        <w:t>单位</w:t>
      </w:r>
      <w:r>
        <w:rPr>
          <w:rFonts w:hint="eastAsia" w:ascii="Arial" w:hAnsi="Arial" w:eastAsia="仿宋_GB2312" w:cs="Arial"/>
          <w:snapToGrid w:val="0"/>
          <w:color w:val="000000"/>
          <w:kern w:val="0"/>
          <w:sz w:val="32"/>
          <w:szCs w:val="32"/>
          <w:lang w:val="en-US" w:eastAsia="zh-CN"/>
        </w:rPr>
        <w:t>对所有专项资金采用严格归口到专门股室管理，专项资金专款专用。对上级专项要求有本级资金配套的积极向当地财政部门申请资金，并向我局上级主管部门相关领导说明报告有关情况协调本级配套资金到位。对本级配套资金能及时足额到位的，按项目所有的支持环节报批组织项目实施。对配套资金不能到位的，及时向上级主管部门、发改委提出项目方案变更报告。争取如质如量完成所有项目。</w:t>
      </w:r>
    </w:p>
    <w:p w14:paraId="4DFD178F">
      <w:pPr>
        <w:numPr>
          <w:ilvl w:val="0"/>
          <w:numId w:val="2"/>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23415F7F">
      <w:pPr>
        <w:widowControl/>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对于所有资金资金的拨付，由业务股室根据工程进度提出拨款申请，再由财务监督审核，经相关领导签具意见后拨付。坚决制止违背科学发展观乱决策，</w:t>
      </w:r>
      <w:r>
        <w:rPr>
          <w:rFonts w:hint="eastAsia" w:eastAsia="仿宋_GB2312" w:cs="Arial"/>
          <w:snapToGrid w:val="0"/>
          <w:color w:val="000000"/>
          <w:kern w:val="0"/>
          <w:sz w:val="32"/>
          <w:szCs w:val="32"/>
          <w:lang w:val="en-US" w:eastAsia="zh-CN"/>
        </w:rPr>
        <w:t>提高资金使用效率</w:t>
      </w:r>
      <w:r>
        <w:rPr>
          <w:rFonts w:hint="eastAsia" w:ascii="Arial" w:hAnsi="Arial" w:eastAsia="仿宋_GB2312" w:cs="Arial"/>
          <w:snapToGrid w:val="0"/>
          <w:color w:val="000000"/>
          <w:kern w:val="0"/>
          <w:sz w:val="32"/>
          <w:szCs w:val="32"/>
          <w:lang w:val="en-US" w:eastAsia="zh-CN"/>
        </w:rPr>
        <w:t>。</w:t>
      </w:r>
      <w:r>
        <w:rPr>
          <w:rFonts w:hint="eastAsia" w:ascii="Arial" w:hAnsi="Arial" w:eastAsia="仿宋_GB2312" w:cs="Arial"/>
          <w:snapToGrid w:val="0"/>
          <w:color w:val="000000"/>
          <w:kern w:val="0"/>
          <w:sz w:val="32"/>
          <w:szCs w:val="32"/>
          <w:lang w:eastAsia="zh-CN"/>
        </w:rPr>
        <w:t>整体绩效评价已经应用于下一年预算编制考核要素。自评结果也和部门决算数据一并在政府平台公开。</w:t>
      </w:r>
    </w:p>
    <w:p w14:paraId="5CE31EE8">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8E4A03F">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14:paraId="7C3C7993">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6B7C5360">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EC36C"/>
    <w:multiLevelType w:val="singleLevel"/>
    <w:tmpl w:val="9BCEC36C"/>
    <w:lvl w:ilvl="0" w:tentative="0">
      <w:start w:val="4"/>
      <w:numFmt w:val="chineseCounting"/>
      <w:suff w:val="nothing"/>
      <w:lvlText w:val="%1、"/>
      <w:lvlJc w:val="left"/>
      <w:rPr>
        <w:rFonts w:hint="eastAsia"/>
      </w:rPr>
    </w:lvl>
  </w:abstractNum>
  <w:abstractNum w:abstractNumId="1">
    <w:nsid w:val="17003F83"/>
    <w:multiLevelType w:val="singleLevel"/>
    <w:tmpl w:val="17003F83"/>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6AC01CD"/>
    <w:rsid w:val="178B0954"/>
    <w:rsid w:val="19D32FBC"/>
    <w:rsid w:val="1E6A4395"/>
    <w:rsid w:val="25557A3D"/>
    <w:rsid w:val="26EA5ED7"/>
    <w:rsid w:val="27A93B82"/>
    <w:rsid w:val="2AE00186"/>
    <w:rsid w:val="308216BE"/>
    <w:rsid w:val="34FE1149"/>
    <w:rsid w:val="3A550786"/>
    <w:rsid w:val="3AEA70D7"/>
    <w:rsid w:val="3B7A130F"/>
    <w:rsid w:val="47245663"/>
    <w:rsid w:val="494A1329"/>
    <w:rsid w:val="4F8B6063"/>
    <w:rsid w:val="52FA3F96"/>
    <w:rsid w:val="55850F17"/>
    <w:rsid w:val="57AE6D93"/>
    <w:rsid w:val="58E04635"/>
    <w:rsid w:val="5E3C4FFE"/>
    <w:rsid w:val="5FB623A7"/>
    <w:rsid w:val="6BB1387F"/>
    <w:rsid w:val="6D075A1F"/>
    <w:rsid w:val="6E3851B0"/>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3548</Words>
  <Characters>3843</Characters>
  <TotalTime>3</TotalTime>
  <ScaleCrop>false</ScaleCrop>
  <LinksUpToDate>false</LinksUpToDate>
  <CharactersWithSpaces>4015</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游思</cp:lastModifiedBy>
  <cp:lastPrinted>2024-05-21T14:05:00Z</cp:lastPrinted>
  <dcterms:modified xsi:type="dcterms:W3CDTF">2025-09-24T02:57:33Z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2052-12.1.0.19302</vt:lpwstr>
  </property>
  <property fmtid="{D5CDD505-2E9C-101B-9397-08002B2CF9AE}" pid="6" name="ICV">
    <vt:lpwstr>A3F227D0705C420D84A07A758355EB26_13</vt:lpwstr>
  </property>
  <property fmtid="{D5CDD505-2E9C-101B-9397-08002B2CF9AE}" pid="7" name="KSOTemplateDocerSaveRecord">
    <vt:lpwstr>eyJoZGlkIjoiY2FkMzI4YzY5ZTE2NDkzOWU4OGFjYWJmMTBiOTdkZGQiLCJ1c2VySWQiOiIxNjcwMjEyMDA4In0=</vt:lpwstr>
  </property>
</Properties>
</file>