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97.48%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224.61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226.39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25.33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24.25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22.45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20.17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18247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17.49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65.28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50.27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50.27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en-US" w:bidi="ar-SA"/>
              </w:rPr>
              <w:t>定期在全校范围内开展“厉行节约，反对浪费”主题活动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</w:rPr>
              <w:t>制定详细的水电使用管理制度，明确规定不同场所的水电使用标准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成立</w:t>
            </w:r>
            <w:r>
              <w:rPr>
                <w:rFonts w:hint="eastAsia" w:ascii="仿宋" w:hAnsi="仿宋" w:eastAsia="仿宋" w:cs="仿宋"/>
              </w:rPr>
              <w:t>厉行节约监督小组，定期对校园内各区域的节约情况进行检查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汨罗市白塘镇白塘学校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2250.49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2245.3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2245.3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2245.3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2245.3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教学质量提升</w:t>
            </w: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lang w:val="en-US" w:eastAsia="zh-CN"/>
              </w:rPr>
              <w:t>学生全面发展</w:t>
            </w: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</w:rPr>
              <w:t>师资队伍建设</w:t>
            </w: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；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基本完成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服务好四类教育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服务好四类教育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b/>
                <w:bCs/>
                <w:sz w:val="11"/>
                <w:szCs w:val="11"/>
                <w:lang w:eastAsia="zh-CN"/>
              </w:rPr>
              <w:t>服务学生</w:t>
            </w:r>
            <w:r>
              <w:rPr>
                <w:rFonts w:hint="eastAsia" w:ascii="仿宋_GB2312" w:eastAsia="仿宋_GB2312"/>
                <w:b/>
                <w:bCs/>
                <w:sz w:val="11"/>
                <w:szCs w:val="11"/>
                <w:lang w:val="en-US" w:eastAsia="zh-CN"/>
              </w:rPr>
              <w:t>2678</w:t>
            </w:r>
            <w:r>
              <w:rPr>
                <w:rFonts w:hint="eastAsia" w:ascii="仿宋_GB2312" w:eastAsia="仿宋_GB2312"/>
                <w:b/>
                <w:bCs/>
                <w:sz w:val="11"/>
                <w:szCs w:val="11"/>
                <w:lang w:eastAsia="zh-CN"/>
              </w:rPr>
              <w:t>人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无重大安全责任事故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无重大安全责任事故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0起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进入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  <w:lang w:eastAsia="zh-CN"/>
              </w:rPr>
              <w:t>汨罗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市先进行列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进入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  <w:lang w:eastAsia="zh-CN"/>
              </w:rPr>
              <w:t>汨罗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市先进行列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进入先进行列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提升办学条件及办学水平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提升办学条件及办学水平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按年初方案完成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完成时间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年全年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年全年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完成时间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即时完成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即时完成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ind w:firstLine="420" w:firstLineChars="0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办人民满意的教育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办人民满意的教育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满意度95%以上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生态环境改善状况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各项指标持续影响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受益对象满意度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</w:rPr>
              <w:t>≧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97%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社会公众满意度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</w:rPr>
              <w:t>≧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96%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bookmarkStart w:id="0" w:name="_GoBack"/>
            <w:bookmarkEnd w:id="0"/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2245.3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2245.3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2245.3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对生态环境可能造成的负面影响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XX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17E1048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1917</Words>
  <Characters>1979</Characters>
  <TotalTime>1</TotalTime>
  <ScaleCrop>false</ScaleCrop>
  <LinksUpToDate>false</LinksUpToDate>
  <CharactersWithSpaces>2134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WPS_1749177139</cp:lastModifiedBy>
  <cp:lastPrinted>2024-05-21T14:05:00Z</cp:lastPrinted>
  <dcterms:modified xsi:type="dcterms:W3CDTF">2025-09-20T07:21:07Z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C571D0A0D8D94A85B65543F933C1B45A_13</vt:lpwstr>
  </property>
  <property fmtid="{D5CDD505-2E9C-101B-9397-08002B2CF9AE}" pid="7" name="KSOTemplateDocerSaveRecord">
    <vt:lpwstr>eyJoZGlkIjoiOWM0ZDNkNzllNjFkMmQyNmM3MGYxYTIxMGM5M2M4ZmUiLCJ1c2VySWQiOiIxNzA4MTQzMjM2In0=</vt:lpwstr>
  </property>
</Properties>
</file>