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5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11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266.25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2C631A9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52.9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7BF1871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228A6C5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21.71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2516.2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    填报日期：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            单位负责人签字：</w:t>
      </w:r>
    </w:p>
    <w:p w14:paraId="1B173A16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11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汨罗市白水镇越江中学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0867B6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2516.2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0424998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其中：一般公共预算：2516.2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其中：基本支出：2516.2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30C8FD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贯彻落实中央、省、市关于教育的方针、政策和法律、法规、规章，研究拟定学校的教育政策并监督执行，研究拟定学校教育事业发展规划和年度计划，拟定教育发展的重点、规模、速度和步骤，指导和协调教育规划、计划的实施。</w:t>
            </w:r>
          </w:p>
        </w:tc>
        <w:tc>
          <w:tcPr>
            <w:tcW w:w="4260" w:type="dxa"/>
            <w:gridSpan w:val="4"/>
            <w:vAlign w:val="center"/>
          </w:tcPr>
          <w:p w14:paraId="156E0D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lang w:eastAsia="zh-CN"/>
              </w:rPr>
              <w:t>圆满完成各项任务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vAlign w:val="center"/>
          </w:tcPr>
          <w:p w14:paraId="785EE4BB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招生数、毕业生数达标，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无辍学情况发生。</w:t>
            </w:r>
          </w:p>
        </w:tc>
        <w:tc>
          <w:tcPr>
            <w:tcW w:w="1298" w:type="dxa"/>
            <w:vAlign w:val="center"/>
          </w:tcPr>
          <w:p w14:paraId="2A374824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招生数1650人，毕业数（小学180人，初中220）</w:t>
            </w:r>
          </w:p>
        </w:tc>
        <w:tc>
          <w:tcPr>
            <w:tcW w:w="1269" w:type="dxa"/>
            <w:vAlign w:val="center"/>
          </w:tcPr>
          <w:p w14:paraId="708D788A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招生数、毕业数达标，无学生辍学情况。</w:t>
            </w:r>
          </w:p>
        </w:tc>
        <w:tc>
          <w:tcPr>
            <w:tcW w:w="699" w:type="dxa"/>
            <w:vAlign w:val="center"/>
          </w:tcPr>
          <w:p w14:paraId="567F5E5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2717B7C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7CF9B1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4FA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591BD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4CAD2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2D67C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5E485C8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教师培训</w:t>
            </w:r>
          </w:p>
        </w:tc>
        <w:tc>
          <w:tcPr>
            <w:tcW w:w="1298" w:type="dxa"/>
            <w:vAlign w:val="center"/>
          </w:tcPr>
          <w:p w14:paraId="15CE1D7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6次以上</w:t>
            </w:r>
          </w:p>
        </w:tc>
        <w:tc>
          <w:tcPr>
            <w:tcW w:w="1269" w:type="dxa"/>
            <w:vAlign w:val="center"/>
          </w:tcPr>
          <w:p w14:paraId="346D111F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</w:t>
            </w:r>
          </w:p>
        </w:tc>
        <w:tc>
          <w:tcPr>
            <w:tcW w:w="699" w:type="dxa"/>
            <w:vAlign w:val="center"/>
          </w:tcPr>
          <w:p w14:paraId="4812C5E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4266548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1001FE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vAlign w:val="center"/>
          </w:tcPr>
          <w:p w14:paraId="10423A41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教育督导</w:t>
            </w:r>
          </w:p>
        </w:tc>
        <w:tc>
          <w:tcPr>
            <w:tcW w:w="1298" w:type="dxa"/>
            <w:vAlign w:val="center"/>
          </w:tcPr>
          <w:p w14:paraId="1A5ADA3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12次</w:t>
            </w:r>
          </w:p>
        </w:tc>
        <w:tc>
          <w:tcPr>
            <w:tcW w:w="1269" w:type="dxa"/>
            <w:vAlign w:val="center"/>
          </w:tcPr>
          <w:p w14:paraId="54075F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</w:t>
            </w:r>
          </w:p>
        </w:tc>
        <w:tc>
          <w:tcPr>
            <w:tcW w:w="699" w:type="dxa"/>
            <w:vAlign w:val="center"/>
          </w:tcPr>
          <w:p w14:paraId="5580FC8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0982B1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9E0DC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DF71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3ECD9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201BAD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2EE2617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BA53E08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教育教学质量</w:t>
            </w:r>
          </w:p>
        </w:tc>
        <w:tc>
          <w:tcPr>
            <w:tcW w:w="1298" w:type="dxa"/>
            <w:vAlign w:val="center"/>
          </w:tcPr>
          <w:p w14:paraId="33DF5A2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稳步提升</w:t>
            </w:r>
          </w:p>
        </w:tc>
        <w:tc>
          <w:tcPr>
            <w:tcW w:w="1269" w:type="dxa"/>
            <w:vAlign w:val="center"/>
          </w:tcPr>
          <w:p w14:paraId="4F080A08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提升</w:t>
            </w:r>
          </w:p>
        </w:tc>
        <w:tc>
          <w:tcPr>
            <w:tcW w:w="699" w:type="dxa"/>
            <w:vAlign w:val="center"/>
          </w:tcPr>
          <w:p w14:paraId="155F4AE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2A22618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3D7116F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vAlign w:val="center"/>
          </w:tcPr>
          <w:p w14:paraId="5323318C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资金发放及时率</w:t>
            </w:r>
          </w:p>
        </w:tc>
        <w:tc>
          <w:tcPr>
            <w:tcW w:w="1298" w:type="dxa"/>
            <w:vAlign w:val="center"/>
          </w:tcPr>
          <w:p w14:paraId="479FA5D5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及时率100%</w:t>
            </w:r>
          </w:p>
        </w:tc>
        <w:tc>
          <w:tcPr>
            <w:tcW w:w="1269" w:type="dxa"/>
            <w:vAlign w:val="center"/>
          </w:tcPr>
          <w:p w14:paraId="5C1B34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4C56B99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5DA3483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7BF8C6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single" w:color="auto" w:sz="4" w:space="0"/>
            </w:tcBorders>
            <w:vAlign w:val="center"/>
          </w:tcPr>
          <w:p w14:paraId="4E46C1EB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vAlign w:val="center"/>
          </w:tcPr>
          <w:p w14:paraId="5D9BC27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教育均衡发展</w:t>
            </w:r>
          </w:p>
        </w:tc>
        <w:tc>
          <w:tcPr>
            <w:tcW w:w="1298" w:type="dxa"/>
            <w:vAlign w:val="center"/>
          </w:tcPr>
          <w:p w14:paraId="6E8C4873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均衡发展</w:t>
            </w:r>
          </w:p>
        </w:tc>
        <w:tc>
          <w:tcPr>
            <w:tcW w:w="1269" w:type="dxa"/>
            <w:vAlign w:val="center"/>
          </w:tcPr>
          <w:p w14:paraId="4886005B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良好</w:t>
            </w:r>
          </w:p>
        </w:tc>
        <w:tc>
          <w:tcPr>
            <w:tcW w:w="699" w:type="dxa"/>
            <w:vAlign w:val="center"/>
          </w:tcPr>
          <w:p w14:paraId="75FAE414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3309901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4.5</w:t>
            </w:r>
          </w:p>
        </w:tc>
        <w:tc>
          <w:tcPr>
            <w:tcW w:w="1423" w:type="dxa"/>
            <w:vAlign w:val="center"/>
          </w:tcPr>
          <w:p w14:paraId="4D65F2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8DA8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AAEA0F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E606F7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vAlign w:val="center"/>
          </w:tcPr>
          <w:p w14:paraId="1A2F9607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11070332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全年无学生安全事故</w:t>
            </w:r>
          </w:p>
        </w:tc>
        <w:tc>
          <w:tcPr>
            <w:tcW w:w="1298" w:type="dxa"/>
            <w:vAlign w:val="center"/>
          </w:tcPr>
          <w:p w14:paraId="5B2F3CE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全年无学生安全事故</w:t>
            </w:r>
          </w:p>
        </w:tc>
        <w:tc>
          <w:tcPr>
            <w:tcW w:w="1269" w:type="dxa"/>
            <w:vAlign w:val="center"/>
          </w:tcPr>
          <w:p w14:paraId="050783B4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全年无学生安全事故</w:t>
            </w:r>
          </w:p>
        </w:tc>
        <w:tc>
          <w:tcPr>
            <w:tcW w:w="699" w:type="dxa"/>
            <w:vAlign w:val="center"/>
          </w:tcPr>
          <w:p w14:paraId="7E980A4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65A3528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52D584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EF185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vAlign w:val="center"/>
          </w:tcPr>
          <w:p w14:paraId="4DC60689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校园生态环境</w:t>
            </w:r>
          </w:p>
        </w:tc>
        <w:tc>
          <w:tcPr>
            <w:tcW w:w="1298" w:type="dxa"/>
            <w:vAlign w:val="center"/>
          </w:tcPr>
          <w:p w14:paraId="45B96CBB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增加学校绿化覆盖率，加强学生的环保意识，优化校园生态环境。</w:t>
            </w:r>
          </w:p>
        </w:tc>
        <w:tc>
          <w:tcPr>
            <w:tcW w:w="1269" w:type="dxa"/>
            <w:vAlign w:val="center"/>
          </w:tcPr>
          <w:p w14:paraId="35C3564D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持续改善</w:t>
            </w:r>
          </w:p>
        </w:tc>
        <w:tc>
          <w:tcPr>
            <w:tcW w:w="699" w:type="dxa"/>
            <w:vAlign w:val="center"/>
          </w:tcPr>
          <w:p w14:paraId="6A82224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73C931F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E6767B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vAlign w:val="center"/>
          </w:tcPr>
          <w:p w14:paraId="1B548B4C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持续提升教育教学质量</w:t>
            </w:r>
          </w:p>
        </w:tc>
        <w:tc>
          <w:tcPr>
            <w:tcW w:w="1298" w:type="dxa"/>
            <w:vAlign w:val="center"/>
          </w:tcPr>
          <w:p w14:paraId="055B34E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持续提升</w:t>
            </w:r>
          </w:p>
        </w:tc>
        <w:tc>
          <w:tcPr>
            <w:tcW w:w="1269" w:type="dxa"/>
            <w:vAlign w:val="center"/>
          </w:tcPr>
          <w:p w14:paraId="46B41467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持续提升</w:t>
            </w:r>
          </w:p>
        </w:tc>
        <w:tc>
          <w:tcPr>
            <w:tcW w:w="699" w:type="dxa"/>
            <w:vAlign w:val="center"/>
          </w:tcPr>
          <w:p w14:paraId="447C4D9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71C7C72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4D49F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1FAF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2BCD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4D0DE13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418272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6B92778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坚持安全教育，杜绝安全事故发生</w:t>
            </w:r>
          </w:p>
        </w:tc>
        <w:tc>
          <w:tcPr>
            <w:tcW w:w="1298" w:type="dxa"/>
            <w:vAlign w:val="center"/>
          </w:tcPr>
          <w:p w14:paraId="5BB249F1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坚持安全教育，无安全事故</w:t>
            </w:r>
          </w:p>
        </w:tc>
        <w:tc>
          <w:tcPr>
            <w:tcW w:w="1269" w:type="dxa"/>
            <w:vAlign w:val="center"/>
          </w:tcPr>
          <w:p w14:paraId="54B7E676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良好</w:t>
            </w:r>
          </w:p>
        </w:tc>
        <w:tc>
          <w:tcPr>
            <w:tcW w:w="699" w:type="dxa"/>
            <w:vAlign w:val="center"/>
          </w:tcPr>
          <w:p w14:paraId="5CB64A1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006A718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4C6D29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tcBorders>
              <w:left w:val="single" w:color="auto" w:sz="4" w:space="0"/>
            </w:tcBorders>
            <w:vAlign w:val="center"/>
          </w:tcPr>
          <w:p w14:paraId="4F2AFDD1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师生及群众满意度</w:t>
            </w:r>
          </w:p>
        </w:tc>
        <w:tc>
          <w:tcPr>
            <w:tcW w:w="1298" w:type="dxa"/>
            <w:vAlign w:val="center"/>
          </w:tcPr>
          <w:p w14:paraId="6ABEB3E2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  <w:t>持续开展加强家校联系活动，把教学放在首位，一切为教学服务，办社会、家长、学生满意教育。</w:t>
            </w:r>
            <w:r>
              <w:rPr>
                <w:rFonts w:hint="eastAsia" w:ascii="宋体" w:hAnsi="宋体" w:eastAsia="宋体" w:cs="宋体"/>
                <w:sz w:val="14"/>
                <w:szCs w:val="14"/>
                <w:lang w:val="en-US" w:eastAsia="zh-CN"/>
              </w:rPr>
              <w:t>满意度98%以上</w:t>
            </w:r>
          </w:p>
        </w:tc>
        <w:tc>
          <w:tcPr>
            <w:tcW w:w="1269" w:type="dxa"/>
            <w:vAlign w:val="center"/>
          </w:tcPr>
          <w:p w14:paraId="31B5B32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98%</w:t>
            </w:r>
          </w:p>
        </w:tc>
        <w:tc>
          <w:tcPr>
            <w:tcW w:w="699" w:type="dxa"/>
            <w:vAlign w:val="center"/>
          </w:tcPr>
          <w:p w14:paraId="41D3F37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19FFC8C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41230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tcBorders>
              <w:left w:val="single" w:color="auto" w:sz="4" w:space="0"/>
            </w:tcBorders>
            <w:vAlign w:val="center"/>
          </w:tcPr>
          <w:p w14:paraId="63B7EC90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严格按预算执行各项经济活动</w:t>
            </w:r>
          </w:p>
        </w:tc>
        <w:tc>
          <w:tcPr>
            <w:tcW w:w="1298" w:type="dxa"/>
            <w:vAlign w:val="center"/>
          </w:tcPr>
          <w:p w14:paraId="15ECA8D3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严格按预算执行</w:t>
            </w:r>
          </w:p>
        </w:tc>
        <w:tc>
          <w:tcPr>
            <w:tcW w:w="1269" w:type="dxa"/>
            <w:vAlign w:val="center"/>
          </w:tcPr>
          <w:p w14:paraId="3C328246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严格按预算执行，坚持无预算不支出。无偏差</w:t>
            </w:r>
          </w:p>
        </w:tc>
        <w:tc>
          <w:tcPr>
            <w:tcW w:w="699" w:type="dxa"/>
            <w:vAlign w:val="center"/>
          </w:tcPr>
          <w:p w14:paraId="42BD2B9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786F430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single" w:color="auto" w:sz="4" w:space="0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 w14:paraId="4C2510AC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对社会发展可能造成的负面影响</w:t>
            </w:r>
          </w:p>
        </w:tc>
        <w:tc>
          <w:tcPr>
            <w:tcW w:w="1298" w:type="dxa"/>
            <w:vAlign w:val="center"/>
          </w:tcPr>
          <w:p w14:paraId="09361E4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</w:t>
            </w:r>
          </w:p>
        </w:tc>
        <w:tc>
          <w:tcPr>
            <w:tcW w:w="1269" w:type="dxa"/>
            <w:vAlign w:val="center"/>
          </w:tcPr>
          <w:p w14:paraId="32DCD30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完成</w:t>
            </w:r>
          </w:p>
        </w:tc>
        <w:tc>
          <w:tcPr>
            <w:tcW w:w="699" w:type="dxa"/>
            <w:vAlign w:val="center"/>
          </w:tcPr>
          <w:p w14:paraId="765229A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4012A71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6A85C0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left w:val="single" w:color="auto" w:sz="4" w:space="0"/>
            </w:tcBorders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14:paraId="304051C0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对自然生态环境造成的负面影响</w:t>
            </w:r>
          </w:p>
        </w:tc>
        <w:tc>
          <w:tcPr>
            <w:tcW w:w="1298" w:type="dxa"/>
            <w:vAlign w:val="center"/>
          </w:tcPr>
          <w:p w14:paraId="789CDCB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</w:t>
            </w:r>
          </w:p>
        </w:tc>
        <w:tc>
          <w:tcPr>
            <w:tcW w:w="1269" w:type="dxa"/>
            <w:vAlign w:val="center"/>
          </w:tcPr>
          <w:p w14:paraId="4E354EE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完成</w:t>
            </w:r>
          </w:p>
        </w:tc>
        <w:tc>
          <w:tcPr>
            <w:tcW w:w="699" w:type="dxa"/>
            <w:vAlign w:val="center"/>
          </w:tcPr>
          <w:p w14:paraId="6C36DE67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6B31F2A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14ED7F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99.5</w:t>
            </w: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 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278AF144">
      <w:pP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br w:type="page"/>
      </w: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11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C2956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4B9394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F49710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50DEC1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F7B7A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2E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9D5CE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A6941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66FD0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21334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CEE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0F41D2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62F70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76686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ED4F5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1412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D69FB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BC31E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DC861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5177C6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7D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A8A9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ACF2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F4A07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79721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293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620D8F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CFE771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82C2D1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090E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724A96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5D03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C21687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D16C3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94C7D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841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D9AB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8001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3D7B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4579AB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E44AA5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0736A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3AFCF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322DF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BEADF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50DC120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3928C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D883D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58485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41D412C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7423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42360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BA194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80F7A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93F24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C0C58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76658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D83AE1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B84A5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45E24D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3C8CE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8753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101F8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99C14A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665EFF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673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B1D63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C76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B5E5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5BCFF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7BC48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115F4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63BB8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49307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B7FD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467C35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6C21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CA75D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1BA99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BF7EB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15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ED169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648E9A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26F5C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03E0B68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4DAE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E80B33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B45A60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506B9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E0932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1BFEC1E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8F3A1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96F13D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A57C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44D5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24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9FB86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C3FF7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4257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07224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FDEFD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010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8424C6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0F78E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ED72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4471F21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0DB72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5FCC67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FD5B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7CE9A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2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4375E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C8D4EA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6C89EE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703DA9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AF12B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7728D0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44A06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371E294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3FF5E0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0F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7F77C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327F2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5A079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8B84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E84FB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7CE565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8CED8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ED607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F5D53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D05014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D8FEFD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29BFD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3443E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005F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61DC1F6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15A67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9BCB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CB491C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D7976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C28E6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2AC4F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67BB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40DCB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3C982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33CE52E7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5620A9CC">
      <w:pPr>
        <w:spacing w:line="240" w:lineRule="auto"/>
        <w:ind w:firstLine="88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汨罗市白水镇越江中学</w:t>
      </w: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整体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支出绩效自评报告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  <w:t>部门（单位）名称：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5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7F349401">
      <w:pPr>
        <w:spacing w:before="130" w:line="221" w:lineRule="auto"/>
        <w:jc w:val="center"/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4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汨罗市白水镇越江中学</w:t>
      </w:r>
    </w:p>
    <w:p w14:paraId="34BF35CA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一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、部门（单位）基本情况</w:t>
      </w:r>
    </w:p>
    <w:p w14:paraId="2C8B5157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部门职责</w:t>
      </w:r>
    </w:p>
    <w:p w14:paraId="444AC0D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坚持社会主义办学方向，贯彻执行党和国家教育工作的方针，政策和法律，法规，依照学校教育指导纲要，认真贯彻执行《学校工作规程》和《学校工作条例》。以办学质量得到家长和社会的认可为目标，培养德智体美劳全面和谐发展的社会主义建设者和接班人。</w:t>
      </w:r>
    </w:p>
    <w:p w14:paraId="1C37D92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坚持教学育人，管理育人，服务育人，以学校，学生发展为本的原则，坚持学校教育与家庭教育，社会教育的有机结合，用实事求是的思维方法理解并实施“以德育为核心，以创新精神和实践能力为重点的学校教育”，切实加强和不断改进学校德育工作。坚持学校工作以教育教学为主，遵循教育规律与学生认知特点组织教育教学活动，大力提高教育教学质量，同时面向学生家长提供育人指导。</w:t>
      </w:r>
    </w:p>
    <w:p w14:paraId="497F0ED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坚持管好、用好学校经费，提高办学效益。严格执行国家财经纪律和财务制度，对核定的办学经费统筹使用，努力改善教职工的工作，学习和生活条件。</w:t>
      </w:r>
    </w:p>
    <w:p w14:paraId="32B56C7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坚持学校校务公开，深入师生，关爱师生，充分发挥教职员工在学校管理中的主人翁作用，坚持民主管理和民主监督，团结，依靠师生员工办好学校。</w:t>
      </w:r>
    </w:p>
    <w:p w14:paraId="64F7FC8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5.</w:t>
      </w:r>
      <w:r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坚持政治理论学习和业务能力培养，坚持建立正确有效的学校价值体系和园所文化，使学校管理与教育教学活动各项工作都在文化的意义上展开，不断完善和提高学校的整体开象和办学水平，起引领示范的带头作用。</w:t>
      </w:r>
    </w:p>
    <w:p w14:paraId="5C547D5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6.</w:t>
      </w:r>
      <w:r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完成上级单位下达的各项任务和指标。</w:t>
      </w:r>
    </w:p>
    <w:p w14:paraId="70FAA2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</w:rPr>
        <w:t>机构设置</w:t>
      </w:r>
    </w:p>
    <w:p w14:paraId="2C0569F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汨罗市白水镇越江中学内设机构包括：校长室，支部书记、党建办公室，学校办公室，教研室，保健室，工会，后勤财务室，学生食堂。</w:t>
      </w: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二、一般公共预算财政拨款支出情况</w:t>
      </w:r>
    </w:p>
    <w:p w14:paraId="2B8E5FFE">
      <w:pPr>
        <w:pStyle w:val="13"/>
        <w:spacing w:line="600" w:lineRule="exact"/>
        <w:ind w:firstLine="643"/>
        <w:jc w:val="both"/>
        <w:rPr>
          <w:rFonts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基本支出情况</w:t>
      </w:r>
    </w:p>
    <w:p w14:paraId="79CC5AB3"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2024年度一般公共预算财政拨款基本支出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2516.2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万元，其中：</w:t>
      </w:r>
    </w:p>
    <w:p w14:paraId="76F72B08">
      <w:pPr>
        <w:pStyle w:val="14"/>
        <w:spacing w:line="60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人员经费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2249.95</w:t>
      </w:r>
      <w:r>
        <w:rPr>
          <w:rFonts w:ascii="Times New Roman" w:hAnsi="Times New Roman" w:eastAsia="仿宋_GB2312" w:cs="Times New Roman"/>
          <w:sz w:val="32"/>
          <w:szCs w:val="32"/>
        </w:rPr>
        <w:t>万元，占基本支出的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89.42</w:t>
      </w:r>
      <w:r>
        <w:rPr>
          <w:rFonts w:ascii="Times New Roman" w:hAnsi="Times New Roman" w:eastAsia="仿宋_GB2312" w:cs="Times New Roman"/>
          <w:sz w:val="32"/>
          <w:szCs w:val="32"/>
        </w:rPr>
        <w:t>%,主要包括基本工资、津贴补贴、奖金、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伙食补助费、绩效工资、机关事业单位基本养老保险缴费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、职工基本医疗保险缴费、其他社会保障缴费、其他工资福利支出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510D6936">
      <w:pPr>
        <w:pStyle w:val="13"/>
        <w:spacing w:line="600" w:lineRule="exact"/>
        <w:ind w:firstLine="643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公用经费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266.25</w:t>
      </w:r>
      <w:r>
        <w:rPr>
          <w:rFonts w:ascii="Times New Roman" w:hAnsi="Times New Roman" w:eastAsia="仿宋_GB2312" w:cs="Times New Roman"/>
          <w:sz w:val="32"/>
          <w:szCs w:val="32"/>
        </w:rPr>
        <w:t>万元，占基本支出的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10.58</w:t>
      </w:r>
      <w:r>
        <w:rPr>
          <w:rFonts w:ascii="Times New Roman" w:hAnsi="Times New Roman" w:eastAsia="仿宋_GB2312" w:cs="Times New Roman"/>
          <w:sz w:val="32"/>
          <w:szCs w:val="32"/>
        </w:rPr>
        <w:t>%，主要包括办公费、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印刷费、培训费、专用材料费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00657FCB">
      <w:pPr>
        <w:pStyle w:val="13"/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项目支出情况</w:t>
      </w:r>
    </w:p>
    <w:p w14:paraId="312F757E">
      <w:pPr>
        <w:pStyle w:val="13"/>
        <w:numPr>
          <w:numId w:val="0"/>
        </w:numPr>
        <w:spacing w:line="600" w:lineRule="exact"/>
        <w:jc w:val="both"/>
        <w:rPr>
          <w:rFonts w:hint="default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 xml:space="preserve">         本年度无项目支出。</w:t>
      </w:r>
    </w:p>
    <w:p w14:paraId="516D3C52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三、政府性基金预算财政拨款支出情况</w:t>
      </w:r>
    </w:p>
    <w:p w14:paraId="04B9DDD9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  <w:r>
        <w:rPr>
          <w:rFonts w:hint="eastAsia" w:ascii="仿宋" w:hAnsi="仿宋" w:eastAsia="仿宋" w:cs="仿宋"/>
          <w:sz w:val="32"/>
          <w:szCs w:val="32"/>
        </w:rPr>
        <w:t>政府性基金预算收入支出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2A755169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四、国有资本经营预算财政拨款支出情况</w:t>
      </w:r>
    </w:p>
    <w:p w14:paraId="0FB7795F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  <w:r>
        <w:rPr>
          <w:rFonts w:hint="eastAsia" w:ascii="仿宋" w:hAnsi="仿宋" w:eastAsia="仿宋" w:cs="仿宋"/>
          <w:sz w:val="32"/>
          <w:szCs w:val="32"/>
        </w:rPr>
        <w:t>国有资本经营预算财政拨款收入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支出。</w:t>
      </w:r>
    </w:p>
    <w:p w14:paraId="07F1EBC0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五、社会保险基金预算支出情况</w:t>
      </w:r>
    </w:p>
    <w:p w14:paraId="725D2B48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会保险基金预算支出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03087A41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六、部门整体支出绩效情况</w:t>
      </w:r>
    </w:p>
    <w:p w14:paraId="1CC4E764">
      <w:pPr>
        <w:widowControl/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（一）绩效评价结果</w:t>
      </w:r>
    </w:p>
    <w:p w14:paraId="13B9EC47">
      <w:pPr>
        <w:widowControl/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　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　对照绩效自评相关文件要求，我校从预算执行、预算管理、履职效能、社会效应等方面对2024年部门整体支出绩效开展了评价。绩效自评综合得分为99.5分，评价等级为“优”。</w:t>
      </w:r>
    </w:p>
    <w:p w14:paraId="5D77FD8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643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000000"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年度绩效目标完成情况</w:t>
      </w:r>
    </w:p>
    <w:p w14:paraId="4AD9329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textAlignment w:val="baseline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  <w:t>1.办学条件改善。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2024年暑假，学校新建校园道路，解决人车分流难题。争取项目支持二栋进行维修改造，建好配电间，充电桩，校园面貌又发生明显改变。下半年，建成图书馆、校史馆、禁毒宣传陈列室、劳动实践基地，充分发挥场馆功能，育人增质提效。寒假，又建成了女生宿舍消防通道，解决了压在心头多年的安全隐患。</w:t>
      </w:r>
    </w:p>
    <w:p w14:paraId="5256B95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textAlignment w:val="baseline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  <w:t>2.教育质量稳步发展。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在市教体局2023~2024学年度教育质量评价，初中、小学部双双进入先进行列。同时有张霞老师任教的历史进入市优秀行列，冯敏老师任教的数学科、刘献老师任教的化学科进入市教育质量评价先进行列。在去年的中考中，48名同学录取一二中、113名学生录取普高。在学科能力竞赛活动中，越江学校小学部周碧亚、向宇妍等老师辅导学生数学科4人次获奖。中学部由胡汨、戴佳玲、赵莹、陈述、叶鑫等老师辅导的语文、化学、数学学科共有16人次获奖，学科竞赛成绩再创新高。在各级各类组织的教师论文、微视频、科技创新、主题征文等活动中100多人次获奖。</w:t>
      </w:r>
    </w:p>
    <w:p w14:paraId="60F12643">
      <w:pPr>
        <w:pStyle w:val="8"/>
        <w:keepNext w:val="0"/>
        <w:keepLines w:val="0"/>
        <w:pageBreakBefore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textAlignment w:val="baseline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  <w:t>3.办学成绩显著。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镇学校获得市教体局2024年度目标管理先进单位荣誉称号，13个单项进入先进行列。三星小学获得岳阳市语言文字合格校。2024年，越江学校先后获得汨罗市三八红旗单位，国家青少年足球特色学校，岳阳市语言文字示范，湖南省依法治校示范校，市教育工委先进党组织，市教体局教育质量先进单位等荣誉称号。教育振兴|湖南汨罗：“白水江畔花正俏”在中国教育网发布。</w:t>
      </w:r>
    </w:p>
    <w:p w14:paraId="2AE7D75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2" w:line="600" w:lineRule="exact"/>
        <w:ind w:leftChars="0" w:right="13" w:rightChars="0" w:firstLine="643" w:firstLineChars="200"/>
        <w:jc w:val="both"/>
        <w:textAlignment w:val="baseline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cs="仿宋"/>
          <w:b/>
          <w:bCs/>
          <w:color w:val="000000"/>
          <w:kern w:val="0"/>
          <w:sz w:val="32"/>
          <w:szCs w:val="32"/>
          <w:lang w:val="en-US" w:eastAsia="zh-CN" w:bidi="ar-SA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  <w:t>学生健康人格发展。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（1）推进加强未成年人保护 ，“不让一个孩子掉队”工程。常态化开展防性侵、 防欺凌、 防自杀工作，对 8 类重点关注学生动态摸排、主动对接政府和部门单位进行对口帮扶等途径，切实筑牢 “未成年保护”防线。（2）切实加强学生心理健康教育。对每一类学生做到 信息准、底子清，早预防，早发现，早处理，切实保护未成年人健康成长。全期开展各类讲座教育10余次，覆盖3000多人次。去年暑假，白水镇妇联、团委、唐山村支两委又组织辖区少年儿童全天候托管，镇学校、派出所也安排了教师、公安干警走进课堂，这样既加强安全管理又实时辅导，真正让每一个孩子感受了温情、温暖，促进其健康成长。（3）关注 “舌尖上的安全”。大力开展校园食品安全隐患排查整治和食堂问题整治专项行动，为学生健康成长保驾护航。（4）全面落实学生资助工作。 全 年资助学生600余人次、30余万元资助金全部发放到位，减免家庭困难学生生活费、课后延时费等费用，努力践行了“绝不让一个学生因家庭经济困难失学” 的庄严承诺。</w:t>
      </w:r>
    </w:p>
    <w:p w14:paraId="4D33A17F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30E49DA9">
      <w:pPr>
        <w:adjustRightInd w:val="0"/>
        <w:snapToGrid w:val="0"/>
        <w:spacing w:line="360" w:lineRule="auto"/>
        <w:ind w:firstLine="640" w:firstLineChars="200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一是各相关部门对绩效评价工作的重要性认识有待进一步提高；二是项目支出绩效评价指标体系不完善，给考核评价及评分工作带来一定的困难。针对上述存在的问题，我校已作出工作要求，加强对项目开展的可行性、必要性做好充分调研，依据实际情况做好经费支出预算，制定合理的项目实施计划；项目实施前期，做好各项准备工作；在实施阶段，做好监督，跟踪管理；实施后及时总结自评。</w:t>
      </w:r>
    </w:p>
    <w:p w14:paraId="21E6073D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 w14:paraId="4556DA69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（一）细化预算编制工作，认真做好预算的编制。进一步加强预算绩效管理意识，严格按照预算编制的相关制度和要求进行预算编制，优先保障固定性的、相对刚性的费用支出项目，进一步提高预算编制的科学性和可行性。</w:t>
      </w:r>
    </w:p>
    <w:p w14:paraId="02716280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（二）加强财务管理，严格财务审核。在费用报账支付时，按照预算编制时的金额和用途进行资金使用审核、列报支付、财务核算，严肃财经纪律。</w:t>
      </w:r>
    </w:p>
    <w:p w14:paraId="2E4A36B2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（三）加强绩效评价结果的应用，促进预算项目规范有序开展。将绩效评价结果及时通报，对于评价结果较好的项目予以支持，激励其更好地开展工作；对评价发现问题、达不到绩效目标或评价结果较差的项目予以纠正，充分发挥财政资金使用效益。</w:t>
      </w:r>
    </w:p>
    <w:p w14:paraId="37ACA1CA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504F8D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按财政要求公开</w:t>
      </w:r>
    </w:p>
    <w:p w14:paraId="03E13B94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</w:t>
      </w:r>
      <w:bookmarkStart w:id="0" w:name="_GoBack"/>
      <w:bookmarkEnd w:id="0"/>
      <w:r>
        <w:rPr>
          <w:rFonts w:hint="eastAsia" w:eastAsia="黑体"/>
          <w:kern w:val="0"/>
          <w:sz w:val="32"/>
          <w:szCs w:val="32"/>
          <w:lang w:eastAsia="zh-CN"/>
        </w:rPr>
        <w:t>情况</w:t>
      </w:r>
    </w:p>
    <w:p w14:paraId="3C7E2132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、政府性基金预算财政拨款支出情况表</w:t>
      </w:r>
    </w:p>
    <w:p w14:paraId="0F7D610A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5、国有资本经营预算财政拨款支出情况表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96A87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BBE368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B05321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1B7A98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6E04F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877AEB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8DD6B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12EF2D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40038B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486EDC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396B61B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EC8C4B6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86B8A0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6BBCD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729" w:firstLineChars="228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</w:p>
    <w:sectPr>
      <w:footerReference r:id="rId8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5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5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5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5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000000"/>
    <w:rsid w:val="01AF3811"/>
    <w:rsid w:val="03795BF7"/>
    <w:rsid w:val="086E756B"/>
    <w:rsid w:val="0ACF37E5"/>
    <w:rsid w:val="0B400BC6"/>
    <w:rsid w:val="0E68228D"/>
    <w:rsid w:val="0EA6787F"/>
    <w:rsid w:val="15276E52"/>
    <w:rsid w:val="178B0954"/>
    <w:rsid w:val="19D32FBC"/>
    <w:rsid w:val="1E6A4395"/>
    <w:rsid w:val="25557A3D"/>
    <w:rsid w:val="26EA5ED7"/>
    <w:rsid w:val="27A93B82"/>
    <w:rsid w:val="2AE00186"/>
    <w:rsid w:val="308216BE"/>
    <w:rsid w:val="34FE1149"/>
    <w:rsid w:val="3A550786"/>
    <w:rsid w:val="3AEA70D7"/>
    <w:rsid w:val="3B7A130F"/>
    <w:rsid w:val="494A1329"/>
    <w:rsid w:val="4F8B6063"/>
    <w:rsid w:val="52FA3F96"/>
    <w:rsid w:val="55850F17"/>
    <w:rsid w:val="57AE6D93"/>
    <w:rsid w:val="58E04635"/>
    <w:rsid w:val="5E3C4FFE"/>
    <w:rsid w:val="5FB623A7"/>
    <w:rsid w:val="6BB1387F"/>
    <w:rsid w:val="6D075A1F"/>
    <w:rsid w:val="6E3851B0"/>
    <w:rsid w:val="76E539FB"/>
    <w:rsid w:val="784167CA"/>
    <w:rsid w:val="795F7B03"/>
    <w:rsid w:val="7C9A69B9"/>
    <w:rsid w:val="7CFA7150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Body Text Indent"/>
    <w:basedOn w:val="1"/>
    <w:next w:val="4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4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5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next w:val="4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3">
    <w:name w:val="List Paragraph"/>
    <w:basedOn w:val="1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552</Words>
  <Characters>585</Characters>
  <TotalTime>1</TotalTime>
  <ScaleCrop>false</ScaleCrop>
  <LinksUpToDate>false</LinksUpToDate>
  <CharactersWithSpaces>632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杨奇</cp:lastModifiedBy>
  <cp:lastPrinted>2024-05-21T14:05:00Z</cp:lastPrinted>
  <dcterms:modified xsi:type="dcterms:W3CDTF">2025-09-27T04:46:50Z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2052-12.1.0.22529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eyJoZGlkIjoiNWQ2YWUxYzNjZmQyY2FkYTcyNTQ5MDJjYmFkMTU4OWEiLCJ1c2VySWQiOiI3ODU3MzgzNTcifQ==</vt:lpwstr>
  </property>
</Properties>
</file>