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1.75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1.75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47.91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338.33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14.09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54.32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28.15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39.38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5.67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130.25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159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：范巍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2025.9.20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13787999646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</w:rPr>
              <w:t>汨罗市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楚雄</w:t>
            </w:r>
            <w:r>
              <w:rPr>
                <w:rFonts w:hint="eastAsia" w:ascii="仿宋_GB2312" w:hAnsi="宋体" w:eastAsia="仿宋_GB2312" w:cs="宋体"/>
              </w:rPr>
              <w:t>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778.14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1582.8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1582.8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778.14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1582.8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778.14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1582.8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在籍学生读书率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9.8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初升高率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80%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52%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6.5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</w:rPr>
              <w:t>完成各项任务指标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</w:rPr>
              <w:t>经济效益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完成基础教育，收支平衡。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教学秩序良好，家长满意度高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9.8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1C60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C215F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7F2028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BE659B1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承担社会责任，注重对教职工教学行为的督查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23FBFE4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9D38CA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4AE4038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5B6D081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31E39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ACCB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确保全年不发生一起重大安全事故，师生犯罪率为零，校园安全、稳定、文明、和谐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优化校园生态环境，学校绿化覆盖率达标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学校教学质量提高情况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A3ADB9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学生、家长、教师满意度</w:t>
            </w:r>
          </w:p>
          <w:p w14:paraId="1ED5E4C3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>汨罗市楚雄中学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76EA0AD3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汨罗市楚雄中学属汨罗市教育体育局举办的公办普通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初</w:t>
      </w:r>
      <w:r>
        <w:rPr>
          <w:rFonts w:hint="eastAsia" w:eastAsia="仿宋_GB2312"/>
          <w:kern w:val="0"/>
          <w:sz w:val="32"/>
          <w:szCs w:val="32"/>
          <w:lang w:eastAsia="zh-CN"/>
        </w:rPr>
        <w:t>中教育学校，为财政全额拨款单位，执行政府会计制度，属汨罗市二级事业单位。</w:t>
      </w:r>
    </w:p>
    <w:p w14:paraId="4010480D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1、主要职责：</w:t>
      </w:r>
    </w:p>
    <w:p w14:paraId="2778B771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实施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初</w:t>
      </w:r>
      <w:r>
        <w:rPr>
          <w:rFonts w:hint="eastAsia" w:eastAsia="仿宋_GB2312"/>
          <w:kern w:val="0"/>
          <w:sz w:val="32"/>
          <w:szCs w:val="32"/>
          <w:lang w:eastAsia="zh-CN"/>
        </w:rPr>
        <w:t>中学历教育,促进基础教育发展。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14:paraId="67BE1B73">
      <w:pPr>
        <w:spacing w:line="6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2、机构设置：</w:t>
      </w:r>
    </w:p>
    <w:p w14:paraId="13E992B5">
      <w:pPr>
        <w:spacing w:line="600" w:lineRule="exact"/>
        <w:ind w:firstLine="640" w:firstLineChars="200"/>
        <w:jc w:val="left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单位内设机构六个，分别为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办</w:t>
      </w:r>
      <w:r>
        <w:rPr>
          <w:rFonts w:hint="eastAsia" w:eastAsia="仿宋_GB2312"/>
          <w:kern w:val="0"/>
          <w:sz w:val="32"/>
          <w:szCs w:val="32"/>
          <w:lang w:eastAsia="zh-CN"/>
        </w:rPr>
        <w:t>公室、教务处、德育处、总务处、团委会、工会。</w:t>
      </w:r>
    </w:p>
    <w:p w14:paraId="0DF959B7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21ADA70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1582.8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万元，其中：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1024.47</w:t>
      </w:r>
      <w:r>
        <w:rPr>
          <w:rFonts w:hint="eastAsia" w:ascii="仿宋" w:hAnsi="仿宋" w:eastAsia="仿宋" w:cs="仿宋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75.19</w:t>
      </w:r>
      <w:r>
        <w:rPr>
          <w:rFonts w:hint="eastAsia" w:ascii="仿宋" w:hAnsi="仿宋" w:eastAsia="仿宋" w:cs="仿宋"/>
          <w:sz w:val="32"/>
          <w:szCs w:val="32"/>
        </w:rPr>
        <w:t>%,主要包括基本工资、津贴补贴、奖金、绩效工资、机关事业单位基本养老保险缴费、职工基本医疗保障缴费、其他社会保障缴费、住房公积金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其他工资福利支出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0657FCB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4C4C636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本年度无项目支出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093502D8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我单位本年度无政府性基金预算支出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43DA62BC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我单位本年度无经营预算支出。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5BAED94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我单位本年度无社会保险基金预算支出。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支出的绩效目标完成情况，实现产出和取得效益的情况。围绕部门职责、行业发展规划，以预算资金管理为主线，总结部门资产管理和开展业</w:t>
      </w:r>
      <w:r>
        <w:rPr>
          <w:rFonts w:hint="eastAsia" w:eastAsia="仿宋_GB2312"/>
          <w:kern w:val="0"/>
          <w:sz w:val="32"/>
          <w:szCs w:val="32"/>
          <w:lang w:eastAsia="zh-CN"/>
        </w:rPr>
        <w:t>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C3F4141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 xml:space="preserve">1、财务工作是一个单位的命脉，创新机制正逐步加强，要求财务工作水平越来越高。 </w:t>
      </w:r>
    </w:p>
    <w:p w14:paraId="6E0606EC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2、学校经费不足，导致优秀教师外流。</w:t>
      </w:r>
    </w:p>
    <w:p w14:paraId="2221102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3、各系统间数据填报存在一定的差异性。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17650D0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1、进一步完善财务制度，规范财经纪律，加强财务管理，提高财务工作水平。</w:t>
      </w:r>
    </w:p>
    <w:p w14:paraId="0637835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2、加强财产管理，切实做到账卡相符、账物相符。</w:t>
      </w:r>
    </w:p>
    <w:p w14:paraId="76A2161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3、充实财务人员，加强财务人员培训，不断提高财务人员素质。</w:t>
      </w:r>
    </w:p>
    <w:p w14:paraId="2404E905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4、希望上级部门优化各系统间的数据联系，使各系统间数据可以相互比对，提取。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F2642A2">
      <w:p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部门整体支出绩效自评依法依规公开。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  <w:bookmarkStart w:id="0" w:name="_GoBack"/>
      <w:bookmarkEnd w:id="0"/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6140F3"/>
    <w:rsid w:val="01AF3811"/>
    <w:rsid w:val="02092C94"/>
    <w:rsid w:val="03795BF7"/>
    <w:rsid w:val="05F45A09"/>
    <w:rsid w:val="074B3407"/>
    <w:rsid w:val="086E756B"/>
    <w:rsid w:val="099866AB"/>
    <w:rsid w:val="0ACF37E5"/>
    <w:rsid w:val="0B400BC6"/>
    <w:rsid w:val="0B845139"/>
    <w:rsid w:val="0E68228D"/>
    <w:rsid w:val="0EA6787F"/>
    <w:rsid w:val="12274A70"/>
    <w:rsid w:val="151B08BC"/>
    <w:rsid w:val="15276E52"/>
    <w:rsid w:val="153577CF"/>
    <w:rsid w:val="17654071"/>
    <w:rsid w:val="178B0954"/>
    <w:rsid w:val="185145F5"/>
    <w:rsid w:val="19D32FBC"/>
    <w:rsid w:val="1E0F13E1"/>
    <w:rsid w:val="1E6A4395"/>
    <w:rsid w:val="20FC3C98"/>
    <w:rsid w:val="22B1460E"/>
    <w:rsid w:val="232748D0"/>
    <w:rsid w:val="23BC326A"/>
    <w:rsid w:val="25557A3D"/>
    <w:rsid w:val="260E1D77"/>
    <w:rsid w:val="26EA5ED7"/>
    <w:rsid w:val="27A93B82"/>
    <w:rsid w:val="289522DC"/>
    <w:rsid w:val="2A3A313B"/>
    <w:rsid w:val="2AE00186"/>
    <w:rsid w:val="2AE80DE9"/>
    <w:rsid w:val="2E7D4CFC"/>
    <w:rsid w:val="2EED0A33"/>
    <w:rsid w:val="308216BE"/>
    <w:rsid w:val="31DB0CE9"/>
    <w:rsid w:val="34FE1149"/>
    <w:rsid w:val="359A7184"/>
    <w:rsid w:val="36DD37CC"/>
    <w:rsid w:val="3A550786"/>
    <w:rsid w:val="3AEA70D7"/>
    <w:rsid w:val="3B7A130F"/>
    <w:rsid w:val="3C027831"/>
    <w:rsid w:val="3D0A2E41"/>
    <w:rsid w:val="3E371A14"/>
    <w:rsid w:val="3FA255B3"/>
    <w:rsid w:val="40C854ED"/>
    <w:rsid w:val="43655275"/>
    <w:rsid w:val="44A45929"/>
    <w:rsid w:val="494A1329"/>
    <w:rsid w:val="4A216F0C"/>
    <w:rsid w:val="4F8B6063"/>
    <w:rsid w:val="52FA3F96"/>
    <w:rsid w:val="54302D35"/>
    <w:rsid w:val="55850F17"/>
    <w:rsid w:val="57342B3C"/>
    <w:rsid w:val="57723665"/>
    <w:rsid w:val="57AE6D93"/>
    <w:rsid w:val="582E3A30"/>
    <w:rsid w:val="58E04635"/>
    <w:rsid w:val="5A026F22"/>
    <w:rsid w:val="5DC50992"/>
    <w:rsid w:val="5E3C4FFE"/>
    <w:rsid w:val="5F184760"/>
    <w:rsid w:val="5FB623A7"/>
    <w:rsid w:val="6BB1387F"/>
    <w:rsid w:val="6CD52274"/>
    <w:rsid w:val="6D075A1F"/>
    <w:rsid w:val="6E3851B0"/>
    <w:rsid w:val="712E63F7"/>
    <w:rsid w:val="729624A5"/>
    <w:rsid w:val="74143FCA"/>
    <w:rsid w:val="75862CA5"/>
    <w:rsid w:val="76C23869"/>
    <w:rsid w:val="76E539FB"/>
    <w:rsid w:val="784167CA"/>
    <w:rsid w:val="786A065C"/>
    <w:rsid w:val="78F65A4C"/>
    <w:rsid w:val="795F7B03"/>
    <w:rsid w:val="7C8A4E29"/>
    <w:rsid w:val="7CFA7150"/>
    <w:rsid w:val="7E5F01CB"/>
    <w:rsid w:val="7ED67756"/>
    <w:rsid w:val="7EE30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1950</Words>
  <Characters>2097</Characters>
  <TotalTime>16</TotalTime>
  <ScaleCrop>false</ScaleCrop>
  <LinksUpToDate>false</LinksUpToDate>
  <CharactersWithSpaces>2231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壹壹</cp:lastModifiedBy>
  <cp:lastPrinted>2024-05-21T14:05:00Z</cp:lastPrinted>
  <dcterms:modified xsi:type="dcterms:W3CDTF">2025-09-25T00:47:50Z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eyJoZGlkIjoiYTYxMmJlN2U3ODJlMWJiNzNiMzYwZDA0NTcyOTUxMzgiLCJ1c2VySWQiOiI0NzYxMTEyMjcifQ==</vt:lpwstr>
  </property>
</Properties>
</file>