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shd w:val="clear" w:color="auto" w:fill="auto"/>
            <w:vAlign w:val="center"/>
          </w:tcPr>
          <w:p w14:paraId="4056B26D">
            <w:pPr>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7</w:t>
            </w:r>
            <w:r>
              <w:rPr>
                <w:rFonts w:hint="eastAsia" w:ascii="仿宋_GB2312" w:eastAsia="仿宋_GB2312"/>
                <w:lang w:val="en-US" w:eastAsia="zh-CN"/>
              </w:rPr>
              <w:t>9</w:t>
            </w:r>
          </w:p>
        </w:tc>
        <w:tc>
          <w:tcPr>
            <w:tcW w:w="2039" w:type="dxa"/>
            <w:gridSpan w:val="2"/>
            <w:shd w:val="clear" w:color="auto" w:fill="auto"/>
            <w:vAlign w:val="center"/>
          </w:tcPr>
          <w:p w14:paraId="1D47B169">
            <w:pPr>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78</w:t>
            </w:r>
          </w:p>
        </w:tc>
        <w:tc>
          <w:tcPr>
            <w:tcW w:w="1983" w:type="dxa"/>
            <w:gridSpan w:val="2"/>
            <w:shd w:val="clear" w:color="auto" w:fill="auto"/>
            <w:vAlign w:val="center"/>
          </w:tcPr>
          <w:p w14:paraId="06F2846E">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w:t>
            </w:r>
            <w:r>
              <w:rPr>
                <w:rFonts w:hint="eastAsia" w:ascii="仿宋_GB2312" w:eastAsia="仿宋_GB2312"/>
                <w:lang w:val="en-US" w:eastAsia="zh-CN"/>
              </w:rPr>
              <w:t>8</w:t>
            </w:r>
            <w:r>
              <w:rPr>
                <w:rFonts w:hint="eastAsia" w:ascii="仿宋_GB2312" w:eastAsia="仿宋_GB2312"/>
                <w:lang w:eastAsia="zh-CN"/>
              </w:rPr>
              <w:t>%</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p>
        </w:tc>
        <w:tc>
          <w:tcPr>
            <w:tcW w:w="2039" w:type="dxa"/>
            <w:gridSpan w:val="2"/>
            <w:vAlign w:val="center"/>
          </w:tcPr>
          <w:p w14:paraId="1D6514EA">
            <w:pPr>
              <w:spacing w:line="240" w:lineRule="auto"/>
              <w:ind w:firstLine="420"/>
              <w:jc w:val="center"/>
              <w:rPr>
                <w:rFonts w:ascii="仿宋_GB2312" w:eastAsia="仿宋_GB2312"/>
                <w:kern w:val="0"/>
              </w:rPr>
            </w:pPr>
          </w:p>
        </w:tc>
        <w:tc>
          <w:tcPr>
            <w:tcW w:w="1983" w:type="dxa"/>
            <w:gridSpan w:val="2"/>
            <w:vAlign w:val="center"/>
          </w:tcPr>
          <w:p w14:paraId="7DFA6482">
            <w:pPr>
              <w:spacing w:line="240" w:lineRule="auto"/>
              <w:ind w:firstLine="420"/>
              <w:jc w:val="center"/>
              <w:rPr>
                <w:rFonts w:ascii="仿宋_GB2312" w:eastAsia="仿宋_GB2312"/>
                <w:kern w:val="0"/>
              </w:rPr>
            </w:pP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95.76</w:t>
            </w: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95.55</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8.87</w:t>
            </w:r>
          </w:p>
        </w:tc>
        <w:tc>
          <w:tcPr>
            <w:tcW w:w="2039" w:type="dxa"/>
            <w:gridSpan w:val="2"/>
            <w:vAlign w:val="center"/>
          </w:tcPr>
          <w:p w14:paraId="7BB02F1D">
            <w:pPr>
              <w:spacing w:line="240" w:lineRule="auto"/>
              <w:ind w:firstLine="420"/>
              <w:jc w:val="center"/>
              <w:rPr>
                <w:rFonts w:ascii="仿宋_GB2312" w:eastAsia="仿宋_GB2312"/>
                <w:kern w:val="0"/>
              </w:rPr>
            </w:pP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8.79</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15.83</w:t>
            </w:r>
          </w:p>
        </w:tc>
        <w:tc>
          <w:tcPr>
            <w:tcW w:w="2039" w:type="dxa"/>
            <w:gridSpan w:val="2"/>
            <w:vAlign w:val="center"/>
          </w:tcPr>
          <w:p w14:paraId="31E21FE8">
            <w:pPr>
              <w:spacing w:line="240" w:lineRule="auto"/>
              <w:ind w:firstLine="420"/>
              <w:jc w:val="center"/>
              <w:rPr>
                <w:rFonts w:ascii="仿宋_GB2312" w:eastAsia="仿宋_GB2312"/>
                <w:kern w:val="0"/>
              </w:rPr>
            </w:pP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15.56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3.25</w:t>
            </w:r>
          </w:p>
        </w:tc>
        <w:tc>
          <w:tcPr>
            <w:tcW w:w="2039" w:type="dxa"/>
            <w:gridSpan w:val="2"/>
            <w:vAlign w:val="center"/>
          </w:tcPr>
          <w:p w14:paraId="467174B3">
            <w:pPr>
              <w:spacing w:line="240" w:lineRule="auto"/>
              <w:ind w:firstLine="420"/>
              <w:jc w:val="center"/>
              <w:rPr>
                <w:rFonts w:ascii="仿宋_GB2312" w:eastAsia="仿宋_GB2312"/>
                <w:kern w:val="0"/>
              </w:rPr>
            </w:pP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3.01</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35.28</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38.56</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38.56</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14:paraId="4D734BF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14:paraId="5567D62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14:paraId="31CE4E4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14:paraId="62FE64A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lang w:eastAsia="zh-CN"/>
              </w:rPr>
              <w:t>1</w:t>
            </w:r>
            <w:r>
              <w:rPr>
                <w:rFonts w:hint="eastAsia" w:ascii="宋体" w:hAnsi="宋体" w:eastAsia="宋体" w:cs="宋体"/>
                <w:lang w:eastAsia="zh-CN"/>
              </w:rPr>
              <w:t>、加强能源资源管理，采取有效的节能措施，降低能源消费，减少排放。推广环保理念，加强环境保护意识，提高环保法规执行力度，减少环境污染。</w:t>
            </w:r>
            <w:r>
              <w:t>3</w:t>
            </w:r>
            <w:r>
              <w:rPr>
                <w:rFonts w:hint="eastAsia" w:ascii="宋体" w:hAnsi="宋体" w:eastAsia="宋体" w:cs="宋体"/>
              </w:rPr>
              <w:t>、强化节水、节电意识教育，减少浪费</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汨罗市高泉小学</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1402.18</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1332.18</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1332.18</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1332.18</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1332.18</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shd w:val="clear" w:color="auto" w:fill="auto"/>
            <w:vAlign w:val="center"/>
          </w:tcPr>
          <w:p w14:paraId="366CF5CD">
            <w:pPr>
              <w:rPr>
                <w:rFonts w:ascii="仿宋_GB2312" w:eastAsia="仿宋_GB2312"/>
                <w:lang w:eastAsia="zh-CN"/>
              </w:rPr>
            </w:pPr>
            <w:r>
              <w:rPr>
                <w:rFonts w:hint="eastAsia" w:ascii="仿宋_GB2312" w:eastAsia="仿宋_GB2312"/>
                <w:lang w:eastAsia="zh-CN"/>
              </w:rPr>
              <w:t>全面加强教育系统党的建设。全面推进依法治教。</w:t>
            </w:r>
          </w:p>
          <w:p w14:paraId="33602AC1">
            <w:pPr>
              <w:rPr>
                <w:rFonts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全面提高教育质量。全面建设平安校园。积极创建生动活泼校园。</w:t>
            </w:r>
          </w:p>
        </w:tc>
        <w:tc>
          <w:tcPr>
            <w:tcW w:w="4260" w:type="dxa"/>
            <w:gridSpan w:val="4"/>
            <w:shd w:val="clear" w:color="auto" w:fill="auto"/>
            <w:vAlign w:val="center"/>
          </w:tcPr>
          <w:p w14:paraId="156E0DC0">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如期完成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rPr>
              <w:t>服务好四类教育</w:t>
            </w:r>
          </w:p>
        </w:tc>
        <w:tc>
          <w:tcPr>
            <w:tcW w:w="1298" w:type="dxa"/>
            <w:shd w:val="clear" w:color="auto" w:fill="auto"/>
            <w:vAlign w:val="center"/>
          </w:tcPr>
          <w:p w14:paraId="2A374824">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rPr>
              <w:t>服务好四类教育</w:t>
            </w:r>
          </w:p>
        </w:tc>
        <w:tc>
          <w:tcPr>
            <w:tcW w:w="1269" w:type="dxa"/>
            <w:shd w:val="clear" w:color="auto" w:fill="auto"/>
            <w:vAlign w:val="center"/>
          </w:tcPr>
          <w:p w14:paraId="708D788A">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1"/>
                <w:szCs w:val="11"/>
                <w:lang w:eastAsia="zh-CN"/>
              </w:rPr>
              <w:t>服务学生5456人</w:t>
            </w:r>
          </w:p>
        </w:tc>
        <w:tc>
          <w:tcPr>
            <w:tcW w:w="699" w:type="dxa"/>
            <w:shd w:val="clear" w:color="auto" w:fill="auto"/>
            <w:vAlign w:val="center"/>
          </w:tcPr>
          <w:p w14:paraId="567F5E5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2717B7C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rPr>
              <w:t>无重大安全责任事故</w:t>
            </w:r>
          </w:p>
        </w:tc>
        <w:tc>
          <w:tcPr>
            <w:tcW w:w="1298" w:type="dxa"/>
            <w:shd w:val="clear" w:color="auto" w:fill="auto"/>
            <w:vAlign w:val="center"/>
          </w:tcPr>
          <w:p w14:paraId="15CE1D7F">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rPr>
              <w:t>无重大安全责任事故</w:t>
            </w:r>
          </w:p>
        </w:tc>
        <w:tc>
          <w:tcPr>
            <w:tcW w:w="1269" w:type="dxa"/>
            <w:shd w:val="clear" w:color="auto" w:fill="auto"/>
            <w:vAlign w:val="center"/>
          </w:tcPr>
          <w:p w14:paraId="346D111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0起</w:t>
            </w:r>
          </w:p>
        </w:tc>
        <w:tc>
          <w:tcPr>
            <w:tcW w:w="699" w:type="dxa"/>
            <w:shd w:val="clear" w:color="auto" w:fill="auto"/>
            <w:vAlign w:val="center"/>
          </w:tcPr>
          <w:p w14:paraId="4812C5E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2665481">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3"/>
                <w:szCs w:val="13"/>
              </w:rPr>
              <w:t>进入</w:t>
            </w:r>
            <w:r>
              <w:rPr>
                <w:rFonts w:hint="eastAsia" w:ascii="仿宋_GB2312" w:eastAsia="仿宋_GB2312"/>
                <w:b/>
                <w:bCs/>
                <w:sz w:val="13"/>
                <w:szCs w:val="13"/>
                <w:lang w:eastAsia="zh-CN"/>
              </w:rPr>
              <w:t>汨罗</w:t>
            </w:r>
            <w:r>
              <w:rPr>
                <w:rFonts w:hint="eastAsia" w:ascii="仿宋_GB2312" w:eastAsia="仿宋_GB2312"/>
                <w:b/>
                <w:bCs/>
                <w:sz w:val="13"/>
                <w:szCs w:val="13"/>
              </w:rPr>
              <w:t>市先进行列</w:t>
            </w:r>
          </w:p>
        </w:tc>
        <w:tc>
          <w:tcPr>
            <w:tcW w:w="1298" w:type="dxa"/>
            <w:shd w:val="clear" w:color="auto" w:fill="auto"/>
            <w:vAlign w:val="center"/>
          </w:tcPr>
          <w:p w14:paraId="1A5ADA3A">
            <w:pPr>
              <w:rPr>
                <w:rFonts w:ascii="仿宋_GB2312" w:hAnsi="Arial" w:eastAsia="仿宋_GB2312" w:cs="Arial"/>
                <w:snapToGrid w:val="0"/>
                <w:color w:val="000000"/>
                <w:kern w:val="0"/>
                <w:sz w:val="21"/>
                <w:szCs w:val="21"/>
                <w:lang w:val="en-US" w:eastAsia="en-US" w:bidi="ar-SA"/>
              </w:rPr>
            </w:pPr>
            <w:r>
              <w:rPr>
                <w:rFonts w:hint="eastAsia" w:ascii="仿宋_GB2312" w:eastAsia="仿宋_GB2312"/>
                <w:b/>
                <w:bCs/>
                <w:sz w:val="13"/>
                <w:szCs w:val="13"/>
              </w:rPr>
              <w:t>进入</w:t>
            </w:r>
            <w:r>
              <w:rPr>
                <w:rFonts w:hint="eastAsia" w:ascii="仿宋_GB2312" w:eastAsia="仿宋_GB2312"/>
                <w:b/>
                <w:bCs/>
                <w:sz w:val="13"/>
                <w:szCs w:val="13"/>
                <w:lang w:eastAsia="zh-CN"/>
              </w:rPr>
              <w:t>汨罗</w:t>
            </w:r>
            <w:r>
              <w:rPr>
                <w:rFonts w:hint="eastAsia" w:ascii="仿宋_GB2312" w:eastAsia="仿宋_GB2312"/>
                <w:b/>
                <w:bCs/>
                <w:sz w:val="13"/>
                <w:szCs w:val="13"/>
              </w:rPr>
              <w:t>市先进行列</w:t>
            </w:r>
          </w:p>
        </w:tc>
        <w:tc>
          <w:tcPr>
            <w:tcW w:w="1269" w:type="dxa"/>
            <w:shd w:val="clear" w:color="auto" w:fill="auto"/>
            <w:vAlign w:val="center"/>
          </w:tcPr>
          <w:p w14:paraId="54075F02">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进入先进行列</w:t>
            </w:r>
          </w:p>
        </w:tc>
        <w:tc>
          <w:tcPr>
            <w:tcW w:w="699" w:type="dxa"/>
            <w:shd w:val="clear" w:color="auto" w:fill="auto"/>
            <w:vAlign w:val="center"/>
          </w:tcPr>
          <w:p w14:paraId="5580FC8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982B111">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3"/>
                <w:szCs w:val="13"/>
                <w:lang w:eastAsia="zh-CN"/>
              </w:rPr>
              <w:t>提升办学条件及办学水平</w:t>
            </w:r>
          </w:p>
        </w:tc>
        <w:tc>
          <w:tcPr>
            <w:tcW w:w="1298" w:type="dxa"/>
            <w:shd w:val="clear" w:color="auto" w:fill="auto"/>
            <w:vAlign w:val="center"/>
          </w:tcPr>
          <w:p w14:paraId="33DF5A21">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3"/>
                <w:szCs w:val="13"/>
                <w:lang w:eastAsia="zh-CN"/>
              </w:rPr>
              <w:t>提升办学条件及办学水平</w:t>
            </w:r>
          </w:p>
        </w:tc>
        <w:tc>
          <w:tcPr>
            <w:tcW w:w="1269" w:type="dxa"/>
            <w:shd w:val="clear" w:color="auto" w:fill="auto"/>
            <w:vAlign w:val="center"/>
          </w:tcPr>
          <w:p w14:paraId="4F080A08">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3"/>
                <w:szCs w:val="13"/>
                <w:lang w:eastAsia="zh-CN"/>
              </w:rPr>
              <w:t>按年初方案完成</w:t>
            </w:r>
          </w:p>
        </w:tc>
        <w:tc>
          <w:tcPr>
            <w:tcW w:w="699" w:type="dxa"/>
            <w:shd w:val="clear" w:color="auto" w:fill="auto"/>
            <w:vAlign w:val="center"/>
          </w:tcPr>
          <w:p w14:paraId="155F4AED">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2A22618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完成时间</w:t>
            </w:r>
          </w:p>
        </w:tc>
        <w:tc>
          <w:tcPr>
            <w:tcW w:w="1298" w:type="dxa"/>
            <w:shd w:val="clear" w:color="auto" w:fill="auto"/>
            <w:vAlign w:val="center"/>
          </w:tcPr>
          <w:p w14:paraId="479FA5D5">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eastAsia="仿宋_GB2312"/>
                <w:lang w:eastAsia="zh-CN"/>
              </w:rPr>
              <w:t>年全年</w:t>
            </w:r>
          </w:p>
        </w:tc>
        <w:tc>
          <w:tcPr>
            <w:tcW w:w="1269" w:type="dxa"/>
            <w:shd w:val="clear" w:color="auto" w:fill="auto"/>
            <w:vAlign w:val="center"/>
          </w:tcPr>
          <w:p w14:paraId="5C1B3402">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eastAsia="仿宋_GB2312"/>
                <w:lang w:eastAsia="zh-CN"/>
              </w:rPr>
              <w:t>年全年</w:t>
            </w:r>
          </w:p>
        </w:tc>
        <w:tc>
          <w:tcPr>
            <w:tcW w:w="699" w:type="dxa"/>
            <w:shd w:val="clear" w:color="auto" w:fill="auto"/>
            <w:vAlign w:val="center"/>
          </w:tcPr>
          <w:p w14:paraId="4C56B99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5DA3483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完成时间</w:t>
            </w:r>
          </w:p>
        </w:tc>
        <w:tc>
          <w:tcPr>
            <w:tcW w:w="1298" w:type="dxa"/>
            <w:shd w:val="clear" w:color="auto" w:fill="auto"/>
            <w:vAlign w:val="center"/>
          </w:tcPr>
          <w:p w14:paraId="7A000B20">
            <w:pPr>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即时完成</w:t>
            </w:r>
          </w:p>
        </w:tc>
        <w:tc>
          <w:tcPr>
            <w:tcW w:w="1269" w:type="dxa"/>
            <w:shd w:val="clear" w:color="auto" w:fill="auto"/>
            <w:vAlign w:val="center"/>
          </w:tcPr>
          <w:p w14:paraId="494C6CF7">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即时完成</w:t>
            </w:r>
          </w:p>
        </w:tc>
        <w:tc>
          <w:tcPr>
            <w:tcW w:w="699" w:type="dxa"/>
            <w:shd w:val="clear" w:color="auto" w:fill="auto"/>
            <w:vAlign w:val="center"/>
          </w:tcPr>
          <w:p w14:paraId="37EBC37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0E73072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促进经济发展</w:t>
            </w:r>
          </w:p>
        </w:tc>
        <w:tc>
          <w:tcPr>
            <w:tcW w:w="1298" w:type="dxa"/>
            <w:shd w:val="clear" w:color="auto" w:fill="auto"/>
            <w:vAlign w:val="center"/>
          </w:tcPr>
          <w:p w14:paraId="078289F3">
            <w:pPr>
              <w:ind w:firstLine="420" w:firstLineChars="0"/>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8"/>
                <w:szCs w:val="18"/>
                <w:lang w:eastAsia="zh-CN"/>
              </w:rPr>
              <w:t>有所提升</w:t>
            </w:r>
          </w:p>
        </w:tc>
        <w:tc>
          <w:tcPr>
            <w:tcW w:w="1269" w:type="dxa"/>
            <w:shd w:val="clear" w:color="auto" w:fill="auto"/>
            <w:vAlign w:val="center"/>
          </w:tcPr>
          <w:p w14:paraId="7A453B87">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有所提升</w:t>
            </w:r>
          </w:p>
        </w:tc>
        <w:tc>
          <w:tcPr>
            <w:tcW w:w="699" w:type="dxa"/>
            <w:shd w:val="clear" w:color="auto" w:fill="auto"/>
            <w:vAlign w:val="center"/>
          </w:tcPr>
          <w:p w14:paraId="415A3F60">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2AC58B95">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4DB100B">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0D8D42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12404D44">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6DE220A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办人民满意的教育</w:t>
            </w:r>
          </w:p>
        </w:tc>
        <w:tc>
          <w:tcPr>
            <w:tcW w:w="1298" w:type="dxa"/>
            <w:shd w:val="clear" w:color="auto" w:fill="auto"/>
            <w:vAlign w:val="center"/>
          </w:tcPr>
          <w:p w14:paraId="6E8C4873">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办人民满意的教育</w:t>
            </w:r>
          </w:p>
        </w:tc>
        <w:tc>
          <w:tcPr>
            <w:tcW w:w="1269" w:type="dxa"/>
            <w:shd w:val="clear" w:color="auto" w:fill="auto"/>
            <w:vAlign w:val="center"/>
          </w:tcPr>
          <w:p w14:paraId="4886005B">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满意度95%以上</w:t>
            </w:r>
          </w:p>
        </w:tc>
        <w:tc>
          <w:tcPr>
            <w:tcW w:w="699" w:type="dxa"/>
            <w:shd w:val="clear" w:color="auto" w:fill="auto"/>
            <w:vAlign w:val="center"/>
          </w:tcPr>
          <w:p w14:paraId="75FAE41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3309901E">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610F1A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AC02997">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C66ED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14AC289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生态环境改善状况</w:t>
            </w:r>
          </w:p>
        </w:tc>
        <w:tc>
          <w:tcPr>
            <w:tcW w:w="1298" w:type="dxa"/>
            <w:shd w:val="clear" w:color="auto" w:fill="auto"/>
            <w:vAlign w:val="center"/>
          </w:tcPr>
          <w:p w14:paraId="45B96CBB">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有所改善</w:t>
            </w:r>
          </w:p>
        </w:tc>
        <w:tc>
          <w:tcPr>
            <w:tcW w:w="1269" w:type="dxa"/>
            <w:shd w:val="clear" w:color="auto" w:fill="auto"/>
            <w:vAlign w:val="center"/>
          </w:tcPr>
          <w:p w14:paraId="35C3564D">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有所改善</w:t>
            </w:r>
          </w:p>
        </w:tc>
        <w:tc>
          <w:tcPr>
            <w:tcW w:w="699" w:type="dxa"/>
            <w:shd w:val="clear" w:color="auto" w:fill="auto"/>
            <w:vAlign w:val="center"/>
          </w:tcPr>
          <w:p w14:paraId="6A822248">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3C931F8">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1F4912D3">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3DC0322">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64813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44C2501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各项指标持续影响</w:t>
            </w:r>
          </w:p>
        </w:tc>
        <w:tc>
          <w:tcPr>
            <w:tcW w:w="1298" w:type="dxa"/>
            <w:shd w:val="clear" w:color="auto" w:fill="auto"/>
            <w:vAlign w:val="center"/>
          </w:tcPr>
          <w:p w14:paraId="055B34ED">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持续</w:t>
            </w:r>
          </w:p>
        </w:tc>
        <w:tc>
          <w:tcPr>
            <w:tcW w:w="1269" w:type="dxa"/>
            <w:shd w:val="clear" w:color="auto" w:fill="auto"/>
            <w:vAlign w:val="center"/>
          </w:tcPr>
          <w:p w14:paraId="46B4146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持续</w:t>
            </w:r>
          </w:p>
        </w:tc>
        <w:tc>
          <w:tcPr>
            <w:tcW w:w="699" w:type="dxa"/>
            <w:shd w:val="clear" w:color="auto" w:fill="auto"/>
            <w:vAlign w:val="center"/>
          </w:tcPr>
          <w:p w14:paraId="447C4D9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1C7C72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BB249F1">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4B7E67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CB64A1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06A718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受益对象满意度</w:t>
            </w:r>
          </w:p>
        </w:tc>
        <w:tc>
          <w:tcPr>
            <w:tcW w:w="1298" w:type="dxa"/>
            <w:shd w:val="clear" w:color="auto" w:fill="auto"/>
            <w:vAlign w:val="center"/>
          </w:tcPr>
          <w:p w14:paraId="6ABEB3E2">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31B5B32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97%</w:t>
            </w:r>
          </w:p>
        </w:tc>
        <w:tc>
          <w:tcPr>
            <w:tcW w:w="699" w:type="dxa"/>
            <w:shd w:val="clear" w:color="auto" w:fill="auto"/>
            <w:vAlign w:val="center"/>
          </w:tcPr>
          <w:p w14:paraId="41D3F37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19FFC8C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rPr>
                <w:rFonts w:ascii="仿宋_GB2312" w:hAnsi="Arial" w:eastAsia="仿宋_GB2312" w:cs="Arial"/>
                <w:snapToGrid w:val="0"/>
                <w:color w:val="000000"/>
                <w:kern w:val="0"/>
                <w:sz w:val="21"/>
                <w:szCs w:val="21"/>
                <w:lang w:val="en-US" w:eastAsia="en-US" w:bidi="ar-SA"/>
              </w:rPr>
            </w:pPr>
            <w:r>
              <w:rPr>
                <w:rFonts w:hint="eastAsia" w:ascii="仿宋_GB2312" w:eastAsia="仿宋_GB2312"/>
                <w:sz w:val="15"/>
                <w:szCs w:val="15"/>
                <w:lang w:eastAsia="zh-CN"/>
              </w:rPr>
              <w:t>社会公众满意度</w:t>
            </w:r>
          </w:p>
        </w:tc>
        <w:tc>
          <w:tcPr>
            <w:tcW w:w="1298" w:type="dxa"/>
            <w:shd w:val="clear" w:color="auto" w:fill="auto"/>
            <w:vAlign w:val="center"/>
          </w:tcPr>
          <w:p w14:paraId="5D1571F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微软雅黑" w:hAnsi="微软雅黑" w:eastAsia="微软雅黑"/>
              </w:rPr>
              <w:t>≧</w:t>
            </w:r>
            <w:r>
              <w:rPr>
                <w:rFonts w:hint="eastAsia" w:ascii="仿宋_GB2312" w:eastAsia="仿宋_GB2312"/>
                <w:lang w:eastAsia="zh-CN"/>
              </w:rPr>
              <w:t>95%</w:t>
            </w:r>
          </w:p>
        </w:tc>
        <w:tc>
          <w:tcPr>
            <w:tcW w:w="1269" w:type="dxa"/>
            <w:shd w:val="clear" w:color="auto" w:fill="auto"/>
            <w:vAlign w:val="center"/>
          </w:tcPr>
          <w:p w14:paraId="14AA98DC">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96%</w:t>
            </w:r>
          </w:p>
        </w:tc>
        <w:tc>
          <w:tcPr>
            <w:tcW w:w="699" w:type="dxa"/>
            <w:shd w:val="clear" w:color="auto" w:fill="auto"/>
            <w:vAlign w:val="center"/>
          </w:tcPr>
          <w:p w14:paraId="45F3183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3D62FDEF">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shd w:val="clear" w:color="auto" w:fill="auto"/>
            <w:vAlign w:val="center"/>
          </w:tcPr>
          <w:p w14:paraId="353ED4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3D4C98A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2FC22B0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2971108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7760B7D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1332.18</w:t>
            </w:r>
            <w:r>
              <w:rPr>
                <w:rFonts w:hint="eastAsia" w:ascii="仿宋_GB2312" w:eastAsia="仿宋_GB2312"/>
                <w:lang w:eastAsia="zh-CN"/>
              </w:rPr>
              <w:t>万元</w:t>
            </w:r>
          </w:p>
        </w:tc>
        <w:tc>
          <w:tcPr>
            <w:tcW w:w="1298" w:type="dxa"/>
            <w:shd w:val="clear" w:color="auto" w:fill="auto"/>
            <w:vAlign w:val="center"/>
          </w:tcPr>
          <w:p w14:paraId="15ECA8D3">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1332.18</w:t>
            </w:r>
            <w:r>
              <w:rPr>
                <w:rFonts w:hint="eastAsia" w:ascii="仿宋_GB2312" w:eastAsia="仿宋_GB2312"/>
                <w:lang w:eastAsia="zh-CN"/>
              </w:rPr>
              <w:t>万元</w:t>
            </w:r>
          </w:p>
        </w:tc>
        <w:tc>
          <w:tcPr>
            <w:tcW w:w="1269" w:type="dxa"/>
            <w:shd w:val="clear" w:color="auto" w:fill="auto"/>
            <w:vAlign w:val="center"/>
          </w:tcPr>
          <w:p w14:paraId="3C328246">
            <w:pP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val="en-US" w:eastAsia="zh-CN"/>
              </w:rPr>
              <w:t>1332.18</w:t>
            </w:r>
            <w:r>
              <w:rPr>
                <w:rFonts w:hint="eastAsia" w:ascii="仿宋_GB2312" w:eastAsia="仿宋_GB2312"/>
                <w:lang w:eastAsia="zh-CN"/>
              </w:rPr>
              <w:t>万元</w:t>
            </w:r>
          </w:p>
        </w:tc>
        <w:tc>
          <w:tcPr>
            <w:tcW w:w="699" w:type="dxa"/>
            <w:shd w:val="clear" w:color="auto" w:fill="auto"/>
            <w:vAlign w:val="center"/>
          </w:tcPr>
          <w:p w14:paraId="42BD2B94">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869" w:type="dxa"/>
            <w:shd w:val="clear" w:color="auto" w:fill="auto"/>
            <w:vAlign w:val="center"/>
          </w:tcPr>
          <w:p w14:paraId="786F4305">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5"/>
                <w:szCs w:val="15"/>
                <w:lang w:eastAsia="zh-CN"/>
              </w:rPr>
              <w:t>对社会发展可能造成的负面影响</w:t>
            </w:r>
          </w:p>
        </w:tc>
        <w:tc>
          <w:tcPr>
            <w:tcW w:w="1298" w:type="dxa"/>
            <w:shd w:val="clear" w:color="auto" w:fill="auto"/>
            <w:vAlign w:val="center"/>
          </w:tcPr>
          <w:p w14:paraId="09361E4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1269" w:type="dxa"/>
            <w:shd w:val="clear" w:color="auto" w:fill="auto"/>
            <w:vAlign w:val="center"/>
          </w:tcPr>
          <w:p w14:paraId="32DCD30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699" w:type="dxa"/>
            <w:shd w:val="clear" w:color="auto" w:fill="auto"/>
            <w:vAlign w:val="center"/>
          </w:tcPr>
          <w:p w14:paraId="765229A3">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4012A71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rPr>
                <w:rFonts w:ascii="仿宋_GB2312" w:hAnsi="Arial" w:eastAsia="仿宋_GB2312" w:cs="Arial"/>
                <w:snapToGrid w:val="0"/>
                <w:color w:val="000000"/>
                <w:kern w:val="0"/>
                <w:sz w:val="21"/>
                <w:szCs w:val="21"/>
                <w:lang w:val="en-US" w:eastAsia="zh-CN" w:bidi="ar-SA"/>
              </w:rPr>
            </w:pPr>
            <w:r>
              <w:rPr>
                <w:rFonts w:hint="eastAsia" w:ascii="仿宋_GB2312" w:eastAsia="仿宋_GB2312"/>
                <w:sz w:val="15"/>
                <w:szCs w:val="15"/>
                <w:lang w:eastAsia="zh-CN"/>
              </w:rPr>
              <w:t>对生态环境可能造成的负面影响</w:t>
            </w:r>
          </w:p>
        </w:tc>
        <w:tc>
          <w:tcPr>
            <w:tcW w:w="1298" w:type="dxa"/>
            <w:shd w:val="clear" w:color="auto" w:fill="auto"/>
            <w:vAlign w:val="center"/>
          </w:tcPr>
          <w:p w14:paraId="789CDCB9">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1269" w:type="dxa"/>
            <w:shd w:val="clear" w:color="auto" w:fill="auto"/>
            <w:vAlign w:val="center"/>
          </w:tcPr>
          <w:p w14:paraId="4E354EE6">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无</w:t>
            </w:r>
          </w:p>
        </w:tc>
        <w:tc>
          <w:tcPr>
            <w:tcW w:w="699" w:type="dxa"/>
            <w:shd w:val="clear" w:color="auto" w:fill="auto"/>
            <w:vAlign w:val="center"/>
          </w:tcPr>
          <w:p w14:paraId="6C36DE67">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869" w:type="dxa"/>
            <w:shd w:val="clear" w:color="auto" w:fill="auto"/>
            <w:vAlign w:val="center"/>
          </w:tcPr>
          <w:p w14:paraId="6B31F2AB">
            <w:pPr>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lang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汨罗市高泉小学</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汨罗市教育体育局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汨罗市高泉小学</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420</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完成幼教大楼建设</w:t>
            </w:r>
          </w:p>
        </w:tc>
        <w:tc>
          <w:tcPr>
            <w:tcW w:w="4140" w:type="dxa"/>
            <w:gridSpan w:val="4"/>
            <w:vAlign w:val="center"/>
          </w:tcPr>
          <w:p w14:paraId="309F776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完成建设</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vAlign w:val="center"/>
          </w:tcPr>
          <w:p w14:paraId="7C295655">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数量指标</w:t>
            </w:r>
          </w:p>
        </w:tc>
        <w:tc>
          <w:tcPr>
            <w:tcW w:w="1099" w:type="dxa"/>
            <w:shd w:val="clear"/>
            <w:vAlign w:val="center"/>
          </w:tcPr>
          <w:p w14:paraId="54B93945">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val="en-US" w:eastAsia="zh-CN"/>
              </w:rPr>
              <w:t>1896</w:t>
            </w:r>
            <w:r>
              <w:rPr>
                <w:rFonts w:hint="eastAsia" w:ascii="仿宋_GB2312" w:hAnsi="宋体" w:eastAsia="仿宋_GB2312" w:cs="宋体"/>
                <w:lang w:eastAsia="zh-CN"/>
              </w:rPr>
              <w:t>平方米</w:t>
            </w:r>
          </w:p>
        </w:tc>
        <w:tc>
          <w:tcPr>
            <w:tcW w:w="1099" w:type="dxa"/>
            <w:shd w:val="clear"/>
            <w:vAlign w:val="center"/>
          </w:tcPr>
          <w:p w14:paraId="7F49710C">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完成工程</w:t>
            </w:r>
          </w:p>
        </w:tc>
        <w:tc>
          <w:tcPr>
            <w:tcW w:w="809" w:type="dxa"/>
            <w:shd w:val="clear"/>
            <w:vAlign w:val="center"/>
          </w:tcPr>
          <w:p w14:paraId="450DEC19">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5F7B7A4C">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shd w:val="clear"/>
            <w:vAlign w:val="center"/>
          </w:tcPr>
          <w:p w14:paraId="221334DE">
            <w:pPr>
              <w:ind w:firstLine="600" w:firstLineChars="0"/>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29CCEED8">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70F41D21">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809" w:type="dxa"/>
            <w:shd w:val="clear"/>
            <w:vAlign w:val="center"/>
          </w:tcPr>
          <w:p w14:paraId="662F7041">
            <w:pP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676686A6">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vAlign w:val="center"/>
          </w:tcPr>
          <w:p w14:paraId="61412C88">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质量指标</w:t>
            </w:r>
          </w:p>
        </w:tc>
        <w:tc>
          <w:tcPr>
            <w:tcW w:w="1099" w:type="dxa"/>
            <w:shd w:val="clear"/>
            <w:vAlign w:val="center"/>
          </w:tcPr>
          <w:p w14:paraId="2D69FB32">
            <w:pPr>
              <w:ind w:firstLine="600" w:firstLineChars="0"/>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合格</w:t>
            </w:r>
          </w:p>
        </w:tc>
        <w:tc>
          <w:tcPr>
            <w:tcW w:w="1099" w:type="dxa"/>
            <w:shd w:val="clear"/>
            <w:vAlign w:val="center"/>
          </w:tcPr>
          <w:p w14:paraId="03BC31E1">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合格</w:t>
            </w:r>
          </w:p>
        </w:tc>
        <w:tc>
          <w:tcPr>
            <w:tcW w:w="809" w:type="dxa"/>
            <w:shd w:val="clear"/>
            <w:vAlign w:val="center"/>
          </w:tcPr>
          <w:p w14:paraId="5DC86158">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25177C64">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shd w:val="clear"/>
            <w:vAlign w:val="center"/>
          </w:tcPr>
          <w:p w14:paraId="37972163">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29C293EB">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1620D8FA">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809" w:type="dxa"/>
            <w:shd w:val="clear"/>
            <w:vAlign w:val="center"/>
          </w:tcPr>
          <w:p w14:paraId="1CFE7712">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182C2D11">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vAlign w:val="center"/>
          </w:tcPr>
          <w:p w14:paraId="724A960D">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完成时间</w:t>
            </w:r>
          </w:p>
        </w:tc>
        <w:tc>
          <w:tcPr>
            <w:tcW w:w="1099" w:type="dxa"/>
            <w:shd w:val="clear"/>
            <w:vAlign w:val="center"/>
          </w:tcPr>
          <w:p w14:paraId="015D039B">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202</w:t>
            </w:r>
            <w:r>
              <w:rPr>
                <w:rFonts w:hint="eastAsia" w:ascii="仿宋_GB2312" w:hAnsi="宋体" w:eastAsia="仿宋_GB2312" w:cs="宋体"/>
                <w:lang w:val="en-US" w:eastAsia="zh-CN"/>
              </w:rPr>
              <w:t>4</w:t>
            </w:r>
            <w:r>
              <w:rPr>
                <w:rFonts w:hint="eastAsia" w:ascii="仿宋_GB2312" w:hAnsi="宋体" w:eastAsia="仿宋_GB2312" w:cs="宋体"/>
                <w:lang w:eastAsia="zh-CN"/>
              </w:rPr>
              <w:t>年12月</w:t>
            </w:r>
          </w:p>
        </w:tc>
        <w:tc>
          <w:tcPr>
            <w:tcW w:w="1099" w:type="dxa"/>
            <w:shd w:val="clear"/>
            <w:vAlign w:val="center"/>
          </w:tcPr>
          <w:p w14:paraId="5C21687F">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202</w:t>
            </w:r>
            <w:r>
              <w:rPr>
                <w:rFonts w:hint="eastAsia" w:ascii="仿宋_GB2312" w:hAnsi="宋体" w:eastAsia="仿宋_GB2312" w:cs="宋体"/>
                <w:lang w:val="en-US" w:eastAsia="zh-CN"/>
              </w:rPr>
              <w:t>4</w:t>
            </w:r>
            <w:r>
              <w:rPr>
                <w:rFonts w:hint="eastAsia" w:ascii="仿宋_GB2312" w:hAnsi="宋体" w:eastAsia="仿宋_GB2312" w:cs="宋体"/>
                <w:lang w:eastAsia="zh-CN"/>
              </w:rPr>
              <w:t>年12月</w:t>
            </w:r>
          </w:p>
        </w:tc>
        <w:tc>
          <w:tcPr>
            <w:tcW w:w="809" w:type="dxa"/>
            <w:shd w:val="clear"/>
            <w:vAlign w:val="center"/>
          </w:tcPr>
          <w:p w14:paraId="0D16C331">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094C7D5E">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vAlign w:val="center"/>
          </w:tcPr>
          <w:p w14:paraId="50DC120B">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改善幼儿园条件</w:t>
            </w:r>
          </w:p>
        </w:tc>
        <w:tc>
          <w:tcPr>
            <w:tcW w:w="1099" w:type="dxa"/>
            <w:shd w:val="clear"/>
            <w:vAlign w:val="center"/>
          </w:tcPr>
          <w:p w14:paraId="53928C31">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有所改善</w:t>
            </w:r>
          </w:p>
        </w:tc>
        <w:tc>
          <w:tcPr>
            <w:tcW w:w="1099" w:type="dxa"/>
            <w:shd w:val="clear"/>
            <w:vAlign w:val="center"/>
          </w:tcPr>
          <w:p w14:paraId="6D883DDF">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有所改善</w:t>
            </w:r>
          </w:p>
        </w:tc>
        <w:tc>
          <w:tcPr>
            <w:tcW w:w="809" w:type="dxa"/>
            <w:shd w:val="clear"/>
            <w:vAlign w:val="center"/>
          </w:tcPr>
          <w:p w14:paraId="29584852">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41D412C8">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shd w:val="clear"/>
            <w:vAlign w:val="center"/>
          </w:tcPr>
          <w:p w14:paraId="393F2438">
            <w:pP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2C0C58B6">
            <w:pPr>
              <w:rPr>
                <w:rFonts w:hint="eastAsia" w:ascii="仿宋" w:hAnsi="仿宋" w:eastAsia="仿宋" w:cs="仿宋"/>
                <w:snapToGrid w:val="0"/>
                <w:color w:val="000000"/>
                <w:kern w:val="0"/>
                <w:sz w:val="21"/>
                <w:szCs w:val="21"/>
                <w:lang w:val="en-US" w:eastAsia="en-US" w:bidi="ar-SA"/>
              </w:rPr>
            </w:pPr>
          </w:p>
        </w:tc>
        <w:tc>
          <w:tcPr>
            <w:tcW w:w="1099" w:type="dxa"/>
            <w:shd w:val="clear"/>
            <w:vAlign w:val="center"/>
          </w:tcPr>
          <w:p w14:paraId="076658D4">
            <w:pPr>
              <w:rPr>
                <w:rFonts w:hint="eastAsia" w:ascii="仿宋" w:hAnsi="仿宋" w:eastAsia="仿宋" w:cs="仿宋"/>
                <w:snapToGrid w:val="0"/>
                <w:color w:val="000000"/>
                <w:kern w:val="0"/>
                <w:sz w:val="21"/>
                <w:szCs w:val="21"/>
                <w:lang w:val="en-US" w:eastAsia="en-US" w:bidi="ar-SA"/>
              </w:rPr>
            </w:pPr>
          </w:p>
        </w:tc>
        <w:tc>
          <w:tcPr>
            <w:tcW w:w="809" w:type="dxa"/>
            <w:shd w:val="clear"/>
            <w:vAlign w:val="center"/>
          </w:tcPr>
          <w:p w14:paraId="3D83AE10">
            <w:pP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6B84A567">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缓解城区学位</w:t>
            </w:r>
          </w:p>
        </w:tc>
        <w:tc>
          <w:tcPr>
            <w:tcW w:w="1099" w:type="dxa"/>
            <w:shd w:val="clear" w:color="auto" w:fill="auto"/>
            <w:vAlign w:val="center"/>
          </w:tcPr>
          <w:p w14:paraId="01875392">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有所缓解</w:t>
            </w:r>
          </w:p>
        </w:tc>
        <w:tc>
          <w:tcPr>
            <w:tcW w:w="1099" w:type="dxa"/>
            <w:shd w:val="clear" w:color="auto" w:fill="auto"/>
            <w:vAlign w:val="center"/>
          </w:tcPr>
          <w:p w14:paraId="4101F8DE">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有所缓解</w:t>
            </w:r>
          </w:p>
        </w:tc>
        <w:tc>
          <w:tcPr>
            <w:tcW w:w="809" w:type="dxa"/>
            <w:shd w:val="clear" w:color="auto" w:fill="auto"/>
            <w:vAlign w:val="center"/>
          </w:tcPr>
          <w:p w14:paraId="699C14AF">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color="auto" w:fill="auto"/>
            <w:vAlign w:val="center"/>
          </w:tcPr>
          <w:p w14:paraId="0665EFF4">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vAlign w:val="center"/>
          </w:tcPr>
          <w:p w14:paraId="467C3540">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可持续影响指标</w:t>
            </w:r>
          </w:p>
        </w:tc>
        <w:tc>
          <w:tcPr>
            <w:tcW w:w="1099" w:type="dxa"/>
            <w:shd w:val="clear"/>
            <w:vAlign w:val="center"/>
          </w:tcPr>
          <w:p w14:paraId="286C2197">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持续</w:t>
            </w:r>
          </w:p>
        </w:tc>
        <w:tc>
          <w:tcPr>
            <w:tcW w:w="1099" w:type="dxa"/>
            <w:shd w:val="clear"/>
            <w:vAlign w:val="center"/>
          </w:tcPr>
          <w:p w14:paraId="4CA75DEB">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持续</w:t>
            </w:r>
          </w:p>
        </w:tc>
        <w:tc>
          <w:tcPr>
            <w:tcW w:w="809" w:type="dxa"/>
            <w:shd w:val="clear"/>
            <w:vAlign w:val="center"/>
          </w:tcPr>
          <w:p w14:paraId="491BA994">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1BF7EB9C">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shd w:val="clear"/>
            <w:vAlign w:val="center"/>
          </w:tcPr>
          <w:p w14:paraId="03E0B683">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改善</w:t>
            </w:r>
            <w:r>
              <w:rPr>
                <w:rFonts w:hint="eastAsia" w:ascii="仿宋_GB2312" w:hAnsi="宋体" w:eastAsia="仿宋_GB2312" w:cs="宋体"/>
                <w:lang w:val="en-US" w:eastAsia="zh-CN"/>
              </w:rPr>
              <w:t>学校办学</w:t>
            </w:r>
            <w:r>
              <w:rPr>
                <w:rFonts w:hint="eastAsia" w:ascii="仿宋_GB2312" w:hAnsi="宋体" w:eastAsia="仿宋_GB2312" w:cs="宋体"/>
                <w:lang w:eastAsia="zh-CN"/>
              </w:rPr>
              <w:t>条件</w:t>
            </w:r>
          </w:p>
        </w:tc>
        <w:tc>
          <w:tcPr>
            <w:tcW w:w="1099" w:type="dxa"/>
            <w:shd w:val="clear"/>
            <w:vAlign w:val="center"/>
          </w:tcPr>
          <w:p w14:paraId="284DAE29">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有所改善</w:t>
            </w:r>
          </w:p>
        </w:tc>
        <w:tc>
          <w:tcPr>
            <w:tcW w:w="1099" w:type="dxa"/>
            <w:shd w:val="clear"/>
            <w:vAlign w:val="center"/>
          </w:tcPr>
          <w:p w14:paraId="3E80B33A">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有所改善</w:t>
            </w:r>
          </w:p>
        </w:tc>
        <w:tc>
          <w:tcPr>
            <w:tcW w:w="809" w:type="dxa"/>
            <w:shd w:val="clear"/>
            <w:vAlign w:val="center"/>
          </w:tcPr>
          <w:p w14:paraId="5B45A609">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5506B9DE">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vAlign w:val="center"/>
          </w:tcPr>
          <w:p w14:paraId="1BFEC1E9">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可持续影响指标</w:t>
            </w:r>
          </w:p>
        </w:tc>
        <w:tc>
          <w:tcPr>
            <w:tcW w:w="1099" w:type="dxa"/>
            <w:shd w:val="clear"/>
            <w:vAlign w:val="center"/>
          </w:tcPr>
          <w:p w14:paraId="48F3A1C5">
            <w:pPr>
              <w:rPr>
                <w:rFonts w:ascii="Arial" w:hAnsi="Arial" w:eastAsia="Arial" w:cs="Arial"/>
                <w:snapToGrid w:val="0"/>
                <w:color w:val="000000"/>
                <w:kern w:val="0"/>
                <w:sz w:val="21"/>
                <w:szCs w:val="21"/>
                <w:lang w:val="en-US" w:eastAsia="en-US" w:bidi="ar-SA"/>
              </w:rPr>
            </w:pPr>
            <w:r>
              <w:rPr>
                <w:rFonts w:hint="eastAsia" w:ascii="仿宋_GB2312" w:hAnsi="宋体" w:eastAsia="仿宋_GB2312" w:cs="宋体"/>
                <w:lang w:eastAsia="zh-CN"/>
              </w:rPr>
              <w:t>持续</w:t>
            </w:r>
          </w:p>
        </w:tc>
        <w:tc>
          <w:tcPr>
            <w:tcW w:w="1099" w:type="dxa"/>
            <w:shd w:val="clear"/>
            <w:vAlign w:val="center"/>
          </w:tcPr>
          <w:p w14:paraId="596F13DA">
            <w:pPr>
              <w:rPr>
                <w:rFonts w:ascii="Arial" w:hAnsi="Arial" w:eastAsia="Arial" w:cs="Arial"/>
                <w:snapToGrid w:val="0"/>
                <w:color w:val="000000"/>
                <w:kern w:val="0"/>
                <w:sz w:val="21"/>
                <w:szCs w:val="21"/>
                <w:lang w:val="en-US" w:eastAsia="en-US" w:bidi="ar-SA"/>
              </w:rPr>
            </w:pPr>
            <w:r>
              <w:rPr>
                <w:rFonts w:hint="eastAsia" w:ascii="仿宋_GB2312" w:hAnsi="宋体" w:eastAsia="仿宋_GB2312" w:cs="宋体"/>
                <w:lang w:eastAsia="zh-CN"/>
              </w:rPr>
              <w:t>持续</w:t>
            </w:r>
          </w:p>
        </w:tc>
        <w:tc>
          <w:tcPr>
            <w:tcW w:w="809" w:type="dxa"/>
            <w:shd w:val="clear"/>
            <w:vAlign w:val="center"/>
          </w:tcPr>
          <w:p w14:paraId="49A57C7B">
            <w:pPr>
              <w:rPr>
                <w:rFonts w:ascii="Arial" w:hAnsi="Arial" w:eastAsia="Arial" w:cs="Arial"/>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044D5C88">
            <w:pPr>
              <w:ind w:firstLine="600" w:firstLineChars="0"/>
              <w:jc w:val="center"/>
              <w:rPr>
                <w:rFonts w:ascii="Arial" w:hAnsi="Arial" w:eastAsia="Arial" w:cs="Arial"/>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vAlign w:val="center"/>
          </w:tcPr>
          <w:p w14:paraId="4471F21F">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受益对象</w:t>
            </w:r>
          </w:p>
        </w:tc>
        <w:tc>
          <w:tcPr>
            <w:tcW w:w="1099" w:type="dxa"/>
            <w:shd w:val="clear"/>
            <w:vAlign w:val="center"/>
          </w:tcPr>
          <w:p w14:paraId="10DB725A">
            <w:pPr>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宋体"/>
              </w:rPr>
              <w:t>≧</w:t>
            </w:r>
            <w:r>
              <w:rPr>
                <w:rFonts w:hint="eastAsia" w:ascii="仿宋_GB2312" w:hAnsi="宋体" w:eastAsia="仿宋_GB2312" w:cs="宋体"/>
                <w:lang w:eastAsia="zh-CN"/>
              </w:rPr>
              <w:t>95%</w:t>
            </w:r>
          </w:p>
        </w:tc>
        <w:tc>
          <w:tcPr>
            <w:tcW w:w="1099" w:type="dxa"/>
            <w:shd w:val="clear"/>
            <w:vAlign w:val="center"/>
          </w:tcPr>
          <w:p w14:paraId="65FCC670">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val="en-US" w:eastAsia="zh-CN"/>
              </w:rPr>
              <w:t>98</w:t>
            </w:r>
            <w:r>
              <w:rPr>
                <w:rFonts w:hint="eastAsia" w:ascii="仿宋_GB2312" w:hAnsi="宋体" w:eastAsia="仿宋_GB2312" w:cs="宋体"/>
                <w:lang w:eastAsia="zh-CN"/>
              </w:rPr>
              <w:t>%</w:t>
            </w:r>
          </w:p>
        </w:tc>
        <w:tc>
          <w:tcPr>
            <w:tcW w:w="809" w:type="dxa"/>
            <w:shd w:val="clear"/>
            <w:vAlign w:val="center"/>
          </w:tcPr>
          <w:p w14:paraId="29FD5B5F">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5</w:t>
            </w:r>
          </w:p>
        </w:tc>
        <w:tc>
          <w:tcPr>
            <w:tcW w:w="849" w:type="dxa"/>
            <w:shd w:val="clear"/>
            <w:vAlign w:val="center"/>
          </w:tcPr>
          <w:p w14:paraId="57CE9A58">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5</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shd w:val="clear"/>
            <w:vAlign w:val="center"/>
          </w:tcPr>
          <w:p w14:paraId="1703DA95">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社会公众</w:t>
            </w:r>
          </w:p>
        </w:tc>
        <w:tc>
          <w:tcPr>
            <w:tcW w:w="1099" w:type="dxa"/>
            <w:shd w:val="clear"/>
            <w:vAlign w:val="center"/>
          </w:tcPr>
          <w:p w14:paraId="1AF12BF9">
            <w:pPr>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宋体"/>
                <w:lang w:eastAsia="zh-CN"/>
              </w:rPr>
              <w:t>≧</w:t>
            </w:r>
            <w:r>
              <w:rPr>
                <w:rFonts w:hint="eastAsia" w:ascii="仿宋_GB2312" w:hAnsi="宋体" w:eastAsia="仿宋_GB2312" w:cs="宋体"/>
                <w:lang w:eastAsia="zh-CN"/>
              </w:rPr>
              <w:t>95%</w:t>
            </w:r>
          </w:p>
        </w:tc>
        <w:tc>
          <w:tcPr>
            <w:tcW w:w="1099" w:type="dxa"/>
            <w:shd w:val="clear"/>
            <w:vAlign w:val="center"/>
          </w:tcPr>
          <w:p w14:paraId="17728D02">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val="en-US" w:eastAsia="zh-CN"/>
              </w:rPr>
              <w:t>98</w:t>
            </w:r>
            <w:r>
              <w:rPr>
                <w:rFonts w:hint="eastAsia" w:ascii="仿宋_GB2312" w:hAnsi="宋体" w:eastAsia="仿宋_GB2312" w:cs="宋体"/>
                <w:lang w:eastAsia="zh-CN"/>
              </w:rPr>
              <w:t>%</w:t>
            </w:r>
          </w:p>
        </w:tc>
        <w:tc>
          <w:tcPr>
            <w:tcW w:w="809" w:type="dxa"/>
            <w:shd w:val="clear"/>
            <w:vAlign w:val="center"/>
          </w:tcPr>
          <w:p w14:paraId="444A0622">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5</w:t>
            </w:r>
          </w:p>
        </w:tc>
        <w:tc>
          <w:tcPr>
            <w:tcW w:w="849" w:type="dxa"/>
            <w:shd w:val="clear"/>
            <w:vAlign w:val="center"/>
          </w:tcPr>
          <w:p w14:paraId="371E2947">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5</w:t>
            </w: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vAlign w:val="center"/>
          </w:tcPr>
          <w:p w14:paraId="2D050142">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预算批复金额</w:t>
            </w:r>
          </w:p>
        </w:tc>
        <w:tc>
          <w:tcPr>
            <w:tcW w:w="1099" w:type="dxa"/>
            <w:shd w:val="clear"/>
            <w:vAlign w:val="center"/>
          </w:tcPr>
          <w:p w14:paraId="7D8FEFD1">
            <w:pPr>
              <w:jc w:val="both"/>
              <w:rPr>
                <w:rFonts w:hint="default" w:ascii="仿宋" w:hAnsi="仿宋" w:eastAsia="仿宋" w:cs="仿宋"/>
                <w:snapToGrid w:val="0"/>
                <w:color w:val="000000"/>
                <w:kern w:val="0"/>
                <w:sz w:val="21"/>
                <w:szCs w:val="21"/>
                <w:lang w:val="en-US" w:eastAsia="en-US" w:bidi="ar-SA"/>
              </w:rPr>
            </w:pPr>
            <w:r>
              <w:rPr>
                <w:rFonts w:hint="eastAsia" w:ascii="仿宋_GB2312" w:hAnsi="宋体" w:eastAsia="仿宋_GB2312" w:cs="宋体"/>
                <w:lang w:val="en-US" w:eastAsia="zh-CN"/>
              </w:rPr>
              <w:t>420万元</w:t>
            </w:r>
          </w:p>
        </w:tc>
        <w:tc>
          <w:tcPr>
            <w:tcW w:w="1099" w:type="dxa"/>
            <w:shd w:val="clear"/>
            <w:vAlign w:val="center"/>
          </w:tcPr>
          <w:p w14:paraId="729BFD57">
            <w:pPr>
              <w:jc w:val="both"/>
              <w:rPr>
                <w:rFonts w:hint="default" w:ascii="仿宋" w:hAnsi="仿宋" w:eastAsia="仿宋" w:cs="仿宋"/>
                <w:snapToGrid w:val="0"/>
                <w:color w:val="000000"/>
                <w:kern w:val="0"/>
                <w:sz w:val="21"/>
                <w:szCs w:val="21"/>
                <w:lang w:val="en-US" w:eastAsia="en-US" w:bidi="ar-SA"/>
              </w:rPr>
            </w:pPr>
            <w:r>
              <w:rPr>
                <w:rFonts w:hint="eastAsia" w:ascii="仿宋_GB2312" w:hAnsi="宋体" w:eastAsia="仿宋_GB2312" w:cs="宋体"/>
                <w:lang w:val="en-US" w:eastAsia="zh-CN"/>
              </w:rPr>
              <w:t>420万元</w:t>
            </w:r>
          </w:p>
        </w:tc>
        <w:tc>
          <w:tcPr>
            <w:tcW w:w="809" w:type="dxa"/>
            <w:shd w:val="clear"/>
            <w:vAlign w:val="center"/>
          </w:tcPr>
          <w:p w14:paraId="43443E17">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849" w:type="dxa"/>
            <w:shd w:val="clear"/>
            <w:vAlign w:val="center"/>
          </w:tcPr>
          <w:p w14:paraId="1005FDF9">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vAlign w:val="center"/>
          </w:tcPr>
          <w:p w14:paraId="61DC1F69">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可能负面影响</w:t>
            </w:r>
          </w:p>
        </w:tc>
        <w:tc>
          <w:tcPr>
            <w:tcW w:w="1099" w:type="dxa"/>
            <w:shd w:val="clear"/>
            <w:vAlign w:val="center"/>
          </w:tcPr>
          <w:p w14:paraId="515A6775">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无</w:t>
            </w:r>
          </w:p>
        </w:tc>
        <w:tc>
          <w:tcPr>
            <w:tcW w:w="1099" w:type="dxa"/>
            <w:shd w:val="clear"/>
            <w:vAlign w:val="center"/>
          </w:tcPr>
          <w:p w14:paraId="79BCBEC4">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无</w:t>
            </w:r>
          </w:p>
        </w:tc>
        <w:tc>
          <w:tcPr>
            <w:tcW w:w="809" w:type="dxa"/>
            <w:shd w:val="clear"/>
            <w:vAlign w:val="center"/>
          </w:tcPr>
          <w:p w14:paraId="7CB491CD">
            <w:pP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7D797644">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vAlign w:val="center"/>
          </w:tcPr>
          <w:p w14:paraId="2C28E6A5">
            <w:pP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对生态环境的影响</w:t>
            </w:r>
          </w:p>
        </w:tc>
        <w:tc>
          <w:tcPr>
            <w:tcW w:w="1099" w:type="dxa"/>
            <w:shd w:val="clear"/>
            <w:vAlign w:val="center"/>
          </w:tcPr>
          <w:p w14:paraId="52AC4F9E">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无</w:t>
            </w:r>
          </w:p>
        </w:tc>
        <w:tc>
          <w:tcPr>
            <w:tcW w:w="1099" w:type="dxa"/>
            <w:shd w:val="clear"/>
            <w:vAlign w:val="center"/>
          </w:tcPr>
          <w:p w14:paraId="0867BB9D">
            <w:pPr>
              <w:ind w:firstLine="600" w:firstLineChars="0"/>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lang w:eastAsia="zh-CN"/>
              </w:rPr>
              <w:t>无</w:t>
            </w:r>
          </w:p>
        </w:tc>
        <w:tc>
          <w:tcPr>
            <w:tcW w:w="809" w:type="dxa"/>
            <w:shd w:val="clear"/>
            <w:vAlign w:val="center"/>
          </w:tcPr>
          <w:p w14:paraId="640DCB80">
            <w:pPr>
              <w:rPr>
                <w:rFonts w:hint="eastAsia" w:ascii="仿宋" w:hAnsi="仿宋" w:eastAsia="仿宋" w:cs="仿宋"/>
                <w:snapToGrid w:val="0"/>
                <w:color w:val="000000"/>
                <w:kern w:val="0"/>
                <w:sz w:val="21"/>
                <w:szCs w:val="21"/>
                <w:lang w:val="en-US" w:eastAsia="en-US" w:bidi="ar-SA"/>
              </w:rPr>
            </w:pPr>
          </w:p>
        </w:tc>
        <w:tc>
          <w:tcPr>
            <w:tcW w:w="849" w:type="dxa"/>
            <w:shd w:val="clear"/>
            <w:vAlign w:val="center"/>
          </w:tcPr>
          <w:p w14:paraId="03C9828A">
            <w:pPr>
              <w:ind w:firstLine="600" w:firstLineChars="0"/>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年度汨罗市高泉小学</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60"/>
          <w:sz w:val="40"/>
          <w:szCs w:val="40"/>
          <w:lang w:eastAsia="zh-CN"/>
        </w:rPr>
        <w:t>汨罗市高泉小学</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23AF9C6D">
      <w:pPr>
        <w:spacing w:line="600" w:lineRule="exact"/>
        <w:ind w:firstLine="640" w:firstLineChars="200"/>
        <w:rPr>
          <w:rFonts w:hint="eastAsia" w:ascii="宋体" w:hAnsi="宋体" w:eastAsia="宋体" w:cs="宋体"/>
          <w:sz w:val="30"/>
          <w:szCs w:val="30"/>
          <w:lang w:eastAsia="zh-CN"/>
        </w:rPr>
      </w:pPr>
      <w:r>
        <w:rPr>
          <w:rFonts w:hint="eastAsia" w:ascii="方正黑体_GBK" w:hAnsi="仿宋" w:eastAsia="方正黑体_GBK" w:cs="仿宋"/>
          <w:snapToGrid w:val="0"/>
          <w:color w:val="000000"/>
          <w:sz w:val="32"/>
          <w:szCs w:val="32"/>
          <w:highlight w:val="none"/>
          <w:lang w:val="en-US" w:eastAsia="zh-CN" w:bidi="ar-SA"/>
        </w:rPr>
        <w:t xml:space="preserve">  </w:t>
      </w:r>
      <w:r>
        <w:rPr>
          <w:rFonts w:hint="eastAsia" w:ascii="宋体" w:hAnsi="宋体" w:eastAsia="宋体" w:cs="宋体"/>
          <w:sz w:val="30"/>
          <w:szCs w:val="30"/>
          <w:lang w:eastAsia="zh-CN"/>
        </w:rPr>
        <w:t>（一）单位主要职责</w:t>
      </w:r>
    </w:p>
    <w:p w14:paraId="2310C8B5">
      <w:pPr>
        <w:shd w:val="clear" w:color="auto" w:fill="FFFFFF"/>
        <w:spacing w:line="520" w:lineRule="atLeast"/>
        <w:ind w:firstLine="640"/>
        <w:rPr>
          <w:rFonts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shd w:val="clear" w:color="auto" w:fill="FFFFFF"/>
          <w:lang w:eastAsia="zh-CN"/>
          <w14:textFill>
            <w14:solidFill>
              <w14:schemeClr w14:val="tx1"/>
            </w14:solidFill>
          </w14:textFill>
        </w:rPr>
        <w:t>1</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坚持社会主义办学方向，贯彻执行党和国家教育工作的方针，政策和法律，法规，依照学校教育指导纲要，认真贯彻执行《学校工作规程》和《学校工作条例》。以办学质量得到家长和社会的认可为目标，培养德智体美劳全面和谐发展的社会主义建设者和接班人。</w:t>
      </w:r>
      <w:r>
        <w:rPr>
          <w:rFonts w:hint="eastAsia" w:ascii="宋体" w:hAnsi="宋体"/>
          <w:color w:val="000000" w:themeColor="text1"/>
          <w:sz w:val="28"/>
          <w:szCs w:val="28"/>
          <w:shd w:val="clear" w:color="auto" w:fill="FFFFFF"/>
          <w:lang w:eastAsia="zh-CN"/>
          <w14:textFill>
            <w14:solidFill>
              <w14:schemeClr w14:val="tx1"/>
            </w14:solidFill>
          </w14:textFill>
        </w:rPr>
        <w:t xml:space="preserve"> </w:t>
      </w:r>
      <w:r>
        <w:rPr>
          <w:rFonts w:ascii="宋体" w:hAnsi="宋体" w:cs="Calibri"/>
          <w:color w:val="000000" w:themeColor="text1"/>
          <w:sz w:val="28"/>
          <w:szCs w:val="28"/>
          <w:shd w:val="clear" w:color="auto" w:fill="FFFFFF"/>
          <w:lang w:eastAsia="zh-CN"/>
          <w14:textFill>
            <w14:solidFill>
              <w14:schemeClr w14:val="tx1"/>
            </w14:solidFill>
          </w14:textFill>
        </w:rPr>
        <w:t> </w:t>
      </w:r>
    </w:p>
    <w:p w14:paraId="55F089B1">
      <w:pPr>
        <w:shd w:val="clear" w:color="auto" w:fill="FFFFFF"/>
        <w:spacing w:line="520" w:lineRule="atLeast"/>
        <w:ind w:firstLine="640"/>
        <w:rPr>
          <w:rFonts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shd w:val="clear" w:color="auto" w:fill="FFFFFF"/>
          <w:lang w:eastAsia="zh-CN"/>
          <w14:textFill>
            <w14:solidFill>
              <w14:schemeClr w14:val="tx1"/>
            </w14:solidFill>
          </w14:textFill>
        </w:rPr>
        <w:t>2</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、坚持教学育人，管理育人，服务育人，以学校、学生发展为本的原则，坚持学校教育与家庭教育，社会教育的有机结合，用实事求是的思维方法理解并实施</w:t>
      </w:r>
      <w:r>
        <w:rPr>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以德育为核心，以创新精神和实践能力为重点的学校教育</w:t>
      </w:r>
      <w:r>
        <w:rPr>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，切实加强和不断改进学校德育工作。坚持学校工作以教育教学为主，遵循教育规律与学生认知特点组织教育教学活动，大力提高教育教学质量，同时面向学生家长提供育人指导。</w:t>
      </w:r>
    </w:p>
    <w:p w14:paraId="07DF1F26">
      <w:pPr>
        <w:shd w:val="clear" w:color="auto" w:fill="FFFFFF"/>
        <w:spacing w:line="520" w:lineRule="atLeast"/>
        <w:ind w:firstLine="640"/>
        <w:rPr>
          <w:rFonts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shd w:val="clear" w:color="auto" w:fill="FFFFFF"/>
          <w:lang w:eastAsia="zh-CN"/>
          <w14:textFill>
            <w14:solidFill>
              <w14:schemeClr w14:val="tx1"/>
            </w14:solidFill>
          </w14:textFill>
        </w:rPr>
        <w:t>3</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、坚持管好、用好学校经费，提高办学效益。严格执行国家财经纪律和财务制度，对核定的办学经费统筹使用，努力改善教职工的工作，学习和生活条件。</w:t>
      </w:r>
      <w:r>
        <w:rPr>
          <w:rFonts w:hint="eastAsia" w:ascii="宋体" w:hAnsi="宋体"/>
          <w:color w:val="000000" w:themeColor="text1"/>
          <w:sz w:val="28"/>
          <w:szCs w:val="28"/>
          <w:shd w:val="clear" w:color="auto" w:fill="FFFFFF"/>
          <w:lang w:eastAsia="zh-CN"/>
          <w14:textFill>
            <w14:solidFill>
              <w14:schemeClr w14:val="tx1"/>
            </w14:solidFill>
          </w14:textFill>
        </w:rPr>
        <w:t xml:space="preserve"> </w:t>
      </w:r>
      <w:r>
        <w:rPr>
          <w:rFonts w:ascii="宋体" w:hAnsi="宋体" w:cs="Calibri"/>
          <w:color w:val="000000" w:themeColor="text1"/>
          <w:sz w:val="28"/>
          <w:szCs w:val="28"/>
          <w:shd w:val="clear" w:color="auto" w:fill="FFFFFF"/>
          <w:lang w:eastAsia="zh-CN"/>
          <w14:textFill>
            <w14:solidFill>
              <w14:schemeClr w14:val="tx1"/>
            </w14:solidFill>
          </w14:textFill>
        </w:rPr>
        <w:t>    </w:t>
      </w:r>
    </w:p>
    <w:p w14:paraId="15BAB219">
      <w:pPr>
        <w:shd w:val="clear" w:color="auto" w:fill="FFFFFF"/>
        <w:spacing w:line="520" w:lineRule="atLeast"/>
        <w:ind w:firstLine="640"/>
        <w:rPr>
          <w:rFonts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shd w:val="clear" w:color="auto" w:fill="FFFFFF"/>
          <w:lang w:eastAsia="zh-CN"/>
          <w14:textFill>
            <w14:solidFill>
              <w14:schemeClr w14:val="tx1"/>
            </w14:solidFill>
          </w14:textFill>
        </w:rPr>
        <w:t>4</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、坚持学校校务公开，深入师生，关爱师生，充分发挥教职员工在学校管理中的主人翁作用，坚持民主管理和民主监督，团结，依靠师生员工办好学校。</w:t>
      </w:r>
      <w:r>
        <w:rPr>
          <w:rFonts w:hint="eastAsia" w:ascii="宋体" w:hAnsi="宋体"/>
          <w:color w:val="000000" w:themeColor="text1"/>
          <w:sz w:val="28"/>
          <w:szCs w:val="28"/>
          <w:shd w:val="clear" w:color="auto" w:fill="FFFFFF"/>
          <w:lang w:eastAsia="zh-CN"/>
          <w14:textFill>
            <w14:solidFill>
              <w14:schemeClr w14:val="tx1"/>
            </w14:solidFill>
          </w14:textFill>
        </w:rPr>
        <w:t xml:space="preserve"> </w:t>
      </w:r>
      <w:r>
        <w:rPr>
          <w:rFonts w:ascii="宋体" w:hAnsi="宋体" w:cs="Calibri"/>
          <w:color w:val="000000" w:themeColor="text1"/>
          <w:sz w:val="28"/>
          <w:szCs w:val="28"/>
          <w:shd w:val="clear" w:color="auto" w:fill="FFFFFF"/>
          <w:lang w:eastAsia="zh-CN"/>
          <w14:textFill>
            <w14:solidFill>
              <w14:schemeClr w14:val="tx1"/>
            </w14:solidFill>
          </w14:textFill>
        </w:rPr>
        <w:t>    </w:t>
      </w:r>
    </w:p>
    <w:p w14:paraId="364F32E3">
      <w:pPr>
        <w:shd w:val="clear" w:color="auto" w:fill="FFFFFF"/>
        <w:spacing w:line="520" w:lineRule="atLeast"/>
        <w:ind w:firstLine="640"/>
        <w:rPr>
          <w:rFonts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shd w:val="clear" w:color="auto" w:fill="FFFFFF"/>
          <w:lang w:eastAsia="zh-CN"/>
          <w14:textFill>
            <w14:solidFill>
              <w14:schemeClr w14:val="tx1"/>
            </w14:solidFill>
          </w14:textFill>
        </w:rPr>
        <w:t>5</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坚持政治理论学习和业务能力培养，坚持建立正确有效的学校价值体系和校园文化，使学校管理与教育教学活动各项工作都在文化的意义上展开，不断完善和提高学校的整体开象和办学水平，起引领示范的带头作用。</w:t>
      </w:r>
    </w:p>
    <w:p w14:paraId="17600516">
      <w:pPr>
        <w:shd w:val="clear" w:color="auto" w:fill="FFFFFF"/>
        <w:spacing w:line="600" w:lineRule="atLeast"/>
        <w:ind w:firstLine="640"/>
        <w:rPr>
          <w:rFonts w:ascii="宋体" w:hAnsi="宋体"/>
          <w:color w:val="000000" w:themeColor="text1"/>
          <w:sz w:val="28"/>
          <w:szCs w:val="28"/>
          <w:lang w:eastAsia="zh-CN"/>
          <w14:textFill>
            <w14:solidFill>
              <w14:schemeClr w14:val="tx1"/>
            </w14:solidFill>
          </w14:textFill>
        </w:rPr>
      </w:pPr>
      <w:r>
        <w:rPr>
          <w:rFonts w:ascii="宋体" w:hAnsi="宋体" w:cs="Calibri"/>
          <w:color w:val="000000" w:themeColor="text1"/>
          <w:sz w:val="28"/>
          <w:szCs w:val="28"/>
          <w:shd w:val="clear" w:color="auto" w:fill="FFFFFF"/>
          <w:lang w:eastAsia="zh-CN"/>
          <w14:textFill>
            <w14:solidFill>
              <w14:schemeClr w14:val="tx1"/>
            </w14:solidFill>
          </w14:textFill>
        </w:rPr>
        <w:t> </w:t>
      </w:r>
      <w:r>
        <w:rPr>
          <w:rFonts w:hint="eastAsia" w:ascii="宋体" w:hAnsi="宋体"/>
          <w:color w:val="000000" w:themeColor="text1"/>
          <w:sz w:val="28"/>
          <w:szCs w:val="28"/>
          <w:shd w:val="clear" w:color="auto" w:fill="FFFFFF"/>
          <w:lang w:eastAsia="zh-CN"/>
          <w14:textFill>
            <w14:solidFill>
              <w14:schemeClr w14:val="tx1"/>
            </w14:solidFill>
          </w14:textFill>
        </w:rPr>
        <w:t>6</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、完成上级单位下达的各项任务和指标。</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79CC5AB3">
      <w:pPr>
        <w:pStyle w:val="10"/>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912.18</w:t>
      </w:r>
      <w:r>
        <w:rPr>
          <w:rFonts w:ascii="Times New Roman" w:hAnsi="Times New Roman" w:eastAsia="仿宋_GB2312" w:cs="Times New Roman"/>
          <w:sz w:val="32"/>
          <w:szCs w:val="32"/>
        </w:rPr>
        <w:t>万元，其中：</w:t>
      </w:r>
    </w:p>
    <w:p w14:paraId="4E06F6A5">
      <w:pPr>
        <w:pStyle w:val="10"/>
        <w:spacing w:line="600" w:lineRule="exact"/>
        <w:ind w:firstLine="643" w:firstLineChars="200"/>
        <w:rPr>
          <w:rFonts w:hint="eastAsia" w:ascii="Times New Roman" w:hAnsi="Times New Roman" w:eastAsia="楷体_GB2312" w:cs="Times New Roman"/>
          <w:b/>
          <w:bCs/>
          <w:i/>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816.64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89.53</w:t>
      </w:r>
      <w:r>
        <w:rPr>
          <w:rFonts w:ascii="Times New Roman" w:hAnsi="Times New Roman" w:eastAsia="仿宋_GB2312" w:cs="Times New Roman"/>
          <w:sz w:val="32"/>
          <w:szCs w:val="32"/>
        </w:rPr>
        <w:t>%,主要包括基本工资、</w:t>
      </w:r>
      <w:r>
        <w:rPr>
          <w:rFonts w:hint="eastAsia" w:ascii="仿宋" w:hAnsi="仿宋" w:eastAsia="仿宋" w:cs="仿宋"/>
          <w:sz w:val="32"/>
          <w:szCs w:val="32"/>
        </w:rPr>
        <w:t>基本工资、绩效工资、机关事业单位养老保险缴费、职业年金缴费等</w:t>
      </w:r>
      <w:r>
        <w:rPr>
          <w:rFonts w:ascii="Times New Roman" w:hAnsi="Times New Roman" w:eastAsia="仿宋_GB2312" w:cs="Times New Roman"/>
          <w:sz w:val="32"/>
          <w:szCs w:val="32"/>
        </w:rPr>
        <w:t>。</w:t>
      </w:r>
    </w:p>
    <w:p w14:paraId="70D955C8">
      <w:pPr>
        <w:pStyle w:val="10"/>
        <w:spacing w:line="600" w:lineRule="exact"/>
        <w:ind w:firstLine="643" w:firstLineChars="200"/>
        <w:rPr>
          <w:rFonts w:hint="eastAsia" w:ascii="Times New Roman" w:hAnsi="Times New Roman" w:eastAsia="仿宋_GB2312"/>
          <w:kern w:val="0"/>
          <w:sz w:val="32"/>
          <w:szCs w:val="32"/>
          <w:highlight w:val="none"/>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95.55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10.47</w:t>
      </w:r>
      <w:r>
        <w:rPr>
          <w:rFonts w:ascii="Times New Roman" w:hAnsi="Times New Roman" w:eastAsia="仿宋_GB2312" w:cs="Times New Roman"/>
          <w:sz w:val="32"/>
          <w:szCs w:val="32"/>
        </w:rPr>
        <w:t>%，主要包括办公费、印刷费、</w:t>
      </w:r>
      <w:r>
        <w:rPr>
          <w:rFonts w:hint="eastAsia" w:ascii="仿宋" w:hAnsi="仿宋" w:eastAsia="仿宋" w:cs="仿宋"/>
          <w:sz w:val="32"/>
          <w:szCs w:val="32"/>
        </w:rPr>
        <w:t>水费、电费、差旅费、维修（护）费、工会经费、其他交通费用等</w:t>
      </w:r>
      <w:r>
        <w:rPr>
          <w:rFonts w:ascii="Times New Roman" w:hAnsi="Times New Roman" w:eastAsia="仿宋_GB2312" w:cs="Times New Roman"/>
          <w:sz w:val="32"/>
          <w:szCs w:val="32"/>
        </w:rPr>
        <w:t>。</w:t>
      </w:r>
    </w:p>
    <w:p w14:paraId="00657FCB">
      <w:pPr>
        <w:pStyle w:val="9"/>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102D3A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kern w:val="0"/>
          <w:sz w:val="32"/>
          <w:szCs w:val="32"/>
          <w:highlight w:val="none"/>
          <w:lang w:val="en-US" w:eastAsia="zh-CN"/>
        </w:rPr>
      </w:pPr>
      <w:r>
        <w:rPr>
          <w:rFonts w:hint="eastAsia" w:ascii="仿宋" w:hAnsi="仿宋" w:eastAsia="仿宋"/>
          <w:sz w:val="32"/>
          <w:szCs w:val="32"/>
          <w:lang w:eastAsia="zh-CN"/>
        </w:rPr>
        <w:t>为缓解</w:t>
      </w:r>
      <w:r>
        <w:rPr>
          <w:rFonts w:hint="eastAsia" w:ascii="仿宋" w:hAnsi="仿宋" w:eastAsia="仿宋"/>
          <w:sz w:val="32"/>
          <w:szCs w:val="32"/>
          <w:lang w:val="en-US" w:eastAsia="zh-CN"/>
        </w:rPr>
        <w:t>汨罗市高泉小学综合楼陈旧</w:t>
      </w:r>
      <w:r>
        <w:rPr>
          <w:rFonts w:hint="eastAsia" w:ascii="仿宋" w:hAnsi="仿宋" w:eastAsia="仿宋"/>
          <w:sz w:val="32"/>
          <w:szCs w:val="32"/>
          <w:lang w:eastAsia="zh-CN"/>
        </w:rPr>
        <w:t>，提升汨罗市高泉小学办学条件，经汨罗市第13届人民政府第11次常务会议研究议定，同意实施汨罗市</w:t>
      </w:r>
      <w:r>
        <w:rPr>
          <w:rFonts w:hint="eastAsia" w:ascii="仿宋" w:hAnsi="仿宋" w:eastAsia="仿宋"/>
          <w:sz w:val="32"/>
          <w:szCs w:val="32"/>
          <w:lang w:val="en-US" w:eastAsia="zh-CN"/>
        </w:rPr>
        <w:t>高泉小学综合楼维修加固</w:t>
      </w:r>
      <w:r>
        <w:rPr>
          <w:rFonts w:hint="eastAsia" w:ascii="仿宋" w:hAnsi="仿宋" w:eastAsia="仿宋"/>
          <w:sz w:val="32"/>
          <w:szCs w:val="32"/>
          <w:lang w:eastAsia="zh-CN"/>
        </w:rPr>
        <w:t>。本项目</w:t>
      </w:r>
      <w:r>
        <w:rPr>
          <w:rFonts w:hint="eastAsia" w:ascii="仿宋" w:hAnsi="仿宋" w:eastAsia="仿宋"/>
          <w:sz w:val="32"/>
          <w:szCs w:val="32"/>
          <w:lang w:val="en-US" w:eastAsia="zh-CN"/>
        </w:rPr>
        <w:t>修缮</w:t>
      </w:r>
      <w:r>
        <w:rPr>
          <w:rFonts w:hint="eastAsia" w:ascii="仿宋" w:hAnsi="仿宋" w:eastAsia="仿宋"/>
          <w:sz w:val="32"/>
          <w:szCs w:val="32"/>
          <w:lang w:eastAsia="zh-CN"/>
        </w:rPr>
        <w:t>面积</w:t>
      </w:r>
      <w:r>
        <w:rPr>
          <w:rFonts w:hint="eastAsia" w:ascii="仿宋" w:hAnsi="仿宋" w:eastAsia="仿宋"/>
          <w:sz w:val="32"/>
          <w:szCs w:val="32"/>
          <w:lang w:val="en-US" w:eastAsia="zh-CN"/>
        </w:rPr>
        <w:t>2896</w:t>
      </w:r>
      <w:r>
        <w:rPr>
          <w:rFonts w:hint="eastAsia" w:ascii="仿宋" w:hAnsi="仿宋" w:eastAsia="仿宋"/>
          <w:sz w:val="32"/>
          <w:szCs w:val="32"/>
          <w:lang w:eastAsia="zh-CN"/>
        </w:rPr>
        <w:t>平方米，建设内容：改造原</w:t>
      </w:r>
      <w:r>
        <w:rPr>
          <w:rFonts w:hint="eastAsia" w:ascii="仿宋" w:hAnsi="仿宋" w:eastAsia="仿宋"/>
          <w:sz w:val="32"/>
          <w:szCs w:val="32"/>
          <w:lang w:val="en-US" w:eastAsia="zh-CN"/>
        </w:rPr>
        <w:t>教学楼</w:t>
      </w:r>
      <w:r>
        <w:rPr>
          <w:rFonts w:hint="eastAsia" w:ascii="仿宋" w:hAnsi="仿宋" w:eastAsia="仿宋"/>
          <w:sz w:val="32"/>
          <w:szCs w:val="32"/>
          <w:lang w:eastAsia="zh-CN"/>
        </w:rPr>
        <w:t>楼立面，</w:t>
      </w:r>
      <w:r>
        <w:rPr>
          <w:rFonts w:hint="eastAsia" w:ascii="仿宋" w:hAnsi="仿宋" w:eastAsia="仿宋"/>
          <w:sz w:val="32"/>
          <w:szCs w:val="32"/>
          <w:lang w:val="en-US" w:eastAsia="zh-CN"/>
        </w:rPr>
        <w:t>换修屋面，外墙防水喷漆，</w:t>
      </w:r>
      <w:r>
        <w:rPr>
          <w:rFonts w:hint="eastAsia" w:ascii="仿宋" w:hAnsi="仿宋" w:eastAsia="仿宋"/>
          <w:sz w:val="32"/>
          <w:szCs w:val="32"/>
          <w:lang w:eastAsia="zh-CN"/>
        </w:rPr>
        <w:t>并完善相关配套设施。本项目估算总投资</w:t>
      </w:r>
      <w:r>
        <w:rPr>
          <w:rFonts w:hint="eastAsia" w:ascii="仿宋" w:hAnsi="仿宋" w:eastAsia="仿宋"/>
          <w:sz w:val="32"/>
          <w:szCs w:val="32"/>
          <w:lang w:val="en-US" w:eastAsia="zh-CN"/>
        </w:rPr>
        <w:t>420</w:t>
      </w:r>
      <w:r>
        <w:rPr>
          <w:rFonts w:hint="eastAsia" w:ascii="仿宋" w:hAnsi="仿宋" w:eastAsia="仿宋"/>
          <w:sz w:val="32"/>
          <w:szCs w:val="32"/>
          <w:lang w:eastAsia="zh-CN"/>
        </w:rPr>
        <w:t>万元，其中：工程建设费用</w:t>
      </w:r>
      <w:r>
        <w:rPr>
          <w:rFonts w:hint="eastAsia" w:ascii="仿宋" w:hAnsi="仿宋" w:eastAsia="仿宋"/>
          <w:sz w:val="32"/>
          <w:szCs w:val="32"/>
          <w:lang w:val="en-US" w:eastAsia="zh-CN"/>
        </w:rPr>
        <w:t>359.2</w:t>
      </w:r>
      <w:r>
        <w:rPr>
          <w:rFonts w:hint="eastAsia" w:ascii="仿宋" w:hAnsi="仿宋" w:eastAsia="仿宋"/>
          <w:sz w:val="32"/>
          <w:szCs w:val="32"/>
          <w:lang w:eastAsia="zh-CN"/>
        </w:rPr>
        <w:t>万元，，工程建设其他费用</w:t>
      </w:r>
      <w:r>
        <w:rPr>
          <w:rFonts w:hint="eastAsia" w:ascii="仿宋" w:hAnsi="仿宋" w:eastAsia="仿宋"/>
          <w:sz w:val="32"/>
          <w:szCs w:val="32"/>
          <w:lang w:val="en-US" w:eastAsia="zh-CN"/>
        </w:rPr>
        <w:t>60.8</w:t>
      </w:r>
      <w:r>
        <w:rPr>
          <w:rFonts w:hint="eastAsia" w:ascii="仿宋" w:hAnsi="仿宋" w:eastAsia="仿宋"/>
          <w:sz w:val="32"/>
          <w:szCs w:val="32"/>
          <w:lang w:eastAsia="zh-CN"/>
        </w:rPr>
        <w:t>万元。资金来源为整合2022-2024年度</w:t>
      </w:r>
      <w:r>
        <w:rPr>
          <w:rFonts w:hint="eastAsia" w:ascii="仿宋" w:hAnsi="仿宋" w:eastAsia="仿宋"/>
          <w:sz w:val="32"/>
          <w:szCs w:val="32"/>
          <w:lang w:val="en-US" w:eastAsia="zh-CN"/>
        </w:rPr>
        <w:t>汨罗市本级</w:t>
      </w:r>
      <w:r>
        <w:rPr>
          <w:rFonts w:hint="eastAsia" w:ascii="仿宋" w:hAnsi="仿宋" w:eastAsia="仿宋"/>
          <w:sz w:val="32"/>
          <w:szCs w:val="32"/>
          <w:lang w:eastAsia="zh-CN"/>
        </w:rPr>
        <w:t>专项资金。</w:t>
      </w:r>
    </w:p>
    <w:p w14:paraId="516D3C52">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政府性基金预算财政拨款支出情况</w:t>
      </w:r>
    </w:p>
    <w:p w14:paraId="0ADF5A53">
      <w:pPr>
        <w:spacing w:line="600" w:lineRule="exact"/>
        <w:ind w:firstLine="600" w:firstLineChars="200"/>
        <w:jc w:val="both"/>
        <w:rPr>
          <w:rFonts w:hint="eastAsia" w:ascii="宋体" w:hAnsi="宋体" w:eastAsia="宋体"/>
          <w:sz w:val="30"/>
          <w:szCs w:val="30"/>
          <w:lang w:eastAsia="zh-CN"/>
        </w:rPr>
      </w:pPr>
      <w:r>
        <w:rPr>
          <w:rFonts w:hint="eastAsia" w:ascii="宋体" w:hAnsi="宋体" w:eastAsia="宋体"/>
          <w:sz w:val="30"/>
          <w:szCs w:val="30"/>
          <w:lang w:eastAsia="zh-CN"/>
        </w:rPr>
        <w:t>我单位无政府性基金预算支出。</w:t>
      </w:r>
    </w:p>
    <w:p w14:paraId="7A2C8523">
      <w:pPr>
        <w:numPr>
          <w:numId w:val="0"/>
        </w:numPr>
        <w:spacing w:line="600" w:lineRule="exact"/>
        <w:ind w:left="640" w:leftChars="0"/>
        <w:jc w:val="both"/>
        <w:rPr>
          <w:rFonts w:hint="eastAsia" w:ascii="方正黑体_GBK" w:eastAsia="方正黑体_GBK"/>
          <w:kern w:val="0"/>
          <w:sz w:val="32"/>
          <w:szCs w:val="32"/>
          <w:highlight w:val="none"/>
          <w:lang w:eastAsia="zh-CN"/>
        </w:rPr>
      </w:pPr>
    </w:p>
    <w:p w14:paraId="2A755169">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4417B72A">
      <w:pPr>
        <w:spacing w:line="600" w:lineRule="exact"/>
        <w:ind w:firstLine="600" w:firstLineChars="200"/>
        <w:jc w:val="both"/>
        <w:rPr>
          <w:rFonts w:hint="eastAsia" w:ascii="方正黑体_GBK" w:eastAsia="方正黑体_GBK"/>
          <w:kern w:val="0"/>
          <w:sz w:val="32"/>
          <w:szCs w:val="32"/>
          <w:highlight w:val="none"/>
          <w:lang w:eastAsia="zh-CN"/>
        </w:rPr>
      </w:pPr>
      <w:r>
        <w:rPr>
          <w:rFonts w:hint="eastAsia" w:ascii="宋体" w:hAnsi="宋体" w:eastAsia="宋体"/>
          <w:sz w:val="30"/>
          <w:szCs w:val="30"/>
          <w:lang w:eastAsia="zh-CN"/>
        </w:rPr>
        <w:t>我单位无国有资本经营预算支出。</w:t>
      </w:r>
    </w:p>
    <w:p w14:paraId="07F1EBC0">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2649F466">
      <w:pPr>
        <w:spacing w:line="600" w:lineRule="exact"/>
        <w:ind w:firstLine="600" w:firstLineChars="200"/>
        <w:jc w:val="both"/>
        <w:rPr>
          <w:rFonts w:hint="eastAsia" w:ascii="方正黑体_GBK" w:eastAsia="方正黑体_GBK"/>
          <w:kern w:val="0"/>
          <w:sz w:val="32"/>
          <w:szCs w:val="32"/>
          <w:highlight w:val="none"/>
          <w:lang w:eastAsia="zh-CN"/>
        </w:rPr>
      </w:pPr>
      <w:r>
        <w:rPr>
          <w:rFonts w:hint="eastAsia" w:ascii="宋体" w:hAnsi="宋体" w:eastAsia="宋体"/>
          <w:sz w:val="30"/>
          <w:szCs w:val="30"/>
          <w:lang w:eastAsia="zh-CN"/>
        </w:rPr>
        <w:t>我单位无社会保险基金预算支出。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五、部门整体支出绩效情况</w:t>
      </w:r>
    </w:p>
    <w:p w14:paraId="44DCC2FD">
      <w:pPr>
        <w:spacing w:line="600" w:lineRule="exact"/>
        <w:ind w:firstLine="600" w:firstLineChars="200"/>
        <w:jc w:val="both"/>
        <w:rPr>
          <w:rFonts w:hint="eastAsia" w:ascii="宋体" w:hAnsi="宋体" w:eastAsia="宋体"/>
          <w:sz w:val="30"/>
          <w:szCs w:val="30"/>
          <w:lang w:eastAsia="zh-CN"/>
        </w:rPr>
      </w:pPr>
      <w:r>
        <w:rPr>
          <w:rFonts w:hint="eastAsia" w:ascii="宋体" w:hAnsi="宋体" w:eastAsia="宋体"/>
          <w:sz w:val="30"/>
          <w:szCs w:val="30"/>
          <w:lang w:eastAsia="zh-CN"/>
        </w:rPr>
        <w:t>本年预算配置控制较好，财政供养人员控制在预算编制以内，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较好地完成了当年任务目标。</w:t>
      </w:r>
      <w:r>
        <w:rPr>
          <w:rFonts w:ascii="宋体" w:hAnsi="宋体" w:eastAsia="宋体"/>
          <w:sz w:val="30"/>
          <w:szCs w:val="30"/>
          <w:lang w:eastAsia="zh-CN"/>
        </w:rPr>
        <w:t>20</w:t>
      </w:r>
      <w:r>
        <w:rPr>
          <w:rFonts w:hint="eastAsia" w:ascii="宋体" w:hAnsi="宋体" w:eastAsia="宋体"/>
          <w:sz w:val="30"/>
          <w:szCs w:val="30"/>
          <w:lang w:eastAsia="zh-CN"/>
        </w:rPr>
        <w:t>23年全面完成了上级主管部门下达我校的各项工作任务和重点工作计划。</w:t>
      </w:r>
    </w:p>
    <w:p w14:paraId="643145FD">
      <w:pPr>
        <w:spacing w:line="600" w:lineRule="exact"/>
        <w:ind w:firstLine="600" w:firstLineChars="200"/>
        <w:rPr>
          <w:rFonts w:hint="eastAsia" w:ascii="宋体" w:hAnsi="宋体" w:eastAsia="宋体"/>
          <w:snapToGrid/>
          <w:color w:val="auto"/>
          <w:sz w:val="30"/>
          <w:szCs w:val="30"/>
          <w:lang w:eastAsia="zh-CN"/>
        </w:rPr>
      </w:pPr>
      <w:r>
        <w:rPr>
          <w:rFonts w:hint="eastAsia" w:ascii="宋体" w:hAnsi="宋体" w:eastAsia="宋体" w:cs="宋体"/>
          <w:sz w:val="30"/>
          <w:szCs w:val="30"/>
          <w:lang w:eastAsia="zh-CN"/>
        </w:rPr>
        <w:t>1、搞好教学常规管理工作，学期初要求每位教师制定好本学期的教学计划</w:t>
      </w:r>
      <w:r>
        <w:rPr>
          <w:rFonts w:ascii="宋体" w:hAnsi="宋体" w:eastAsia="宋体"/>
          <w:sz w:val="30"/>
          <w:szCs w:val="30"/>
          <w:lang w:eastAsia="zh-CN"/>
        </w:rPr>
        <w:t>,</w:t>
      </w:r>
      <w:r>
        <w:rPr>
          <w:rFonts w:hint="eastAsia" w:ascii="宋体" w:hAnsi="宋体" w:eastAsia="宋体" w:cs="宋体"/>
          <w:sz w:val="30"/>
          <w:szCs w:val="30"/>
          <w:lang w:eastAsia="zh-CN"/>
        </w:rPr>
        <w:t>在计划的指导下进行教学工作。每个月进行一次教学常规检查，并作好详实的记录。我们要求各教研组集体备课组统一按照教导处颁发的教案模式进行备课，从源头杜绝了假备课，并规范了教案撰写程序。在常规检查过程中，我们当场对每一位教师的常规工作进行打分，没有检查的限期送检，没有送检的计</w:t>
      </w:r>
      <w:r>
        <w:rPr>
          <w:rFonts w:ascii="宋体" w:hAnsi="宋体" w:eastAsia="宋体"/>
          <w:sz w:val="30"/>
          <w:szCs w:val="30"/>
          <w:lang w:eastAsia="zh-CN"/>
        </w:rPr>
        <w:t>0</w:t>
      </w:r>
      <w:r>
        <w:rPr>
          <w:rFonts w:hint="eastAsia" w:ascii="宋体" w:hAnsi="宋体" w:eastAsia="宋体" w:cs="宋体"/>
          <w:sz w:val="30"/>
          <w:szCs w:val="30"/>
          <w:lang w:eastAsia="zh-CN"/>
        </w:rPr>
        <w:t>分。</w:t>
      </w:r>
    </w:p>
    <w:p w14:paraId="5156F232">
      <w:pPr>
        <w:spacing w:line="600" w:lineRule="exact"/>
        <w:ind w:firstLine="600" w:firstLineChars="200"/>
        <w:rPr>
          <w:rFonts w:hint="eastAsia" w:ascii="宋体" w:hAnsi="宋体" w:eastAsia="宋体"/>
          <w:sz w:val="30"/>
          <w:szCs w:val="30"/>
          <w:lang w:eastAsia="zh-CN"/>
        </w:rPr>
      </w:pPr>
      <w:r>
        <w:rPr>
          <w:rFonts w:hint="eastAsia" w:ascii="宋体" w:hAnsi="宋体" w:eastAsia="宋体" w:cs="宋体"/>
          <w:sz w:val="30"/>
          <w:szCs w:val="30"/>
          <w:lang w:eastAsia="zh-CN"/>
        </w:rPr>
        <w:t>2、做优教研工作。一年来，我们的科研主要在三个方面着力：一是优化课模。通过全体行政普遍的听课调研来看，对</w:t>
      </w:r>
      <w:r>
        <w:rPr>
          <w:rFonts w:ascii="宋体" w:hAnsi="宋体" w:eastAsia="宋体"/>
          <w:sz w:val="30"/>
          <w:szCs w:val="30"/>
          <w:lang w:eastAsia="zh-CN"/>
        </w:rPr>
        <w:t>“</w:t>
      </w:r>
      <w:r>
        <w:rPr>
          <w:rFonts w:hint="eastAsia" w:ascii="宋体" w:hAnsi="宋体" w:eastAsia="宋体" w:cs="宋体"/>
          <w:sz w:val="30"/>
          <w:szCs w:val="30"/>
          <w:lang w:eastAsia="zh-CN"/>
        </w:rPr>
        <w:t>三环六步</w:t>
      </w:r>
      <w:r>
        <w:rPr>
          <w:rFonts w:ascii="宋体" w:hAnsi="宋体" w:eastAsia="宋体"/>
          <w:sz w:val="30"/>
          <w:szCs w:val="30"/>
          <w:lang w:eastAsia="zh-CN"/>
        </w:rPr>
        <w:t>”</w:t>
      </w:r>
      <w:r>
        <w:rPr>
          <w:rFonts w:hint="eastAsia" w:ascii="宋体" w:hAnsi="宋体" w:eastAsia="宋体" w:cs="宋体"/>
          <w:sz w:val="30"/>
          <w:szCs w:val="30"/>
          <w:lang w:eastAsia="zh-CN"/>
        </w:rPr>
        <w:t>的教学模式老师们理解更深刻了，落实更灵活了。二是 升级了校本作业本。去年暑假，我们组织一批优秀老师对我们自编的校本课堂作业本进行了一次升级，从反馈的情况看，学习重点、难点、热点、易错点、常考点均得到了很好的体现，并得到了许多领导和兄弟学校的肯定。三是强化课题研究。小语组省级课题《小学生语文学生学习效率的研究》进展顺利，小数组《高效课堂的教学模式探究》和《自主学习课堂的实施研究》课题正有序推进。</w:t>
      </w:r>
    </w:p>
    <w:p w14:paraId="0F96489A">
      <w:pPr>
        <w:spacing w:line="600" w:lineRule="exact"/>
        <w:ind w:firstLine="600" w:firstLineChars="200"/>
        <w:rPr>
          <w:rFonts w:hint="eastAsia" w:ascii="宋体" w:hAnsi="宋体" w:eastAsia="宋体"/>
          <w:sz w:val="30"/>
          <w:szCs w:val="30"/>
          <w:lang w:eastAsia="zh-CN"/>
        </w:rPr>
      </w:pPr>
      <w:r>
        <w:rPr>
          <w:rFonts w:hint="eastAsia" w:ascii="宋体" w:hAnsi="宋体" w:eastAsia="宋体" w:cs="宋体"/>
          <w:sz w:val="30"/>
          <w:szCs w:val="30"/>
          <w:lang w:eastAsia="zh-CN"/>
        </w:rPr>
        <w:t>3、  做细特长培训。在精选教练、精挑苗子的基础上，我们精心培训，精细服务，因此</w:t>
      </w:r>
      <w:r>
        <w:rPr>
          <w:rFonts w:hint="eastAsia" w:ascii="宋体" w:hAnsi="宋体" w:eastAsia="宋体"/>
          <w:sz w:val="30"/>
          <w:szCs w:val="30"/>
          <w:lang w:eastAsia="zh-CN"/>
        </w:rPr>
        <w:t>202</w:t>
      </w:r>
      <w:r>
        <w:rPr>
          <w:rFonts w:hint="eastAsia" w:ascii="宋体" w:hAnsi="宋体" w:eastAsia="宋体"/>
          <w:sz w:val="30"/>
          <w:szCs w:val="30"/>
          <w:lang w:val="en-US" w:eastAsia="zh-CN"/>
        </w:rPr>
        <w:t>4</w:t>
      </w:r>
      <w:r>
        <w:rPr>
          <w:rFonts w:hint="eastAsia" w:ascii="宋体" w:hAnsi="宋体" w:eastAsia="宋体" w:cs="宋体"/>
          <w:sz w:val="30"/>
          <w:szCs w:val="30"/>
          <w:lang w:eastAsia="zh-CN"/>
        </w:rPr>
        <w:t>年我们的特长发展又是一个丰收年。在全市的学科能力竞赛中，有几十位学生获奖，在全市科技创新大赛、各类征文比赛中，有三十多人次获奖。在何笃、傅一等教练的辛苦付出下，学校各项体育比赛可谓捷报频传。</w:t>
      </w:r>
    </w:p>
    <w:p w14:paraId="136BE6A8">
      <w:pPr>
        <w:spacing w:line="600" w:lineRule="exact"/>
        <w:ind w:firstLine="600" w:firstLineChars="200"/>
        <w:rPr>
          <w:rFonts w:hint="eastAsia" w:ascii="宋体" w:hAnsi="宋体" w:eastAsia="宋体"/>
          <w:sz w:val="30"/>
          <w:szCs w:val="30"/>
          <w:lang w:eastAsia="zh-CN"/>
        </w:rPr>
      </w:pPr>
      <w:r>
        <w:rPr>
          <w:rFonts w:hint="eastAsia" w:ascii="宋体" w:hAnsi="宋体" w:eastAsia="宋体" w:cs="宋体"/>
          <w:sz w:val="30"/>
          <w:szCs w:val="30"/>
          <w:lang w:eastAsia="zh-CN"/>
        </w:rPr>
        <w:t>辛勤的付出，换来的是高泉小学质量名片的闪亮。</w:t>
      </w:r>
      <w:r>
        <w:rPr>
          <w:rFonts w:hint="eastAsia" w:ascii="宋体" w:hAnsi="宋体" w:eastAsia="宋体"/>
          <w:sz w:val="30"/>
          <w:szCs w:val="30"/>
          <w:lang w:eastAsia="zh-CN"/>
        </w:rPr>
        <w:t>学校老师</w:t>
      </w:r>
      <w:r>
        <w:rPr>
          <w:rFonts w:hint="eastAsia" w:ascii="宋体" w:hAnsi="宋体" w:eastAsia="宋体" w:cs="宋体"/>
          <w:sz w:val="30"/>
          <w:szCs w:val="30"/>
          <w:lang w:eastAsia="zh-CN"/>
        </w:rPr>
        <w:t>获得汨罗市优秀学科称号的有</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科，优秀个人</w:t>
      </w:r>
      <w:r>
        <w:rPr>
          <w:rFonts w:hint="eastAsia" w:ascii="宋体" w:hAnsi="宋体" w:eastAsia="宋体" w:cs="宋体"/>
          <w:sz w:val="30"/>
          <w:szCs w:val="30"/>
          <w:lang w:val="en-US" w:eastAsia="zh-CN"/>
        </w:rPr>
        <w:t>2</w:t>
      </w:r>
      <w:r>
        <w:rPr>
          <w:rFonts w:hint="eastAsia" w:ascii="宋体" w:hAnsi="宋体" w:eastAsia="宋体" w:cs="宋体"/>
          <w:sz w:val="30"/>
          <w:szCs w:val="30"/>
          <w:lang w:eastAsia="zh-CN"/>
        </w:rPr>
        <w:t>人，获得汨罗市先进学科</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科，获先进称号的老师有</w:t>
      </w:r>
      <w:r>
        <w:rPr>
          <w:rFonts w:hint="eastAsia" w:ascii="宋体" w:hAnsi="宋体" w:eastAsia="宋体"/>
          <w:sz w:val="30"/>
          <w:szCs w:val="30"/>
          <w:lang w:eastAsia="zh-CN"/>
        </w:rPr>
        <w:t>8</w:t>
      </w:r>
      <w:r>
        <w:rPr>
          <w:rFonts w:hint="eastAsia" w:ascii="宋体" w:hAnsi="宋体" w:eastAsia="宋体" w:cs="宋体"/>
          <w:sz w:val="30"/>
          <w:szCs w:val="30"/>
          <w:lang w:eastAsia="zh-CN"/>
        </w:rPr>
        <w:t>人次。</w:t>
      </w:r>
    </w:p>
    <w:p w14:paraId="2D7C830A">
      <w:pPr>
        <w:spacing w:line="600" w:lineRule="exact"/>
        <w:rPr>
          <w:rFonts w:hint="eastAsia" w:ascii="宋体" w:hAnsi="宋体" w:eastAsia="宋体"/>
          <w:sz w:val="30"/>
          <w:szCs w:val="30"/>
          <w:lang w:eastAsia="zh-CN"/>
        </w:rPr>
      </w:pPr>
      <w:r>
        <w:rPr>
          <w:rFonts w:ascii="宋体" w:hAnsi="宋体" w:eastAsia="宋体"/>
          <w:sz w:val="30"/>
          <w:szCs w:val="30"/>
          <w:lang w:eastAsia="zh-CN"/>
        </w:rPr>
        <w:t xml:space="preserve">    </w:t>
      </w:r>
      <w:r>
        <w:rPr>
          <w:rFonts w:hint="eastAsia" w:ascii="宋体" w:hAnsi="宋体" w:eastAsia="宋体" w:cs="宋体"/>
          <w:sz w:val="30"/>
          <w:szCs w:val="30"/>
          <w:lang w:eastAsia="zh-CN"/>
        </w:rPr>
        <w:t>4、精心组织考试</w:t>
      </w:r>
      <w:r>
        <w:rPr>
          <w:rFonts w:ascii="宋体" w:hAnsi="宋体" w:eastAsia="宋体"/>
          <w:sz w:val="30"/>
          <w:szCs w:val="30"/>
          <w:lang w:eastAsia="zh-CN"/>
        </w:rPr>
        <w:t>,</w:t>
      </w:r>
      <w:r>
        <w:rPr>
          <w:rFonts w:hint="eastAsia" w:ascii="宋体" w:hAnsi="宋体" w:eastAsia="宋体" w:cs="宋体"/>
          <w:sz w:val="30"/>
          <w:szCs w:val="30"/>
          <w:lang w:eastAsia="zh-CN"/>
        </w:rPr>
        <w:t>严格考试的各个环节</w:t>
      </w:r>
      <w:r>
        <w:rPr>
          <w:rFonts w:ascii="宋体" w:hAnsi="宋体" w:eastAsia="宋体"/>
          <w:sz w:val="30"/>
          <w:szCs w:val="30"/>
          <w:lang w:eastAsia="zh-CN"/>
        </w:rPr>
        <w:t>,</w:t>
      </w:r>
      <w:r>
        <w:rPr>
          <w:rFonts w:hint="eastAsia" w:ascii="宋体" w:hAnsi="宋体" w:eastAsia="宋体" w:cs="宋体"/>
          <w:sz w:val="30"/>
          <w:szCs w:val="30"/>
          <w:lang w:eastAsia="zh-CN"/>
        </w:rPr>
        <w:t>做到公平、公正地珍惜全体师生的劳动成果</w:t>
      </w:r>
      <w:r>
        <w:rPr>
          <w:rFonts w:ascii="宋体" w:hAnsi="宋体" w:eastAsia="宋体"/>
          <w:sz w:val="30"/>
          <w:szCs w:val="30"/>
          <w:lang w:eastAsia="zh-CN"/>
        </w:rPr>
        <w:t>,</w:t>
      </w:r>
      <w:r>
        <w:rPr>
          <w:rFonts w:hint="eastAsia" w:ascii="宋体" w:hAnsi="宋体" w:eastAsia="宋体" w:cs="宋体"/>
          <w:sz w:val="30"/>
          <w:szCs w:val="30"/>
          <w:lang w:eastAsia="zh-CN"/>
        </w:rPr>
        <w:t>认真分析总结考试情况</w:t>
      </w:r>
      <w:r>
        <w:rPr>
          <w:rFonts w:ascii="宋体" w:hAnsi="宋体" w:eastAsia="宋体"/>
          <w:sz w:val="30"/>
          <w:szCs w:val="30"/>
          <w:lang w:eastAsia="zh-CN"/>
        </w:rPr>
        <w:t>,</w:t>
      </w:r>
      <w:r>
        <w:rPr>
          <w:rFonts w:hint="eastAsia" w:ascii="宋体" w:hAnsi="宋体" w:eastAsia="宋体" w:cs="宋体"/>
          <w:sz w:val="30"/>
          <w:szCs w:val="30"/>
          <w:lang w:eastAsia="zh-CN"/>
        </w:rPr>
        <w:t>并在全校大会上对考试作深刻的讲评。对各个年级的教学工作起到了一定的指导作用</w:t>
      </w:r>
      <w:r>
        <w:rPr>
          <w:rFonts w:ascii="宋体" w:hAnsi="宋体" w:eastAsia="宋体"/>
          <w:sz w:val="30"/>
          <w:szCs w:val="30"/>
          <w:lang w:eastAsia="zh-CN"/>
        </w:rPr>
        <w:t>,</w:t>
      </w:r>
      <w:r>
        <w:rPr>
          <w:rFonts w:hint="eastAsia" w:ascii="宋体" w:hAnsi="宋体" w:eastAsia="宋体" w:cs="宋体"/>
          <w:sz w:val="30"/>
          <w:szCs w:val="30"/>
          <w:lang w:eastAsia="zh-CN"/>
        </w:rPr>
        <w:t>对全体师生的教与学起到了一定的激励作用。为学校宏观调整教育教学管理提供强有力的依据。</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六、存在的问题及原因分析</w:t>
      </w:r>
    </w:p>
    <w:p w14:paraId="6E78A0FC">
      <w:pPr>
        <w:widowControl w:val="0"/>
        <w:kinsoku/>
        <w:snapToGrid/>
        <w:spacing w:line="600" w:lineRule="exact"/>
        <w:ind w:firstLine="600" w:firstLineChars="200"/>
        <w:textAlignment w:val="auto"/>
        <w:rPr>
          <w:rFonts w:hint="eastAsia" w:ascii="宋体" w:hAnsi="宋体" w:eastAsia="宋体" w:cs="宋体"/>
          <w:snapToGrid/>
          <w:sz w:val="30"/>
          <w:szCs w:val="30"/>
          <w:lang w:eastAsia="zh-CN"/>
        </w:rPr>
      </w:pPr>
      <w:r>
        <w:rPr>
          <w:rFonts w:hint="eastAsia" w:ascii="宋体" w:hAnsi="宋体" w:eastAsia="宋体" w:cs="宋体"/>
          <w:snapToGrid/>
          <w:sz w:val="30"/>
          <w:szCs w:val="30"/>
          <w:lang w:eastAsia="zh-CN"/>
        </w:rPr>
        <w:t>我部门从预算和预算绩效管理、部门履职效能、资金分配、使用和管理、资产和财务管理、政府采购等方面归纳存在的问题；反映各种预算支出执行偏离绩效目标的情况，并分析其原因。</w:t>
      </w:r>
    </w:p>
    <w:p w14:paraId="24C4CBB3">
      <w:pPr>
        <w:spacing w:line="600" w:lineRule="exact"/>
        <w:ind w:firstLine="600"/>
        <w:rPr>
          <w:rFonts w:hint="eastAsia" w:ascii="宋体" w:hAnsi="宋体" w:eastAsia="宋体" w:cs="宋体"/>
          <w:sz w:val="30"/>
          <w:lang w:eastAsia="zh-CN"/>
        </w:rPr>
      </w:pPr>
      <w:r>
        <w:rPr>
          <w:rFonts w:ascii="宋体" w:hAnsi="宋体" w:eastAsia="宋体" w:cs="宋体"/>
          <w:sz w:val="30"/>
          <w:lang w:eastAsia="zh-CN"/>
        </w:rPr>
        <w:t>整体支出绩效</w:t>
      </w:r>
      <w:r>
        <w:rPr>
          <w:rFonts w:hint="eastAsia" w:ascii="宋体" w:hAnsi="宋体" w:eastAsia="宋体" w:cs="宋体"/>
          <w:sz w:val="30"/>
          <w:lang w:eastAsia="zh-CN"/>
        </w:rPr>
        <w:t>存在的问题及原因分析为：</w:t>
      </w:r>
    </w:p>
    <w:p w14:paraId="2CC75816">
      <w:pPr>
        <w:spacing w:line="600" w:lineRule="exact"/>
        <w:ind w:firstLine="600"/>
        <w:rPr>
          <w:rFonts w:hint="eastAsia" w:ascii="宋体" w:hAnsi="宋体" w:eastAsia="宋体" w:cs="宋体"/>
          <w:sz w:val="30"/>
          <w:szCs w:val="30"/>
          <w:lang w:eastAsia="zh-CN"/>
        </w:rPr>
      </w:pPr>
      <w:r>
        <w:rPr>
          <w:rFonts w:hint="eastAsia" w:ascii="宋体" w:hAnsi="宋体" w:eastAsia="宋体" w:cs="宋体"/>
          <w:sz w:val="30"/>
          <w:lang w:eastAsia="zh-CN"/>
        </w:rPr>
        <w:t>存在的问题：相关管理制度还有待进一步完善，部门预算支出科目与决算支出科目调整较大。</w:t>
      </w:r>
      <w:r>
        <w:rPr>
          <w:rFonts w:ascii="宋体" w:hAnsi="宋体" w:eastAsia="宋体"/>
          <w:sz w:val="30"/>
          <w:szCs w:val="30"/>
          <w:lang w:eastAsia="zh-CN"/>
        </w:rPr>
        <w:t>目前我机关在项目绩效目标设</w:t>
      </w:r>
      <w:r>
        <w:rPr>
          <w:rFonts w:hint="eastAsia" w:ascii="宋体" w:hAnsi="宋体" w:eastAsia="宋体"/>
          <w:sz w:val="30"/>
          <w:szCs w:val="30"/>
          <w:lang w:eastAsia="zh-CN"/>
        </w:rPr>
        <w:t>定、预算执行、资金使用等方面，不同程度地存在一些操作不够规范、跟踪不够及时、衔接不够充分、监督不到位等问题。</w:t>
      </w:r>
    </w:p>
    <w:p w14:paraId="21E6073D">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510FF10B">
      <w:pPr>
        <w:spacing w:line="600" w:lineRule="exact"/>
        <w:ind w:firstLine="600"/>
        <w:rPr>
          <w:rFonts w:hint="eastAsia" w:ascii="宋体" w:hAnsi="宋体" w:eastAsia="宋体" w:cs="宋体"/>
          <w:sz w:val="30"/>
          <w:lang w:eastAsia="zh-CN"/>
        </w:rPr>
      </w:pPr>
      <w:r>
        <w:rPr>
          <w:rFonts w:hint="eastAsia" w:ascii="宋体" w:hAnsi="宋体" w:eastAsia="宋体" w:cs="宋体"/>
          <w:sz w:val="30"/>
          <w:lang w:eastAsia="zh-CN"/>
        </w:rPr>
        <w:t>1、细化预算编制工作，做好预算的编制。严格按照预算编制的相关制度和要求进行预算编制，全面编制预算项目，优先保障固定性的相对刚性的费用支出项目，进一步提高预算编制的科学性、严谨性和可控性。</w:t>
      </w:r>
    </w:p>
    <w:p w14:paraId="6B9F117A">
      <w:pPr>
        <w:spacing w:line="600" w:lineRule="exact"/>
        <w:ind w:firstLine="600"/>
        <w:rPr>
          <w:rFonts w:hint="eastAsia" w:ascii="宋体" w:hAnsi="宋体" w:eastAsia="宋体" w:cs="宋体"/>
          <w:sz w:val="30"/>
          <w:lang w:eastAsia="zh-CN"/>
        </w:rPr>
      </w:pPr>
      <w:r>
        <w:rPr>
          <w:rFonts w:hint="eastAsia" w:ascii="宋体" w:hAnsi="宋体" w:eastAsia="宋体" w:cs="宋体"/>
          <w:sz w:val="30"/>
          <w:lang w:eastAsia="zh-CN"/>
        </w:rPr>
        <w:t>2、加强财务管理，严格财务审批。在费用报账支付时，按照预算规定的费用项目和用途进行资金使用、审核，列报支付，财务核算杜绝超支现象的发生。</w:t>
      </w:r>
    </w:p>
    <w:p w14:paraId="506E7765">
      <w:pPr>
        <w:spacing w:line="600" w:lineRule="exact"/>
        <w:ind w:firstLine="600"/>
        <w:rPr>
          <w:rFonts w:hint="eastAsia" w:ascii="宋体" w:hAnsi="宋体" w:eastAsia="宋体" w:cs="宋体"/>
          <w:sz w:val="30"/>
          <w:lang w:eastAsia="zh-CN"/>
        </w:rPr>
      </w:pPr>
      <w:r>
        <w:rPr>
          <w:rFonts w:hint="eastAsia" w:ascii="宋体" w:hAnsi="宋体" w:eastAsia="宋体" w:cs="宋体"/>
          <w:sz w:val="30"/>
          <w:lang w:eastAsia="zh-CN"/>
        </w:rPr>
        <w:t>3、持续抓好“三公经费”管理。严格控制“三公经费”的规模和比例，把关“三公经费”支出的审核、审批，进一步细化“三公经费”的管理，合理压缩“三公经费”的支出。</w:t>
      </w:r>
    </w:p>
    <w:p w14:paraId="38E7441E">
      <w:pPr>
        <w:spacing w:line="600" w:lineRule="exact"/>
        <w:ind w:firstLine="600"/>
        <w:rPr>
          <w:rFonts w:hint="eastAsia" w:ascii="宋体" w:hAnsi="宋体" w:eastAsia="宋体" w:cs="宋体"/>
          <w:sz w:val="30"/>
          <w:lang w:eastAsia="zh-CN"/>
        </w:rPr>
      </w:pPr>
      <w:r>
        <w:rPr>
          <w:rFonts w:hint="eastAsia" w:ascii="宋体" w:hAnsi="宋体" w:eastAsia="宋体" w:cs="宋体"/>
          <w:sz w:val="30"/>
          <w:lang w:eastAsia="zh-CN"/>
        </w:rPr>
        <w:t>4、加强队伍建设，抓好绩效评价管理部门的队伍建设和业务指导，培养部门的绩效管理队伍，建立绩效评价的长期机制。</w:t>
      </w:r>
    </w:p>
    <w:p w14:paraId="1B2D185B">
      <w:pPr>
        <w:spacing w:line="600" w:lineRule="exact"/>
        <w:ind w:firstLine="600"/>
        <w:rPr>
          <w:rFonts w:hint="eastAsia" w:ascii="宋体" w:hAnsi="宋体" w:eastAsia="宋体" w:cs="宋体"/>
          <w:sz w:val="30"/>
          <w:lang w:eastAsia="zh-CN"/>
        </w:rPr>
      </w:pPr>
      <w:r>
        <w:rPr>
          <w:rFonts w:hint="eastAsia" w:ascii="宋体" w:hAnsi="宋体" w:eastAsia="宋体" w:cs="宋体"/>
          <w:sz w:val="30"/>
          <w:lang w:eastAsia="zh-CN"/>
        </w:rPr>
        <w:t xml:space="preserve">5、建议市财政局定期主办教育整体资金绩效评价的专题培训，提高教育行政干部的整体绩效管理意识和工作人员的整体绩效管理水平。  </w:t>
      </w:r>
    </w:p>
    <w:p w14:paraId="7CABB0E1">
      <w:pPr>
        <w:numPr>
          <w:numId w:val="0"/>
        </w:numPr>
        <w:spacing w:line="600" w:lineRule="exact"/>
        <w:jc w:val="both"/>
        <w:rPr>
          <w:rFonts w:hint="eastAsia" w:ascii="方正黑体_GBK" w:eastAsia="方正黑体_GBK"/>
          <w:kern w:val="0"/>
          <w:sz w:val="32"/>
          <w:szCs w:val="32"/>
          <w:lang w:eastAsia="zh-CN"/>
        </w:rPr>
      </w:pPr>
    </w:p>
    <w:p w14:paraId="37ACA1CA">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7014F2B0">
      <w:pPr>
        <w:spacing w:line="600" w:lineRule="exact"/>
        <w:ind w:firstLine="600" w:firstLineChars="200"/>
        <w:jc w:val="both"/>
        <w:rPr>
          <w:rFonts w:hint="eastAsia" w:ascii="方正黑体_GBK" w:eastAsia="方正黑体_GBK"/>
          <w:kern w:val="0"/>
          <w:sz w:val="32"/>
          <w:szCs w:val="32"/>
          <w:lang w:eastAsia="zh-CN"/>
        </w:rPr>
      </w:pPr>
      <w:r>
        <w:rPr>
          <w:rFonts w:hint="eastAsia" w:ascii="宋体" w:hAnsi="宋体" w:eastAsia="宋体"/>
          <w:sz w:val="30"/>
          <w:szCs w:val="30"/>
          <w:lang w:eastAsia="zh-CN"/>
        </w:rPr>
        <w:t>根据汨罗市财政局相关部门统一部署，我单位202</w:t>
      </w:r>
      <w:r>
        <w:rPr>
          <w:rFonts w:hint="eastAsia" w:ascii="宋体" w:hAnsi="宋体" w:eastAsia="宋体"/>
          <w:sz w:val="30"/>
          <w:szCs w:val="30"/>
          <w:lang w:val="en-US" w:eastAsia="zh-CN"/>
        </w:rPr>
        <w:t>4</w:t>
      </w:r>
      <w:r>
        <w:rPr>
          <w:rFonts w:hint="eastAsia" w:ascii="宋体" w:hAnsi="宋体" w:eastAsia="宋体"/>
          <w:sz w:val="30"/>
          <w:szCs w:val="30"/>
          <w:lang w:eastAsia="zh-CN"/>
        </w:rPr>
        <w:t>年度部门整体支出绩效自评情况将在汨罗市人民政府门户网站公开，接受社会监督。对绩效自评工作中发现的问题及时整改，解决好绩效评价管理中存在的问题，提高工作效能。根据部门整体支出绩效评价指标评分标准，202</w:t>
      </w:r>
      <w:r>
        <w:rPr>
          <w:rFonts w:hint="eastAsia" w:ascii="宋体" w:hAnsi="宋体" w:eastAsia="宋体"/>
          <w:sz w:val="30"/>
          <w:szCs w:val="30"/>
          <w:lang w:val="en-US" w:eastAsia="zh-CN"/>
        </w:rPr>
        <w:t>4</w:t>
      </w:r>
      <w:r>
        <w:rPr>
          <w:rFonts w:hint="eastAsia" w:ascii="宋体" w:hAnsi="宋体" w:eastAsia="宋体"/>
          <w:sz w:val="30"/>
          <w:szCs w:val="30"/>
          <w:lang w:eastAsia="zh-CN"/>
        </w:rPr>
        <w:t>年我单位部门整体评价自评分为1</w:t>
      </w:r>
      <w:r>
        <w:rPr>
          <w:rFonts w:hint="eastAsia" w:ascii="宋体" w:hAnsi="宋体" w:eastAsia="宋体"/>
          <w:sz w:val="30"/>
          <w:szCs w:val="30"/>
          <w:lang w:val="en-US" w:eastAsia="zh-CN"/>
        </w:rPr>
        <w:t>98</w:t>
      </w:r>
      <w:r>
        <w:rPr>
          <w:rFonts w:hint="eastAsia" w:ascii="宋体" w:hAnsi="宋体" w:eastAsia="宋体"/>
          <w:sz w:val="30"/>
          <w:szCs w:val="30"/>
          <w:lang w:eastAsia="zh-CN"/>
        </w:rPr>
        <w:t>分。</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九、其他需要说明的情况</w:t>
      </w:r>
    </w:p>
    <w:p w14:paraId="3C7E2132">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112EF2DF">
      <w:pPr>
        <w:spacing w:line="600" w:lineRule="exact"/>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综合楼维修</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bookmarkStart w:id="0" w:name="_GoBack"/>
      <w:bookmarkEnd w:id="0"/>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4F324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562" w:firstLineChars="200"/>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ascii="仿宋" w:hAnsi="仿宋" w:eastAsia="仿宋"/>
          <w:sz w:val="32"/>
          <w:szCs w:val="32"/>
          <w:lang w:eastAsia="zh-CN"/>
        </w:rPr>
        <w:t>为缓解</w:t>
      </w:r>
      <w:r>
        <w:rPr>
          <w:rFonts w:hint="eastAsia" w:ascii="仿宋" w:hAnsi="仿宋" w:eastAsia="仿宋"/>
          <w:sz w:val="32"/>
          <w:szCs w:val="32"/>
          <w:lang w:val="en-US" w:eastAsia="zh-CN"/>
        </w:rPr>
        <w:t>汨罗市实验小学教学楼陈旧</w:t>
      </w:r>
      <w:r>
        <w:rPr>
          <w:rFonts w:hint="eastAsia" w:ascii="仿宋" w:hAnsi="仿宋" w:eastAsia="仿宋"/>
          <w:sz w:val="32"/>
          <w:szCs w:val="32"/>
          <w:lang w:eastAsia="zh-CN"/>
        </w:rPr>
        <w:t>，提升汨罗市实验小学办学条件，经汨罗市第13届人民政府第11次常务会议研究议定，同意实施汨罗市</w:t>
      </w:r>
      <w:r>
        <w:rPr>
          <w:rFonts w:hint="eastAsia" w:ascii="仿宋" w:hAnsi="仿宋" w:eastAsia="仿宋"/>
          <w:sz w:val="32"/>
          <w:szCs w:val="32"/>
          <w:lang w:val="en-US" w:eastAsia="zh-CN"/>
        </w:rPr>
        <w:t>实验小学1、2栋教学楼维修加固</w:t>
      </w:r>
      <w:r>
        <w:rPr>
          <w:rFonts w:hint="eastAsia" w:ascii="仿宋" w:hAnsi="仿宋" w:eastAsia="仿宋"/>
          <w:sz w:val="32"/>
          <w:szCs w:val="32"/>
          <w:lang w:eastAsia="zh-CN"/>
        </w:rPr>
        <w:t>。本项目</w:t>
      </w:r>
      <w:r>
        <w:rPr>
          <w:rFonts w:hint="eastAsia" w:ascii="仿宋" w:hAnsi="仿宋" w:eastAsia="仿宋"/>
          <w:sz w:val="32"/>
          <w:szCs w:val="32"/>
          <w:lang w:val="en-US" w:eastAsia="zh-CN"/>
        </w:rPr>
        <w:t>修缮</w:t>
      </w:r>
      <w:r>
        <w:rPr>
          <w:rFonts w:hint="eastAsia" w:ascii="仿宋" w:hAnsi="仿宋" w:eastAsia="仿宋"/>
          <w:sz w:val="32"/>
          <w:szCs w:val="32"/>
          <w:lang w:eastAsia="zh-CN"/>
        </w:rPr>
        <w:t>面积</w:t>
      </w:r>
      <w:r>
        <w:rPr>
          <w:rFonts w:hint="eastAsia" w:ascii="仿宋" w:hAnsi="仿宋" w:eastAsia="仿宋"/>
          <w:sz w:val="32"/>
          <w:szCs w:val="32"/>
          <w:lang w:val="en-US" w:eastAsia="zh-CN"/>
        </w:rPr>
        <w:t>2689</w:t>
      </w:r>
      <w:r>
        <w:rPr>
          <w:rFonts w:hint="eastAsia" w:ascii="仿宋" w:hAnsi="仿宋" w:eastAsia="仿宋"/>
          <w:sz w:val="32"/>
          <w:szCs w:val="32"/>
          <w:lang w:eastAsia="zh-CN"/>
        </w:rPr>
        <w:t>平方米，建设内容：改造原</w:t>
      </w:r>
      <w:r>
        <w:rPr>
          <w:rFonts w:hint="eastAsia" w:ascii="仿宋" w:hAnsi="仿宋" w:eastAsia="仿宋"/>
          <w:sz w:val="32"/>
          <w:szCs w:val="32"/>
          <w:lang w:val="en-US" w:eastAsia="zh-CN"/>
        </w:rPr>
        <w:t>教学楼</w:t>
      </w:r>
      <w:r>
        <w:rPr>
          <w:rFonts w:hint="eastAsia" w:ascii="仿宋" w:hAnsi="仿宋" w:eastAsia="仿宋"/>
          <w:sz w:val="32"/>
          <w:szCs w:val="32"/>
          <w:lang w:eastAsia="zh-CN"/>
        </w:rPr>
        <w:t>楼立面，</w:t>
      </w:r>
      <w:r>
        <w:rPr>
          <w:rFonts w:hint="eastAsia" w:ascii="仿宋" w:hAnsi="仿宋" w:eastAsia="仿宋"/>
          <w:sz w:val="32"/>
          <w:szCs w:val="32"/>
          <w:lang w:val="en-US" w:eastAsia="zh-CN"/>
        </w:rPr>
        <w:t>换修屋面，外墙防水喷漆，</w:t>
      </w:r>
      <w:r>
        <w:rPr>
          <w:rFonts w:hint="eastAsia" w:ascii="仿宋" w:hAnsi="仿宋" w:eastAsia="仿宋"/>
          <w:sz w:val="32"/>
          <w:szCs w:val="32"/>
          <w:lang w:eastAsia="zh-CN"/>
        </w:rPr>
        <w:t>并完善相关配套设施。本项目估算总投资</w:t>
      </w:r>
      <w:r>
        <w:rPr>
          <w:rFonts w:hint="eastAsia" w:ascii="仿宋" w:hAnsi="仿宋" w:eastAsia="仿宋"/>
          <w:sz w:val="32"/>
          <w:szCs w:val="32"/>
          <w:lang w:val="en-US" w:eastAsia="zh-CN"/>
        </w:rPr>
        <w:t>256.9</w:t>
      </w:r>
      <w:r>
        <w:rPr>
          <w:rFonts w:hint="eastAsia" w:ascii="仿宋" w:hAnsi="仿宋" w:eastAsia="仿宋"/>
          <w:sz w:val="32"/>
          <w:szCs w:val="32"/>
          <w:lang w:eastAsia="zh-CN"/>
        </w:rPr>
        <w:t>万元，其中：工程建设费用</w:t>
      </w:r>
      <w:r>
        <w:rPr>
          <w:rFonts w:hint="eastAsia" w:ascii="仿宋" w:hAnsi="仿宋" w:eastAsia="仿宋"/>
          <w:sz w:val="32"/>
          <w:szCs w:val="32"/>
          <w:lang w:val="en-US" w:eastAsia="zh-CN"/>
        </w:rPr>
        <w:t>226.48</w:t>
      </w:r>
      <w:r>
        <w:rPr>
          <w:rFonts w:hint="eastAsia" w:ascii="仿宋" w:hAnsi="仿宋" w:eastAsia="仿宋"/>
          <w:sz w:val="32"/>
          <w:szCs w:val="32"/>
          <w:lang w:eastAsia="zh-CN"/>
        </w:rPr>
        <w:t>万元，，工程建设其他费用</w:t>
      </w:r>
      <w:r>
        <w:rPr>
          <w:rFonts w:hint="eastAsia" w:ascii="仿宋" w:hAnsi="仿宋" w:eastAsia="仿宋"/>
          <w:sz w:val="32"/>
          <w:szCs w:val="32"/>
          <w:lang w:val="en-US" w:eastAsia="zh-CN"/>
        </w:rPr>
        <w:t>30.42</w:t>
      </w:r>
      <w:r>
        <w:rPr>
          <w:rFonts w:hint="eastAsia" w:ascii="仿宋" w:hAnsi="仿宋" w:eastAsia="仿宋"/>
          <w:sz w:val="32"/>
          <w:szCs w:val="32"/>
          <w:lang w:eastAsia="zh-CN"/>
        </w:rPr>
        <w:t>万元。资金来源为整合2022-2024年度</w:t>
      </w:r>
      <w:r>
        <w:rPr>
          <w:rFonts w:hint="eastAsia" w:ascii="仿宋" w:hAnsi="仿宋" w:eastAsia="仿宋"/>
          <w:sz w:val="32"/>
          <w:szCs w:val="32"/>
          <w:lang w:val="en-US" w:eastAsia="zh-CN"/>
        </w:rPr>
        <w:t>汨罗市本级</w:t>
      </w:r>
      <w:r>
        <w:rPr>
          <w:rFonts w:hint="eastAsia" w:ascii="仿宋" w:hAnsi="仿宋" w:eastAsia="仿宋"/>
          <w:sz w:val="32"/>
          <w:szCs w:val="32"/>
          <w:lang w:eastAsia="zh-CN"/>
        </w:rPr>
        <w:t>专项资金。</w:t>
      </w:r>
    </w:p>
    <w:p w14:paraId="6A73BF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zh-CN"/>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项目支出组织管 理机构</w:t>
      </w:r>
      <w:r>
        <w:rPr>
          <w:rFonts w:hint="eastAsia" w:eastAsia="仿宋_GB2312"/>
          <w:kern w:val="0"/>
          <w:sz w:val="32"/>
          <w:szCs w:val="32"/>
          <w:lang w:val="en-US" w:eastAsia="zh-CN"/>
        </w:rPr>
        <w:t>：</w:t>
      </w:r>
    </w:p>
    <w:p w14:paraId="0209CB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本项目由湖南广厦建设工程有限公司负责本项目的管理和建设。</w:t>
      </w:r>
      <w:r>
        <w:rPr>
          <w:rFonts w:hint="eastAsia" w:eastAsia="仿宋_GB2312"/>
          <w:kern w:val="0"/>
          <w:sz w:val="32"/>
          <w:szCs w:val="32"/>
          <w:lang w:val="en-US" w:eastAsia="en-US"/>
        </w:rPr>
        <w:t>项目资金和项目管理制度建设</w:t>
      </w:r>
    </w:p>
    <w:p w14:paraId="54B860CA">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在资金管理上，项目资金由汨罗市教体局统一管理，专账核算，</w:t>
      </w:r>
    </w:p>
    <w:p w14:paraId="4065F58E">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统一管理，专款专用。在资金使用上，实行由财政、审计、监察等部门对资金的流向、使用进行定期检查。在工程资金管理中，我们坚持做到中央投资、各级地方财政投入资金直接拨付到对公帐户，杜</w:t>
      </w:r>
    </w:p>
    <w:p w14:paraId="59388A2A">
      <w:pPr>
        <w:spacing w:line="560" w:lineRule="exact"/>
        <w:rPr>
          <w:rFonts w:hint="eastAsia" w:eastAsia="仿宋_GB2312"/>
          <w:kern w:val="0"/>
          <w:sz w:val="32"/>
          <w:szCs w:val="32"/>
          <w:lang w:val="en-US" w:eastAsia="en-US"/>
        </w:rPr>
      </w:pPr>
      <w:r>
        <w:rPr>
          <w:rFonts w:hint="eastAsia" w:ascii="仿宋" w:hAnsi="仿宋" w:eastAsia="仿宋"/>
          <w:sz w:val="32"/>
          <w:szCs w:val="32"/>
          <w:lang w:eastAsia="zh-CN"/>
        </w:rPr>
        <w:t>绝了挤占、挪用建设资金现象。</w:t>
      </w:r>
    </w:p>
    <w:p w14:paraId="4F34EB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项目资金投向结构合理 性，资金拨付及时性</w:t>
      </w:r>
    </w:p>
    <w:p w14:paraId="25214017">
      <w:pPr>
        <w:spacing w:line="560" w:lineRule="exact"/>
        <w:ind w:firstLine="640" w:firstLineChars="200"/>
        <w:rPr>
          <w:rFonts w:hint="eastAsia" w:eastAsia="仿宋_GB2312"/>
          <w:kern w:val="0"/>
          <w:sz w:val="32"/>
          <w:szCs w:val="32"/>
          <w:lang w:val="en-US" w:eastAsia="en-US"/>
        </w:rPr>
      </w:pPr>
      <w:r>
        <w:rPr>
          <w:rFonts w:hint="eastAsia" w:ascii="仿宋" w:hAnsi="仿宋" w:eastAsia="仿宋"/>
          <w:sz w:val="32"/>
          <w:szCs w:val="32"/>
          <w:shd w:val="clear" w:color="auto" w:fill="FFFFFF"/>
          <w:lang w:eastAsia="zh-CN"/>
        </w:rPr>
        <w:t>经施工方提交进度付款申请单、监理人签证，由财政、监察等部门审核后项目进行进度支付。汨罗市财政局下达高泉</w:t>
      </w:r>
      <w:r>
        <w:rPr>
          <w:rFonts w:hint="eastAsia" w:ascii="仿宋" w:hAnsi="仿宋" w:eastAsia="仿宋"/>
          <w:sz w:val="32"/>
          <w:szCs w:val="32"/>
          <w:shd w:val="clear" w:color="auto" w:fill="FFFFFF"/>
          <w:lang w:val="en-US" w:eastAsia="zh-CN"/>
        </w:rPr>
        <w:t>小学综合楼维修加固</w:t>
      </w:r>
      <w:r>
        <w:rPr>
          <w:rFonts w:hint="eastAsia" w:ascii="仿宋" w:hAnsi="仿宋" w:eastAsia="仿宋"/>
          <w:sz w:val="32"/>
          <w:szCs w:val="32"/>
          <w:shd w:val="clear" w:color="auto" w:fill="FFFFFF"/>
          <w:lang w:eastAsia="zh-CN"/>
        </w:rPr>
        <w:t>项目</w:t>
      </w:r>
      <w:r>
        <w:rPr>
          <w:rFonts w:hint="eastAsia" w:ascii="仿宋" w:hAnsi="仿宋" w:eastAsia="仿宋"/>
          <w:sz w:val="32"/>
          <w:szCs w:val="32"/>
          <w:shd w:val="clear" w:color="auto" w:fill="FFFFFF"/>
          <w:lang w:val="en-US" w:eastAsia="zh-CN"/>
        </w:rPr>
        <w:t>420</w:t>
      </w:r>
      <w:r>
        <w:rPr>
          <w:rFonts w:hint="eastAsia" w:ascii="仿宋" w:hAnsi="仿宋" w:eastAsia="仿宋"/>
          <w:sz w:val="32"/>
          <w:szCs w:val="32"/>
          <w:shd w:val="clear" w:color="auto" w:fill="FFFFFF"/>
          <w:lang w:eastAsia="zh-CN"/>
        </w:rPr>
        <w:t>万元，已完成投资</w:t>
      </w:r>
      <w:r>
        <w:rPr>
          <w:rFonts w:hint="eastAsia" w:ascii="仿宋" w:hAnsi="仿宋" w:eastAsia="仿宋"/>
          <w:sz w:val="32"/>
          <w:szCs w:val="32"/>
          <w:shd w:val="clear" w:color="auto" w:fill="FFFFFF"/>
          <w:lang w:val="en-US" w:eastAsia="zh-CN"/>
        </w:rPr>
        <w:t>420</w:t>
      </w:r>
      <w:r>
        <w:rPr>
          <w:rFonts w:hint="eastAsia" w:ascii="仿宋" w:hAnsi="仿宋" w:eastAsia="仿宋"/>
          <w:sz w:val="32"/>
          <w:szCs w:val="32"/>
          <w:shd w:val="clear" w:color="auto" w:fill="FFFFFF"/>
          <w:lang w:eastAsia="zh-CN"/>
        </w:rPr>
        <w:t>万元，投资完成率</w:t>
      </w:r>
      <w:r>
        <w:rPr>
          <w:rFonts w:hint="eastAsia" w:ascii="仿宋" w:hAnsi="仿宋" w:eastAsia="仿宋"/>
          <w:sz w:val="32"/>
          <w:szCs w:val="32"/>
          <w:shd w:val="clear" w:color="auto" w:fill="FFFFFF"/>
          <w:lang w:val="en-US" w:eastAsia="zh-CN"/>
        </w:rPr>
        <w:t>100</w:t>
      </w:r>
      <w:r>
        <w:rPr>
          <w:rFonts w:hint="eastAsia" w:ascii="仿宋" w:hAnsi="仿宋" w:eastAsia="仿宋"/>
          <w:sz w:val="32"/>
          <w:szCs w:val="32"/>
          <w:shd w:val="clear" w:color="auto" w:fill="FFFFFF"/>
          <w:lang w:eastAsia="zh-CN"/>
        </w:rPr>
        <w:t>%。</w:t>
      </w:r>
    </w:p>
    <w:p w14:paraId="773090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项目立项、申报、评审、监督管理、验收等阶段组织实施的合规性</w:t>
      </w:r>
    </w:p>
    <w:p w14:paraId="5889935A">
      <w:pPr>
        <w:spacing w:line="560" w:lineRule="exact"/>
        <w:ind w:firstLine="640" w:firstLineChars="200"/>
        <w:rPr>
          <w:rFonts w:hint="eastAsia" w:ascii="仿宋" w:hAnsi="仿宋" w:eastAsia="仿宋"/>
          <w:snapToGrid/>
          <w:sz w:val="32"/>
          <w:szCs w:val="32"/>
          <w:lang w:eastAsia="zh-CN"/>
        </w:rPr>
      </w:pPr>
      <w:r>
        <w:rPr>
          <w:rFonts w:hint="eastAsia" w:ascii="仿宋" w:hAnsi="仿宋" w:eastAsia="仿宋"/>
          <w:snapToGrid/>
          <w:sz w:val="32"/>
          <w:szCs w:val="32"/>
          <w:lang w:eastAsia="zh-CN"/>
        </w:rPr>
        <w:t>在项目实施过程中，邀请相关机构组织专家对项目进行评审，建设方组织监理公司对工程建设进行全面监督管理；验收由建设方组织相关部门进行联合验收。</w:t>
      </w:r>
    </w:p>
    <w:p w14:paraId="4C162558">
      <w:pPr>
        <w:spacing w:line="560" w:lineRule="exact"/>
        <w:ind w:firstLine="640" w:firstLineChars="200"/>
        <w:rPr>
          <w:rFonts w:hint="eastAsia" w:eastAsia="仿宋_GB2312"/>
          <w:kern w:val="0"/>
          <w:sz w:val="32"/>
          <w:szCs w:val="32"/>
          <w:lang w:val="en-US" w:eastAsia="en-US"/>
        </w:rPr>
      </w:pPr>
      <w:r>
        <w:rPr>
          <w:rFonts w:hint="eastAsia" w:ascii="仿宋" w:hAnsi="仿宋" w:eastAsia="仿宋"/>
          <w:sz w:val="32"/>
          <w:szCs w:val="32"/>
          <w:shd w:val="clear" w:color="auto" w:fill="FFFFFF"/>
          <w:lang w:val="en-US" w:eastAsia="zh-CN"/>
        </w:rPr>
        <w:t>实验小学维修加固</w:t>
      </w:r>
      <w:r>
        <w:rPr>
          <w:rFonts w:hint="eastAsia" w:ascii="仿宋" w:hAnsi="仿宋" w:eastAsia="仿宋"/>
          <w:sz w:val="32"/>
          <w:szCs w:val="32"/>
          <w:shd w:val="clear" w:color="auto" w:fill="FFFFFF"/>
          <w:lang w:eastAsia="zh-CN"/>
        </w:rPr>
        <w:t>项目相关支出按程序由汨罗市财政局事前进行审批和核算，依照政府采购程序进行，汨罗市教体局负责监督管理及验收。</w:t>
      </w:r>
    </w:p>
    <w:p w14:paraId="093A69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主要包括绩效总目标和阶段性目标，实现的产出情况和取得的效益情况。</w:t>
      </w:r>
    </w:p>
    <w:p w14:paraId="6702AD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在暑期完成教学楼的全面维修改造，确保其符合安全标准，并通过所有必要的检查和认证。</w:t>
      </w:r>
    </w:p>
    <w:p w14:paraId="352E71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5-6月：完成初步设计方案和预算审批。</w:t>
      </w:r>
    </w:p>
    <w:p w14:paraId="272484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7月：完成主体结构加固和水电改造。</w:t>
      </w:r>
    </w:p>
    <w:p w14:paraId="0508B8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8月：完成内外部装修和设施安装。</w:t>
      </w:r>
    </w:p>
    <w:p w14:paraId="51ACA0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9月初：完成最终验收和交付使用。</w:t>
      </w:r>
    </w:p>
    <w:p w14:paraId="3D9ED2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实现产出情况符合设计要求和预算。</w:t>
      </w:r>
    </w:p>
    <w:p w14:paraId="6853C6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提升建筑物的安全性和舒适性，提高了学校使用体验。</w:t>
      </w:r>
    </w:p>
    <w:p w14:paraId="6732EB4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3E1AA6B7">
      <w:pPr>
        <w:spacing w:line="560" w:lineRule="exact"/>
        <w:ind w:firstLine="960" w:firstLineChars="300"/>
        <w:rPr>
          <w:rFonts w:ascii="黑体" w:hAnsi="黑体" w:eastAsia="黑体" w:cs="黑体"/>
          <w:b/>
          <w:bCs/>
          <w:spacing w:val="-15"/>
          <w:sz w:val="31"/>
          <w:szCs w:val="31"/>
        </w:rPr>
      </w:pPr>
      <w:r>
        <w:rPr>
          <w:rFonts w:hint="eastAsia" w:ascii="仿宋" w:hAnsi="仿宋" w:eastAsia="仿宋"/>
          <w:sz w:val="32"/>
          <w:szCs w:val="32"/>
          <w:lang w:eastAsia="zh-CN"/>
        </w:rPr>
        <w:t>为确保此次绩效评价工作内容完整、客观公正，</w:t>
      </w:r>
      <w:r>
        <w:rPr>
          <w:rFonts w:hint="eastAsia" w:ascii="仿宋" w:hAnsi="仿宋" w:eastAsia="仿宋"/>
          <w:sz w:val="32"/>
          <w:szCs w:val="32"/>
          <w:lang w:val="en-US" w:eastAsia="zh-CN"/>
        </w:rPr>
        <w:t>教体局</w:t>
      </w:r>
      <w:r>
        <w:rPr>
          <w:rFonts w:hint="eastAsia" w:ascii="仿宋" w:hAnsi="仿宋" w:eastAsia="仿宋"/>
          <w:sz w:val="32"/>
          <w:szCs w:val="32"/>
          <w:lang w:eastAsia="zh-CN"/>
        </w:rPr>
        <w:t>高度重视，由分管领导牵头，协调相关单位共同完成。</w:t>
      </w:r>
    </w:p>
    <w:p w14:paraId="3771819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702A53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textAlignment w:val="baseline"/>
        <w:outlineLvl w:val="0"/>
        <w:rPr>
          <w:rFonts w:ascii="黑体" w:hAnsi="黑体" w:eastAsia="黑体" w:cs="黑体"/>
          <w:b/>
          <w:bCs/>
          <w:spacing w:val="-15"/>
          <w:sz w:val="31"/>
          <w:szCs w:val="31"/>
        </w:rPr>
      </w:pPr>
      <w:r>
        <w:rPr>
          <w:rFonts w:hint="eastAsia" w:eastAsia="仿宋_GB2312" w:cs="Arial"/>
          <w:snapToGrid w:val="0"/>
          <w:color w:val="000000"/>
          <w:kern w:val="0"/>
          <w:sz w:val="32"/>
          <w:szCs w:val="32"/>
          <w:lang w:val="en-US" w:eastAsia="zh-CN" w:bidi="ar-SA"/>
        </w:rPr>
        <w:t>完成教学楼的全面维修改造，确保其符合安全标准，并通过所有必要的检查和认证，提高了综合楼的安全性和舒适度，让师生使用体验得到很大的提升。项目评价结论为“优”。</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797B00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351E60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立项依据充分性、预算编制合理性、决策程序规范性</w:t>
      </w:r>
    </w:p>
    <w:p w14:paraId="2701246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5EF82C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default"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资金执行率、进度偏差率、质量达标率、风险管理有效性等达标</w:t>
      </w:r>
    </w:p>
    <w:p w14:paraId="3822DFF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2594007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产出数量（如期完成项目）、产出质量（合格达标）、产出时效（按时完成）</w:t>
      </w:r>
    </w:p>
    <w:p w14:paraId="315F1F53">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40C0BDA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cs="Arial"/>
          <w:snapToGrid w:val="0"/>
          <w:color w:val="000000"/>
          <w:kern w:val="0"/>
          <w:sz w:val="32"/>
          <w:szCs w:val="32"/>
          <w:lang w:val="en-US" w:eastAsia="zh-CN" w:bidi="ar-SA"/>
        </w:rPr>
        <w:t>经济效益（成本节约）、社会效益（提升学校办学品质）、环境效益（资源节约）、可持续性、满意度达95%以上</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8015E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无</w:t>
      </w:r>
    </w:p>
    <w:p w14:paraId="58DE129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1E392DE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无</w:t>
      </w:r>
    </w:p>
    <w:p w14:paraId="6BBCD63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75A995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BB47"/>
    <w:multiLevelType w:val="singleLevel"/>
    <w:tmpl w:val="FBFEBB47"/>
    <w:lvl w:ilvl="0" w:tentative="0">
      <w:start w:val="2"/>
      <w:numFmt w:val="chineseCounting"/>
      <w:suff w:val="nothing"/>
      <w:lvlText w:val="（%1）"/>
      <w:lvlJc w:val="left"/>
      <w:rPr>
        <w:rFonts w:hint="eastAsia"/>
      </w:rPr>
    </w:lvl>
  </w:abstractNum>
  <w:abstractNum w:abstractNumId="1">
    <w:nsid w:val="FDBFD55C"/>
    <w:multiLevelType w:val="singleLevel"/>
    <w:tmpl w:val="FDBFD55C"/>
    <w:lvl w:ilvl="0" w:tentative="0">
      <w:start w:val="1"/>
      <w:numFmt w:val="chineseCounting"/>
      <w:suff w:val="nothing"/>
      <w:lvlText w:val="%1、"/>
      <w:lvlJc w:val="left"/>
      <w:rPr>
        <w:rFonts w:hint="eastAsia"/>
      </w:rPr>
    </w:lvl>
  </w:abstractNum>
  <w:abstractNum w:abstractNumId="2">
    <w:nsid w:val="FDFF0D8F"/>
    <w:multiLevelType w:val="singleLevel"/>
    <w:tmpl w:val="FDFF0D8F"/>
    <w:lvl w:ilvl="0" w:tentative="0">
      <w:start w:val="7"/>
      <w:numFmt w:val="chineseCounting"/>
      <w:suff w:val="nothing"/>
      <w:lvlText w:val="%1、"/>
      <w:lvlJc w:val="left"/>
      <w:rPr>
        <w:rFonts w:hint="eastAsia"/>
      </w:rPr>
    </w:lvl>
  </w:abstractNum>
  <w:abstractNum w:abstractNumId="3">
    <w:nsid w:val="FFFF6A90"/>
    <w:multiLevelType w:val="singleLevel"/>
    <w:tmpl w:val="FFFF6A90"/>
    <w:lvl w:ilvl="0" w:tentative="0">
      <w:start w:val="2"/>
      <w:numFmt w:val="chineseCounting"/>
      <w:suff w:val="nothing"/>
      <w:lvlText w:val="%1、"/>
      <w:lvlJc w:val="left"/>
      <w:rPr>
        <w:rFonts w:hint="eastAsia"/>
      </w:rPr>
    </w:lvl>
  </w:abstractNum>
  <w:abstractNum w:abstractNumId="4">
    <w:nsid w:val="4ED3A905"/>
    <w:multiLevelType w:val="singleLevel"/>
    <w:tmpl w:val="4ED3A90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5F53DB2"/>
    <w:rsid w:val="57AE6D93"/>
    <w:rsid w:val="58E04635"/>
    <w:rsid w:val="5E3C4FFE"/>
    <w:rsid w:val="5FB623A7"/>
    <w:rsid w:val="6BB1387F"/>
    <w:rsid w:val="6D075A1F"/>
    <w:rsid w:val="6E3851B0"/>
    <w:rsid w:val="76E539FB"/>
    <w:rsid w:val="784167CA"/>
    <w:rsid w:val="795F7B03"/>
    <w:rsid w:val="7B38EA1D"/>
    <w:rsid w:val="7CFA7150"/>
    <w:rsid w:val="7ED67756"/>
    <w:rsid w:val="7F7F0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1917</Words>
  <Characters>1979</Characters>
  <TotalTime>0</TotalTime>
  <ScaleCrop>false</ScaleCrop>
  <LinksUpToDate>false</LinksUpToDate>
  <CharactersWithSpaces>2134</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kylin</cp:lastModifiedBy>
  <cp:lastPrinted>2024-05-21T22:05:00Z</cp:lastPrinted>
  <dcterms:modified xsi:type="dcterms:W3CDTF">2025-09-22T08:59:37Z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2052-12.8.2.21176</vt:lpwstr>
  </property>
  <property fmtid="{D5CDD505-2E9C-101B-9397-08002B2CF9AE}" pid="6" name="ICV">
    <vt:lpwstr>65969DA8EB5E4E0087E86608160D7609_13</vt:lpwstr>
  </property>
  <property fmtid="{D5CDD505-2E9C-101B-9397-08002B2CF9AE}" pid="7" name="KSOTemplateDocerSaveRecord">
    <vt:lpwstr>eyJoZGlkIjoiOWM0ZDNkNzllNjFkMmQyNmM3MGYxYTIxMGM5M2M4ZmUiLCJ1c2VySWQiOiIxNzA4MTQzMjM2In0=</vt:lpwstr>
  </property>
</Properties>
</file>