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41.67%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0.77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0.55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23AA2EC5"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0.77</w:t>
            </w:r>
          </w:p>
        </w:tc>
        <w:tc>
          <w:tcPr>
            <w:tcW w:w="2039" w:type="dxa"/>
            <w:gridSpan w:val="2"/>
            <w:shd w:val="clear"/>
            <w:vAlign w:val="center"/>
          </w:tcPr>
          <w:p w14:paraId="672289A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/>
            <w:vAlign w:val="center"/>
          </w:tcPr>
          <w:p w14:paraId="7985B4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0.55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58.95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10.13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32.03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8.92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1.3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5.56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14.22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0.7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12.14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7.25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4.52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2.2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2.2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、加强宣传，提高厉行节约，反对铺张浪费意识。</w:t>
            </w:r>
            <w:r>
              <w:rPr>
                <w:rFonts w:ascii="仿宋_GB2312" w:hAnsi="宋体" w:eastAsia="仿宋_GB2312" w:cs="宋体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、从紧配置办公设备和家具。</w:t>
            </w:r>
            <w:r>
              <w:rPr>
                <w:rFonts w:ascii="仿宋_GB2312" w:hAnsi="宋体" w:eastAsia="仿宋_GB2312" w:cs="宋体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、从严控制各类预算支出，提升资金使用效率。</w:t>
            </w:r>
            <w:r>
              <w:rPr>
                <w:rFonts w:ascii="仿宋_GB2312" w:hAnsi="宋体" w:eastAsia="仿宋_GB2312" w:cs="宋体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、降低政府采购费用。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汨罗市教育技术中心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83.98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81.98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81.98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81.98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81.98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4ABC393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目标1.现代教育技术在教学及教学管理中的应用推广。</w:t>
            </w:r>
          </w:p>
          <w:p w14:paraId="0EA75360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目标2：公共教学资源的策划、建设与维护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</w:t>
            </w:r>
          </w:p>
          <w:p w14:paraId="4D35630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目标3：信息化建设规划、实施与应用。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基本完成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/>
            <w:vAlign w:val="center"/>
          </w:tcPr>
          <w:p w14:paraId="785E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1.信息化试点校建设</w:t>
            </w:r>
          </w:p>
        </w:tc>
        <w:tc>
          <w:tcPr>
            <w:tcW w:w="1298" w:type="dxa"/>
            <w:shd w:val="clear"/>
            <w:vAlign w:val="center"/>
          </w:tcPr>
          <w:p w14:paraId="2A37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完成1所网络联校试点</w:t>
            </w:r>
          </w:p>
        </w:tc>
        <w:tc>
          <w:tcPr>
            <w:tcW w:w="1269" w:type="dxa"/>
            <w:shd w:val="clear"/>
            <w:vAlign w:val="center"/>
          </w:tcPr>
          <w:p w14:paraId="708D788A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完成</w:t>
            </w:r>
          </w:p>
        </w:tc>
        <w:tc>
          <w:tcPr>
            <w:tcW w:w="699" w:type="dxa"/>
            <w:shd w:val="clear"/>
            <w:vAlign w:val="center"/>
          </w:tcPr>
          <w:p w14:paraId="567F5E5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869" w:type="dxa"/>
            <w:shd w:val="clear"/>
            <w:vAlign w:val="center"/>
          </w:tcPr>
          <w:p w14:paraId="2717B7C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35E4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2.网络等保</w:t>
            </w:r>
          </w:p>
        </w:tc>
        <w:tc>
          <w:tcPr>
            <w:tcW w:w="1298" w:type="dxa"/>
            <w:shd w:val="clear"/>
            <w:vAlign w:val="center"/>
          </w:tcPr>
          <w:p w14:paraId="15CE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对教育网络实行二级等保</w:t>
            </w:r>
          </w:p>
        </w:tc>
        <w:tc>
          <w:tcPr>
            <w:tcW w:w="1269" w:type="dxa"/>
            <w:shd w:val="clear"/>
            <w:vAlign w:val="center"/>
          </w:tcPr>
          <w:p w14:paraId="346D111F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  <w:tc>
          <w:tcPr>
            <w:tcW w:w="699" w:type="dxa"/>
            <w:shd w:val="clear"/>
            <w:vAlign w:val="center"/>
          </w:tcPr>
          <w:p w14:paraId="4812C5E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869" w:type="dxa"/>
            <w:shd w:val="clear"/>
            <w:vAlign w:val="center"/>
          </w:tcPr>
          <w:p w14:paraId="42665481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/>
            <w:vAlign w:val="center"/>
          </w:tcPr>
          <w:p w14:paraId="1042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1.使理化生实验仪器器材全部到位；</w:t>
            </w:r>
          </w:p>
        </w:tc>
        <w:tc>
          <w:tcPr>
            <w:tcW w:w="1298" w:type="dxa"/>
            <w:shd w:val="clear"/>
            <w:vAlign w:val="center"/>
          </w:tcPr>
          <w:p w14:paraId="1A5ADA3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全市理化生实验能全部开设</w:t>
            </w:r>
          </w:p>
        </w:tc>
        <w:tc>
          <w:tcPr>
            <w:tcW w:w="1269" w:type="dxa"/>
            <w:shd w:val="clear"/>
            <w:vAlign w:val="center"/>
          </w:tcPr>
          <w:p w14:paraId="54075F0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  <w:tc>
          <w:tcPr>
            <w:tcW w:w="699" w:type="dxa"/>
            <w:shd w:val="clear"/>
            <w:vAlign w:val="center"/>
          </w:tcPr>
          <w:p w14:paraId="5580FC8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/>
            <w:vAlign w:val="center"/>
          </w:tcPr>
          <w:p w14:paraId="0982B111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3BA5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2.对教育化装备进行更新换代</w:t>
            </w:r>
          </w:p>
        </w:tc>
        <w:tc>
          <w:tcPr>
            <w:tcW w:w="1298" w:type="dxa"/>
            <w:shd w:val="clear"/>
            <w:vAlign w:val="center"/>
          </w:tcPr>
          <w:p w14:paraId="33DF5A2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更新班班通工程，光纤到校工程</w:t>
            </w:r>
          </w:p>
        </w:tc>
        <w:tc>
          <w:tcPr>
            <w:tcW w:w="1269" w:type="dxa"/>
            <w:shd w:val="clear"/>
            <w:vAlign w:val="center"/>
          </w:tcPr>
          <w:p w14:paraId="4F080A0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/>
            <w:vAlign w:val="center"/>
          </w:tcPr>
          <w:p w14:paraId="155F4AE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869" w:type="dxa"/>
            <w:shd w:val="clear"/>
            <w:vAlign w:val="center"/>
          </w:tcPr>
          <w:p w14:paraId="2A22618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/>
            <w:vAlign w:val="center"/>
          </w:tcPr>
          <w:p w14:paraId="5323318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各项事项按省教育厅、岳阳市教体局、汨罗市教体局的安排按时完成。</w:t>
            </w:r>
          </w:p>
        </w:tc>
        <w:tc>
          <w:tcPr>
            <w:tcW w:w="1298" w:type="dxa"/>
            <w:shd w:val="clear"/>
            <w:vAlign w:val="center"/>
          </w:tcPr>
          <w:p w14:paraId="479FA5D5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按时完成</w:t>
            </w:r>
          </w:p>
        </w:tc>
        <w:tc>
          <w:tcPr>
            <w:tcW w:w="1269" w:type="dxa"/>
            <w:shd w:val="clear"/>
            <w:vAlign w:val="center"/>
          </w:tcPr>
          <w:p w14:paraId="5C1B340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/>
            <w:vAlign w:val="center"/>
          </w:tcPr>
          <w:p w14:paraId="4C56B99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869" w:type="dxa"/>
            <w:shd w:val="clear"/>
            <w:vAlign w:val="center"/>
          </w:tcPr>
          <w:p w14:paraId="5DA3483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298" w:type="dxa"/>
            <w:vAlign w:val="center"/>
          </w:tcPr>
          <w:p w14:paraId="7A000B20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2024年</w:t>
            </w:r>
          </w:p>
        </w:tc>
        <w:tc>
          <w:tcPr>
            <w:tcW w:w="1269" w:type="dxa"/>
            <w:vAlign w:val="center"/>
          </w:tcPr>
          <w:p w14:paraId="494C6CF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2024全年</w:t>
            </w:r>
          </w:p>
        </w:tc>
        <w:tc>
          <w:tcPr>
            <w:tcW w:w="699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使教育效益最大化</w:t>
            </w:r>
          </w:p>
        </w:tc>
        <w:tc>
          <w:tcPr>
            <w:tcW w:w="1298" w:type="dxa"/>
            <w:vAlign w:val="center"/>
          </w:tcPr>
          <w:p w14:paraId="078289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使教育效益最大化</w:t>
            </w: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办人民满意的教育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办人民满意的教育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满意度95%以上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10DCE7A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10F1A26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C02997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C66EDF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4AC2896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生态环境改善状况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有所改善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有所改善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ind w:firstLine="60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F0190D3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F4912D3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3DC0322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64813A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4C25015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各项指标持续影响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ind w:firstLine="420" w:firstLineChars="200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持续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ind w:firstLine="600" w:firstLineChars="0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持续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ind w:firstLine="60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6B92778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BB249F1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4B7E676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B64A1A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06A7188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受益对象满意度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ind w:firstLine="600" w:firstLineChars="0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/>
              </w:rPr>
              <w:t>≧</w:t>
            </w:r>
            <w:r>
              <w:rPr>
                <w:rFonts w:hint="eastAsia" w:ascii="仿宋_GB2312" w:eastAsia="仿宋_GB2312"/>
                <w:lang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97%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67D8AA9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社会公众满意度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D1571F7">
            <w:pPr>
              <w:ind w:firstLine="600" w:firstLineChars="0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</w:rPr>
              <w:t>≧</w:t>
            </w:r>
            <w:r>
              <w:rPr>
                <w:rFonts w:hint="eastAsia" w:ascii="仿宋_GB2312" w:eastAsia="仿宋_GB2312"/>
                <w:lang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4AA98DC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96%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5F31835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D62FDEF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3ED426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D4C98A6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FC22B0A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9711080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760B7D8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81.98</w:t>
            </w:r>
            <w:r>
              <w:rPr>
                <w:rFonts w:hint="eastAsia" w:ascii="仿宋_GB2312" w:eastAsia="仿宋_GB2312"/>
                <w:lang w:eastAsia="zh-CN"/>
              </w:rPr>
              <w:t>万元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81.98</w:t>
            </w:r>
            <w:r>
              <w:rPr>
                <w:rFonts w:hint="eastAsia" w:ascii="仿宋_GB2312" w:eastAsia="仿宋_GB2312"/>
                <w:lang w:eastAsia="zh-CN"/>
              </w:rPr>
              <w:t>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81.98</w:t>
            </w:r>
            <w:r>
              <w:rPr>
                <w:rFonts w:hint="eastAsia" w:ascii="仿宋_GB2312" w:eastAsia="仿宋_GB2312"/>
                <w:lang w:eastAsia="zh-CN"/>
              </w:rPr>
              <w:t>万元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对生态环境可能造成的负面影响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ind w:firstLine="60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97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荀平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2025年9月18日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13786043243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bookmarkStart w:id="0" w:name="_GoBack"/>
      <w:bookmarkEnd w:id="0"/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××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ascii="Times New Roman" w:hAnsi="Times New Roman" w:eastAsia="Times New Roman" w:cs="Times New Roman"/>
          <w:sz w:val="40"/>
          <w:szCs w:val="40"/>
        </w:rPr>
        <w:t>XX</w:t>
      </w:r>
      <w:r>
        <w:rPr>
          <w:rFonts w:ascii="Times New Roman" w:hAnsi="Times New Roman" w:eastAsia="Times New Roman" w:cs="Times New Roman"/>
          <w:spacing w:val="7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、部门（单位）基本情况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00657FCB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58038B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总结归纳本部门</w:t>
      </w:r>
      <w:r>
        <w:rPr>
          <w:rFonts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支出的绩效目标完成情况，实现产出和取得效益的情况。围绕部门职责、行业发展规划，以预算资金管理为主线，总结部门资产管理和开展业</w:t>
      </w:r>
      <w:r>
        <w:rPr>
          <w:rFonts w:hint="eastAsia" w:eastAsia="仿宋_GB2312"/>
          <w:kern w:val="0"/>
          <w:sz w:val="32"/>
          <w:szCs w:val="32"/>
          <w:lang w:eastAsia="zh-CN"/>
        </w:rPr>
        <w:t>务情况，从运行成本、管理效率、履职效能、社会效应、可持续发展能力和服务对象满意度等方面，衡量部门整体及核心业务实施效果。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30E49D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可以从预算和预算绩效管理，部门履职效能，资金分配、使用和管理，资产和财务管理、政府采购等方面归纳存在的问题；反映各种预算支出执行偏离绩效目标的情况，并分析其原因。</w:t>
      </w:r>
    </w:p>
    <w:p w14:paraId="21E6073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  <w:rsid w:val="DBAF3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1897</Words>
  <Characters>1959</Characters>
  <TotalTime>2</TotalTime>
  <ScaleCrop>false</ScaleCrop>
  <LinksUpToDate>false</LinksUpToDate>
  <CharactersWithSpaces>2118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2024-04-20T05:25:00Z</dcterms:created>
  <dc:creator>Administrator</dc:creator>
  <cp:lastModifiedBy>kylin</cp:lastModifiedBy>
  <cp:lastPrinted>2024-05-21T22:05:00Z</cp:lastPrinted>
  <dcterms:modified xsi:type="dcterms:W3CDTF">2025-09-18T23:13:04Z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2052-12.8.2.21176</vt:lpwstr>
  </property>
  <property fmtid="{D5CDD505-2E9C-101B-9397-08002B2CF9AE}" pid="6" name="ICV">
    <vt:lpwstr>06DD1BF7BBAB8C148021CC686D7F4D6C_43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