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CE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center"/>
        <w:textAlignment w:val="auto"/>
        <w:rPr>
          <w:rFonts w:ascii="仿宋" w:hAnsi="仿宋" w:eastAsia="仿宋" w:cs="仿宋"/>
          <w:b/>
          <w:bCs/>
          <w:spacing w:val="-8"/>
          <w:kern w:val="24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pacing w:val="-8"/>
          <w:kern w:val="24"/>
          <w:sz w:val="32"/>
          <w:szCs w:val="32"/>
          <w:lang w:eastAsia="zh-CN"/>
        </w:rPr>
        <w:t>专家</w:t>
      </w:r>
      <w:r>
        <w:rPr>
          <w:rFonts w:hint="default" w:ascii="Times New Roman" w:hAnsi="Times New Roman" w:eastAsia="宋体" w:cs="Times New Roman"/>
          <w:b/>
          <w:bCs/>
          <w:spacing w:val="-8"/>
          <w:kern w:val="24"/>
          <w:sz w:val="32"/>
          <w:szCs w:val="32"/>
          <w:lang w:eastAsia="zh-CN"/>
        </w:rPr>
        <w:t>意见</w:t>
      </w:r>
      <w:r>
        <w:rPr>
          <w:rFonts w:hint="default" w:ascii="Times New Roman" w:hAnsi="Times New Roman" w:eastAsia="宋体" w:cs="Times New Roman"/>
          <w:b/>
          <w:bCs/>
          <w:spacing w:val="-8"/>
          <w:kern w:val="24"/>
          <w:sz w:val="32"/>
          <w:szCs w:val="32"/>
        </w:rPr>
        <w:t>修改说明</w:t>
      </w:r>
      <w:bookmarkStart w:id="0" w:name="_GoBack"/>
      <w:bookmarkEnd w:id="0"/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08" w:type="dxa"/>
          <w:left w:w="108" w:type="dxa"/>
          <w:bottom w:w="108" w:type="dxa"/>
          <w:right w:w="108" w:type="dxa"/>
        </w:tblCellMar>
      </w:tblPr>
      <w:tblGrid>
        <w:gridCol w:w="321"/>
        <w:gridCol w:w="4906"/>
        <w:gridCol w:w="3295"/>
      </w:tblGrid>
      <w:tr w14:paraId="5B67D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066" w:type="pct"/>
            <w:gridSpan w:val="2"/>
            <w:noWrap w:val="0"/>
            <w:vAlign w:val="center"/>
          </w:tcPr>
          <w:p w14:paraId="2BAF007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评审会意见</w:t>
            </w:r>
          </w:p>
        </w:tc>
        <w:tc>
          <w:tcPr>
            <w:tcW w:w="1933" w:type="pct"/>
            <w:noWrap w:val="0"/>
            <w:vAlign w:val="center"/>
          </w:tcPr>
          <w:p w14:paraId="604ECA0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修改说明</w:t>
            </w:r>
          </w:p>
        </w:tc>
      </w:tr>
      <w:tr w14:paraId="510FA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" w:type="pct"/>
            <w:vMerge w:val="restart"/>
            <w:noWrap w:val="0"/>
            <w:vAlign w:val="center"/>
          </w:tcPr>
          <w:p w14:paraId="609EF75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877" w:type="pct"/>
            <w:noWrap w:val="0"/>
            <w:vAlign w:val="center"/>
          </w:tcPr>
          <w:p w14:paraId="332047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细化变动理由及变动的可行性分析</w:t>
            </w:r>
          </w:p>
        </w:tc>
        <w:tc>
          <w:tcPr>
            <w:tcW w:w="1933" w:type="pct"/>
            <w:noWrap w:val="0"/>
            <w:vAlign w:val="center"/>
          </w:tcPr>
          <w:p w14:paraId="2A9E6D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已细化，见P1-2页</w:t>
            </w:r>
          </w:p>
        </w:tc>
      </w:tr>
      <w:tr w14:paraId="2F86E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" w:type="pct"/>
            <w:vMerge w:val="continue"/>
            <w:noWrap w:val="0"/>
            <w:vAlign w:val="center"/>
          </w:tcPr>
          <w:p w14:paraId="542E46C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877" w:type="pct"/>
            <w:noWrap w:val="0"/>
            <w:vAlign w:val="center"/>
          </w:tcPr>
          <w:p w14:paraId="29DD6E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补充项目建设与《湖南省大气污染防治“守护蓝天”攻坚行动计划（2023—2025年）》的相符性分析</w:t>
            </w:r>
          </w:p>
        </w:tc>
        <w:tc>
          <w:tcPr>
            <w:tcW w:w="1933" w:type="pct"/>
            <w:noWrap w:val="0"/>
            <w:vAlign w:val="center"/>
          </w:tcPr>
          <w:p w14:paraId="1C0133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已补充，见P33-34页</w:t>
            </w:r>
          </w:p>
        </w:tc>
      </w:tr>
      <w:tr w14:paraId="00640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" w:type="pct"/>
            <w:noWrap w:val="0"/>
            <w:vAlign w:val="center"/>
          </w:tcPr>
          <w:p w14:paraId="5E62065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877" w:type="pct"/>
            <w:noWrap w:val="0"/>
            <w:vAlign w:val="center"/>
          </w:tcPr>
          <w:p w14:paraId="10DA4D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完善编制依据，如《中华人民共和国噪声污染防治法》、《汨罗市国土空间总体规划(2021-2035年)》等</w:t>
            </w:r>
          </w:p>
        </w:tc>
        <w:tc>
          <w:tcPr>
            <w:tcW w:w="1933" w:type="pct"/>
            <w:noWrap w:val="0"/>
            <w:vAlign w:val="center"/>
          </w:tcPr>
          <w:p w14:paraId="3773D6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已完善，见P48-52页</w:t>
            </w:r>
          </w:p>
        </w:tc>
      </w:tr>
      <w:tr w14:paraId="3CC5C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" w:type="pct"/>
            <w:noWrap w:val="0"/>
            <w:vAlign w:val="center"/>
          </w:tcPr>
          <w:p w14:paraId="74E6B42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877" w:type="pct"/>
            <w:noWrap w:val="0"/>
            <w:vAlign w:val="center"/>
          </w:tcPr>
          <w:p w14:paraId="153CAB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完善评价因子表，补充总量控制因子</w:t>
            </w:r>
          </w:p>
        </w:tc>
        <w:tc>
          <w:tcPr>
            <w:tcW w:w="1933" w:type="pct"/>
            <w:noWrap w:val="0"/>
            <w:vAlign w:val="center"/>
          </w:tcPr>
          <w:p w14:paraId="77ECB2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已完善并补充，见P54-55页</w:t>
            </w:r>
          </w:p>
        </w:tc>
      </w:tr>
      <w:tr w14:paraId="49B39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" w:type="pct"/>
            <w:vMerge w:val="restart"/>
            <w:noWrap w:val="0"/>
            <w:vAlign w:val="center"/>
          </w:tcPr>
          <w:p w14:paraId="606EB10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877" w:type="pct"/>
            <w:noWrap w:val="0"/>
            <w:vAlign w:val="center"/>
          </w:tcPr>
          <w:p w14:paraId="790DC5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完善工程组成，补充生物质燃料的贮存区布设情况</w:t>
            </w:r>
          </w:p>
        </w:tc>
        <w:tc>
          <w:tcPr>
            <w:tcW w:w="1933" w:type="pct"/>
            <w:noWrap w:val="0"/>
            <w:vAlign w:val="center"/>
          </w:tcPr>
          <w:p w14:paraId="1A3D38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已补充，见P82页</w:t>
            </w:r>
          </w:p>
        </w:tc>
      </w:tr>
      <w:tr w14:paraId="19663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" w:type="pct"/>
            <w:vMerge w:val="continue"/>
            <w:noWrap w:val="0"/>
            <w:vAlign w:val="center"/>
          </w:tcPr>
          <w:p w14:paraId="30F4297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877" w:type="pct"/>
            <w:noWrap w:val="0"/>
            <w:vAlign w:val="center"/>
          </w:tcPr>
          <w:p w14:paraId="2D4767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核实废水暂存池建设情况</w:t>
            </w:r>
          </w:p>
        </w:tc>
        <w:tc>
          <w:tcPr>
            <w:tcW w:w="1933" w:type="pct"/>
            <w:noWrap w:val="0"/>
            <w:vAlign w:val="center"/>
          </w:tcPr>
          <w:p w14:paraId="7B7E4E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已核实，见P84页</w:t>
            </w:r>
          </w:p>
        </w:tc>
      </w:tr>
      <w:tr w14:paraId="20B16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" w:type="pct"/>
            <w:vMerge w:val="continue"/>
            <w:noWrap w:val="0"/>
            <w:vAlign w:val="center"/>
          </w:tcPr>
          <w:p w14:paraId="218C152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877" w:type="pct"/>
            <w:noWrap w:val="0"/>
            <w:vAlign w:val="center"/>
          </w:tcPr>
          <w:p w14:paraId="1F07A9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补充变动前后供热设施变化情况对比表，给出热风炉和导热油炉的型号</w:t>
            </w:r>
          </w:p>
        </w:tc>
        <w:tc>
          <w:tcPr>
            <w:tcW w:w="1933" w:type="pct"/>
            <w:noWrap w:val="0"/>
            <w:vAlign w:val="center"/>
          </w:tcPr>
          <w:p w14:paraId="061BC3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已补充，见P89-93页</w:t>
            </w:r>
          </w:p>
        </w:tc>
      </w:tr>
      <w:tr w14:paraId="540E2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" w:type="pct"/>
            <w:vMerge w:val="restart"/>
            <w:noWrap w:val="0"/>
            <w:vAlign w:val="center"/>
          </w:tcPr>
          <w:p w14:paraId="6605294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877" w:type="pct"/>
            <w:noWrap w:val="0"/>
            <w:vAlign w:val="center"/>
          </w:tcPr>
          <w:p w14:paraId="015CF6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核实生物质燃烧废气处理措施、除尘效率及各污染物产排源强</w:t>
            </w:r>
          </w:p>
        </w:tc>
        <w:tc>
          <w:tcPr>
            <w:tcW w:w="1933" w:type="pct"/>
            <w:noWrap w:val="0"/>
            <w:vAlign w:val="center"/>
          </w:tcPr>
          <w:p w14:paraId="5AFB49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已核实，见P123-126页</w:t>
            </w:r>
          </w:p>
        </w:tc>
      </w:tr>
      <w:tr w14:paraId="5A06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" w:type="pct"/>
            <w:vMerge w:val="continue"/>
            <w:noWrap w:val="0"/>
            <w:vAlign w:val="center"/>
          </w:tcPr>
          <w:p w14:paraId="60A20C7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877" w:type="pct"/>
            <w:noWrap w:val="0"/>
            <w:vAlign w:val="center"/>
          </w:tcPr>
          <w:p w14:paraId="0AB1C5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根据核对后的源强完善大气环境影响预测内容，结合颗粒物产生情况进一步优化废气处理措施，完善防护距离设置分析</w:t>
            </w:r>
          </w:p>
        </w:tc>
        <w:tc>
          <w:tcPr>
            <w:tcW w:w="1933" w:type="pct"/>
            <w:noWrap w:val="0"/>
            <w:vAlign w:val="center"/>
          </w:tcPr>
          <w:p w14:paraId="297FC5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已完善，见P63-65页以及P167-182页</w:t>
            </w:r>
          </w:p>
        </w:tc>
      </w:tr>
      <w:tr w14:paraId="79FC2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" w:type="pct"/>
            <w:vMerge w:val="continue"/>
            <w:noWrap w:val="0"/>
            <w:vAlign w:val="center"/>
          </w:tcPr>
          <w:p w14:paraId="766A27B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877" w:type="pct"/>
            <w:noWrap w:val="0"/>
            <w:vAlign w:val="center"/>
          </w:tcPr>
          <w:p w14:paraId="12CB78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完善噪声源强及预测内容</w:t>
            </w:r>
          </w:p>
        </w:tc>
        <w:tc>
          <w:tcPr>
            <w:tcW w:w="1933" w:type="pct"/>
            <w:noWrap w:val="0"/>
            <w:vAlign w:val="center"/>
          </w:tcPr>
          <w:p w14:paraId="1A5032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已完善，见P186-192页</w:t>
            </w:r>
          </w:p>
        </w:tc>
      </w:tr>
      <w:tr w14:paraId="2265F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" w:type="pct"/>
            <w:vMerge w:val="continue"/>
            <w:noWrap w:val="0"/>
            <w:vAlign w:val="center"/>
          </w:tcPr>
          <w:p w14:paraId="76CD17A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877" w:type="pct"/>
            <w:noWrap w:val="0"/>
            <w:vAlign w:val="center"/>
          </w:tcPr>
          <w:p w14:paraId="6169C1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细化废水消纳情况说明，完善废水全部土地消纳的可行性分析</w:t>
            </w:r>
          </w:p>
        </w:tc>
        <w:tc>
          <w:tcPr>
            <w:tcW w:w="1933" w:type="pct"/>
            <w:noWrap w:val="0"/>
            <w:vAlign w:val="center"/>
          </w:tcPr>
          <w:p w14:paraId="763247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已细化，见P249-253页</w:t>
            </w:r>
          </w:p>
        </w:tc>
      </w:tr>
      <w:tr w14:paraId="1595F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" w:type="pct"/>
            <w:vMerge w:val="continue"/>
            <w:noWrap w:val="0"/>
            <w:vAlign w:val="center"/>
          </w:tcPr>
          <w:p w14:paraId="64A6D58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877" w:type="pct"/>
            <w:noWrap w:val="0"/>
            <w:vAlign w:val="center"/>
          </w:tcPr>
          <w:p w14:paraId="54B0BC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完善建设项目环境风险简单分析内容表</w:t>
            </w:r>
          </w:p>
        </w:tc>
        <w:tc>
          <w:tcPr>
            <w:tcW w:w="1933" w:type="pct"/>
            <w:noWrap w:val="0"/>
            <w:vAlign w:val="center"/>
          </w:tcPr>
          <w:p w14:paraId="2A9592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已完善，见P232页</w:t>
            </w:r>
          </w:p>
        </w:tc>
      </w:tr>
      <w:tr w14:paraId="03DD3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" w:type="pct"/>
            <w:noWrap w:val="0"/>
            <w:vAlign w:val="center"/>
          </w:tcPr>
          <w:p w14:paraId="47ACD5C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877" w:type="pct"/>
            <w:noWrap w:val="0"/>
            <w:vAlign w:val="center"/>
          </w:tcPr>
          <w:p w14:paraId="499126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补充引用监测资料的有效性和可行性分析</w:t>
            </w:r>
          </w:p>
        </w:tc>
        <w:tc>
          <w:tcPr>
            <w:tcW w:w="1933" w:type="pct"/>
            <w:noWrap w:val="0"/>
            <w:vAlign w:val="center"/>
          </w:tcPr>
          <w:p w14:paraId="597482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已补充，见P143-157页</w:t>
            </w:r>
          </w:p>
        </w:tc>
      </w:tr>
      <w:tr w14:paraId="5CC5F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" w:type="pct"/>
            <w:vMerge w:val="restart"/>
            <w:noWrap w:val="0"/>
            <w:vAlign w:val="center"/>
          </w:tcPr>
          <w:p w14:paraId="423D695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877" w:type="pct"/>
            <w:noWrap w:val="0"/>
            <w:vAlign w:val="center"/>
          </w:tcPr>
          <w:p w14:paraId="71867F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完善排污口规范化管理要求</w:t>
            </w:r>
          </w:p>
        </w:tc>
        <w:tc>
          <w:tcPr>
            <w:tcW w:w="1933" w:type="pct"/>
            <w:noWrap w:val="0"/>
            <w:vAlign w:val="center"/>
          </w:tcPr>
          <w:p w14:paraId="6B368B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已完善，见P278-280页</w:t>
            </w:r>
          </w:p>
        </w:tc>
      </w:tr>
      <w:tr w14:paraId="658EB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" w:type="pct"/>
            <w:vMerge w:val="continue"/>
            <w:noWrap w:val="0"/>
            <w:vAlign w:val="center"/>
          </w:tcPr>
          <w:p w14:paraId="7F5ADB1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877" w:type="pct"/>
            <w:noWrap w:val="0"/>
            <w:vAlign w:val="center"/>
          </w:tcPr>
          <w:p w14:paraId="5384D6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核实竣工验收表、环保投资及公众参与采纳情况说明</w:t>
            </w:r>
          </w:p>
        </w:tc>
        <w:tc>
          <w:tcPr>
            <w:tcW w:w="1933" w:type="pct"/>
            <w:noWrap w:val="0"/>
            <w:vAlign w:val="center"/>
          </w:tcPr>
          <w:p w14:paraId="36E570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已核实，见P285-287页、P290-292页、P298页</w:t>
            </w:r>
          </w:p>
        </w:tc>
      </w:tr>
      <w:tr w14:paraId="0B585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8" w:type="pct"/>
            <w:noWrap w:val="0"/>
            <w:vAlign w:val="center"/>
          </w:tcPr>
          <w:p w14:paraId="535ED0C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877" w:type="pct"/>
            <w:noWrap w:val="0"/>
            <w:vAlign w:val="center"/>
          </w:tcPr>
          <w:p w14:paraId="29A596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完善附图附件，如分区防渗图、流转合同、尾水消纳方案等</w:t>
            </w:r>
          </w:p>
        </w:tc>
        <w:tc>
          <w:tcPr>
            <w:tcW w:w="1933" w:type="pct"/>
            <w:noWrap w:val="0"/>
            <w:vAlign w:val="center"/>
          </w:tcPr>
          <w:p w14:paraId="2A9DB7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已完善，分区防渗图见附图12、流转合同见附件3、尾水消纳方案见附件13；</w:t>
            </w:r>
          </w:p>
        </w:tc>
      </w:tr>
    </w:tbl>
    <w:p w14:paraId="4B3B80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-18030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lOGU5MWRmMTFhOTg2MDY4M2I3Y2VhYzM5NDdhOGUifQ=="/>
  </w:docVars>
  <w:rsids>
    <w:rsidRoot w:val="00000000"/>
    <w:rsid w:val="08BA68EB"/>
    <w:rsid w:val="0B0B182B"/>
    <w:rsid w:val="17C90AA4"/>
    <w:rsid w:val="1B1C713C"/>
    <w:rsid w:val="1F2B7F1E"/>
    <w:rsid w:val="1F94155F"/>
    <w:rsid w:val="215238B8"/>
    <w:rsid w:val="303625F7"/>
    <w:rsid w:val="32584AA6"/>
    <w:rsid w:val="473531B0"/>
    <w:rsid w:val="5415414D"/>
    <w:rsid w:val="5426635A"/>
    <w:rsid w:val="543E18F6"/>
    <w:rsid w:val="5B9E711E"/>
    <w:rsid w:val="61FC06FB"/>
    <w:rsid w:val="63B3128D"/>
    <w:rsid w:val="6A105D7C"/>
    <w:rsid w:val="6D592EA5"/>
    <w:rsid w:val="7A146AD1"/>
    <w:rsid w:val="7D9C1EA2"/>
    <w:rsid w:val="7F6E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50" w:beforeLines="50" w:after="50" w:afterLines="50" w:line="240" w:lineRule="auto"/>
      <w:jc w:val="center"/>
      <w:outlineLvl w:val="9"/>
    </w:pPr>
    <w:rPr>
      <w:rFonts w:cs="Times New Roman"/>
      <w:sz w:val="21"/>
      <w:szCs w:val="32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xl27"/>
    <w:basedOn w:val="1"/>
    <w:next w:val="5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新宋体-18030" w:hAnsi="新宋体-18030" w:eastAsia="新宋体-18030" w:cs="新宋体-18030"/>
      <w:kern w:val="0"/>
    </w:rPr>
  </w:style>
  <w:style w:type="paragraph" w:styleId="5">
    <w:name w:val="Body Text Indent 2"/>
    <w:basedOn w:val="1"/>
    <w:next w:val="1"/>
    <w:qFormat/>
    <w:uiPriority w:val="0"/>
    <w:pPr>
      <w:widowControl/>
      <w:ind w:firstLine="430"/>
      <w:jc w:val="left"/>
    </w:pPr>
    <w:rPr>
      <w:kern w:val="0"/>
      <w:sz w:val="24"/>
      <w:szCs w:val="20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Body Text First Indent 2"/>
    <w:basedOn w:val="6"/>
    <w:qFormat/>
    <w:uiPriority w:val="0"/>
    <w:pPr>
      <w:ind w:firstLine="420" w:firstLineChars="200"/>
    </w:pPr>
  </w:style>
  <w:style w:type="table" w:styleId="9">
    <w:name w:val="Table Grid"/>
    <w:basedOn w:val="8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492</Words>
  <Characters>536</Characters>
  <Lines>0</Lines>
  <Paragraphs>0</Paragraphs>
  <TotalTime>35</TotalTime>
  <ScaleCrop>false</ScaleCrop>
  <LinksUpToDate>false</LinksUpToDate>
  <CharactersWithSpaces>536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2024-09-30T06:51:00Z</dcterms:created>
  <dc:creator>Administrator</dc:creator>
  <cp:lastModifiedBy>AboutcaT</cp:lastModifiedBy>
  <dcterms:modified xsi:type="dcterms:W3CDTF">2024-10-15T03:30:26Z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AEBAC84493924F959A0DD262D052A138_12</vt:lpwstr>
  </property>
</Properties>
</file>